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36D2C0">
      <w:pPr>
        <w:ind w:firstLine="199" w:firstLineChars="83"/>
      </w:pPr>
      <w:r>
        <w:drawing>
          <wp:inline distT="0" distB="0" distL="0" distR="0">
            <wp:extent cx="5274310" cy="7520305"/>
            <wp:effectExtent l="0" t="0" r="2540" b="4445"/>
            <wp:docPr id="1346933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33763" name="图片 1"/>
                    <pic:cNvPicPr>
                      <a:picLocks noChangeAspect="1"/>
                    </pic:cNvPicPr>
                  </pic:nvPicPr>
                  <pic:blipFill>
                    <a:blip r:embed="rId32"/>
                    <a:stretch>
                      <a:fillRect/>
                    </a:stretch>
                  </pic:blipFill>
                  <pic:spPr>
                    <a:xfrm>
                      <a:off x="0" y="0"/>
                      <a:ext cx="5274310" cy="7520305"/>
                    </a:xfrm>
                    <a:prstGeom prst="rect">
                      <a:avLst/>
                    </a:prstGeom>
                  </pic:spPr>
                </pic:pic>
              </a:graphicData>
            </a:graphic>
          </wp:inline>
        </w:drawing>
      </w:r>
    </w:p>
    <w:p w14:paraId="0D400936">
      <w:pPr>
        <w:ind w:firstLine="199" w:firstLineChars="83"/>
      </w:pPr>
    </w:p>
    <w:p w14:paraId="6CAE2106">
      <w:pPr>
        <w:ind w:firstLine="199" w:firstLineChars="83"/>
      </w:pPr>
    </w:p>
    <w:p w14:paraId="6F35DD29">
      <w:pPr>
        <w:ind w:firstLine="480"/>
      </w:pPr>
    </w:p>
    <w:p w14:paraId="62E759D4">
      <w:pPr>
        <w:tabs>
          <w:tab w:val="left" w:pos="6092"/>
        </w:tabs>
        <w:ind w:firstLine="480"/>
        <w:jc w:val="left"/>
        <w:sectPr>
          <w:headerReference r:id="rId7" w:type="first"/>
          <w:footerReference r:id="rId10" w:type="first"/>
          <w:headerReference r:id="rId5" w:type="default"/>
          <w:footerReference r:id="rId8" w:type="default"/>
          <w:headerReference r:id="rId6" w:type="even"/>
          <w:footerReference r:id="rId9" w:type="even"/>
          <w:type w:val="oddPage"/>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titlePg/>
          <w:docGrid w:type="lines" w:linePitch="326" w:charSpace="0"/>
        </w:sectPr>
      </w:pPr>
    </w:p>
    <w:p w14:paraId="3F4D19F8">
      <w:pPr>
        <w:pStyle w:val="3"/>
      </w:pPr>
      <w:bookmarkStart w:id="0" w:name="_Toc89619317"/>
      <w:bookmarkStart w:id="1" w:name="_Toc71394699"/>
      <w:r>
        <w:rPr>
          <w:rFonts w:hint="eastAsia"/>
        </w:rPr>
        <w:t>1、建设项目概况</w:t>
      </w:r>
      <w:bookmarkEnd w:id="0"/>
      <w:bookmarkEnd w:id="1"/>
    </w:p>
    <w:p w14:paraId="0BEA1B8F">
      <w:pPr>
        <w:pStyle w:val="4"/>
      </w:pPr>
      <w:bookmarkStart w:id="2" w:name="_Toc71394700"/>
      <w:bookmarkStart w:id="3" w:name="_Toc89619318"/>
      <w:r>
        <w:rPr>
          <w:rFonts w:hint="eastAsia"/>
        </w:rPr>
        <w:t>1.1项目实施背景</w:t>
      </w:r>
      <w:bookmarkEnd w:id="2"/>
      <w:bookmarkEnd w:id="3"/>
    </w:p>
    <w:p w14:paraId="2F30016F">
      <w:pPr>
        <w:ind w:firstLine="480"/>
      </w:pPr>
      <w:r>
        <w:rPr>
          <w:rFonts w:hint="eastAsia"/>
        </w:rPr>
        <w:t>新疆是全国五大牧区之一，水土和大气环境较好，具有发展绿色、无污染的草食家畜得天独厚的条件，骆驼是新疆畜牧业重点发展的畜种之一，新疆作为重要的畜产品生产基地，养殖业是畜牧业的主体，近年来得到了较快的发展。</w:t>
      </w:r>
    </w:p>
    <w:p w14:paraId="5FB3D9E9">
      <w:pPr>
        <w:pStyle w:val="54"/>
        <w:spacing w:line="360" w:lineRule="auto"/>
        <w:ind w:firstLine="480"/>
        <w:rPr>
          <w:rFonts w:ascii="Times New Roman" w:hAnsi="Times New Roman" w:eastAsia="宋体"/>
        </w:rPr>
      </w:pPr>
      <w:r>
        <w:rPr>
          <w:rFonts w:hint="eastAsia" w:ascii="Times New Roman" w:hAnsi="Times New Roman" w:eastAsia="宋体"/>
        </w:rPr>
        <w:t>为进一步巩固拓展木垒县雀仁乡脱贫攻坚成果，接续推动脱贫地区发展和乡村全面振兴。针对木垒县雀仁乡发展现状，利用中央财政衔接推进乡村振兴补助资金，培植农业帮扶项目，加快促使资源、区位优势转化为经济优势，巩固拓展脱贫攻坚成果同乡村振兴有效衔接。</w:t>
      </w:r>
    </w:p>
    <w:p w14:paraId="11BBB0A4">
      <w:pPr>
        <w:ind w:firstLine="480"/>
      </w:pPr>
      <w:r>
        <w:rPr>
          <w:rFonts w:hint="eastAsia"/>
        </w:rPr>
        <w:t>雀仁乡位于木垒县县城西北53千米，总面积为1668平方千米，耕地面积9.5946万亩、林地面积1.66万亩、草场面积230万亩。全乡牲畜存栏6.2867万只，羊5.33万只、牛4808头、马1076匹、骆驼3683峰，是一个以牧为主、牧农结合的多民族乡，也是全县唯一一个纯井灌区。全乡下辖7个行政村。共有户籍人口2007户，6636人，其中汉族1687人、哈萨克族4613人、维吾尔族194人、其他民族142人。现有常住人口1380户4139人。</w:t>
      </w:r>
    </w:p>
    <w:p w14:paraId="687433C1">
      <w:pPr>
        <w:ind w:firstLine="480"/>
      </w:pPr>
      <w:r>
        <w:rPr>
          <w:rFonts w:hint="eastAsia"/>
        </w:rPr>
        <w:t>在此背景下，木垒县雀仁乡人民政府在木垒县雀仁乡正格勒得村建设木垒县雀仁乡正格勒得村2024年养殖小区建设项目（以下简称“本项目”），本项目新建1600m</w:t>
      </w:r>
      <w:r>
        <w:rPr>
          <w:rFonts w:hint="eastAsia"/>
          <w:vertAlign w:val="superscript"/>
        </w:rPr>
        <w:t>2</w:t>
      </w:r>
      <w:r>
        <w:rPr>
          <w:rFonts w:hint="eastAsia"/>
        </w:rPr>
        <w:t>骆驼圈，80m</w:t>
      </w:r>
      <w:r>
        <w:rPr>
          <w:rFonts w:hint="eastAsia"/>
          <w:vertAlign w:val="superscript"/>
        </w:rPr>
        <w:t>2</w:t>
      </w:r>
      <w:r>
        <w:rPr>
          <w:rFonts w:hint="eastAsia"/>
        </w:rPr>
        <w:t>生活用房，400m</w:t>
      </w:r>
      <w:r>
        <w:rPr>
          <w:rFonts w:hint="eastAsia"/>
          <w:vertAlign w:val="superscript"/>
        </w:rPr>
        <w:t>2</w:t>
      </w:r>
      <w:r>
        <w:rPr>
          <w:rFonts w:hint="eastAsia"/>
        </w:rPr>
        <w:t>草料区，2240m</w:t>
      </w:r>
      <w:r>
        <w:rPr>
          <w:rFonts w:hint="eastAsia"/>
          <w:vertAlign w:val="superscript"/>
        </w:rPr>
        <w:t>2</w:t>
      </w:r>
      <w:r>
        <w:rPr>
          <w:rFonts w:hint="eastAsia"/>
        </w:rPr>
        <w:t>活动场地，道路硬化6000m</w:t>
      </w:r>
      <w:r>
        <w:rPr>
          <w:rFonts w:hint="eastAsia"/>
          <w:vertAlign w:val="superscript"/>
        </w:rPr>
        <w:t>2</w:t>
      </w:r>
      <w:r>
        <w:rPr>
          <w:rFonts w:hint="eastAsia"/>
        </w:rPr>
        <w:t>，厂区外围围栏800m，骆驼活动区围栏600m，40m</w:t>
      </w:r>
      <w:r>
        <w:rPr>
          <w:rFonts w:hint="eastAsia"/>
          <w:vertAlign w:val="superscript"/>
        </w:rPr>
        <w:t>2</w:t>
      </w:r>
      <w:r>
        <w:rPr>
          <w:rFonts w:hint="eastAsia"/>
        </w:rPr>
        <w:t>值班室1间，2000m</w:t>
      </w:r>
      <w:r>
        <w:rPr>
          <w:rFonts w:hint="eastAsia"/>
          <w:vertAlign w:val="superscript"/>
        </w:rPr>
        <w:t>2</w:t>
      </w:r>
      <w:r>
        <w:rPr>
          <w:rFonts w:hint="eastAsia"/>
        </w:rPr>
        <w:t>堆肥场，给水接入900m，电线接入900m及养殖圈舍其他配套附属设施等。</w:t>
      </w:r>
    </w:p>
    <w:p w14:paraId="4CF26B73">
      <w:pPr>
        <w:pStyle w:val="4"/>
      </w:pPr>
      <w:bookmarkStart w:id="4" w:name="_Toc89619319"/>
      <w:bookmarkStart w:id="5" w:name="_Toc71394701"/>
      <w:r>
        <w:rPr>
          <w:rFonts w:hint="eastAsia"/>
        </w:rPr>
        <w:t>1.2环评工作过程</w:t>
      </w:r>
      <w:bookmarkEnd w:id="4"/>
      <w:bookmarkEnd w:id="5"/>
    </w:p>
    <w:p w14:paraId="0B10E9AE">
      <w:pPr>
        <w:ind w:firstLine="480"/>
      </w:pPr>
      <w:r>
        <w:rPr>
          <w:rFonts w:hint="eastAsia"/>
        </w:rPr>
        <w:t>根据《中华人民共和国环境保护法》、《建设项目环境保护管理条例》和《中华人民共和国环境影响评价法》、国务院《关于修改&lt;设项目环境保护管理条例&gt;的决定》（国务院令第682号）中有关规定和要求，该建设项目需进行环境影响评价。</w:t>
      </w:r>
    </w:p>
    <w:p w14:paraId="22E175F4">
      <w:pPr>
        <w:ind w:firstLine="480"/>
      </w:pPr>
      <w:r>
        <w:rPr>
          <w:rFonts w:hint="eastAsia"/>
        </w:rPr>
        <w:t>本项目为骆驼养殖项目，根据论文《基于饲养标准的家禽单位折算方法》（草地学报，第17卷第4期，2009年7月，刘玉杰、李向林、何峰）中各种家禽与绵羊单位的折算系数可知：1头牛=4只绵羊，1峰骆驼=7只绵羊；根据《畜禽养殖业污染物排放标准》（GB118596-2001）可知：1头肉牛=5头猪。按照上述折算系数，可得出：1峰骆驼约折算成9头猪。</w:t>
      </w:r>
    </w:p>
    <w:p w14:paraId="3E76DEE4">
      <w:pPr>
        <w:ind w:firstLine="480"/>
      </w:pPr>
      <w:r>
        <w:rPr>
          <w:rFonts w:hint="eastAsia"/>
        </w:rPr>
        <w:t>根据《建设项目环境影响评价分类管理名录》（2021年版），本项目年存栏400峰骆驼（折算成3600头猪），属于“二、畜牧业，1畜禽养殖场、养殖小区”中“存栏生猪2500头（其他畜禽种类折合成猪的养殖规模）及以上无出栏量的规模化禽畜养殖”，应编制环境影响评价报告书。我单位立即组织有关环评工作人员赴现场进行了实地踏勘，对评价区范围的自然环境及规划情况进行了调查，收集了当地水文、地质、气象、环境现状等资料，并收集了具有相似生产规模和工艺的企业的实际生产数据。评价单位在此基础上，与建设单位进行多次沟通，查阅行业资料，咨询了行业专家。在这些工作的基础上按照《环境影响评价技术导则》的有关规定，编制完成了《木垒县雀仁乡正格勒得村2024年养殖小区建设项目环境影响报告书》。现报生态环境局审批后作为本项目建设期和运营期环境管理时的依据。</w:t>
      </w:r>
    </w:p>
    <w:p w14:paraId="7151B514">
      <w:pPr>
        <w:ind w:firstLine="480"/>
      </w:pPr>
      <w:r>
        <w:rPr>
          <w:rFonts w:hint="eastAsia"/>
        </w:rPr>
        <w:t>环境影响评价工作一般分三个阶段，即前期准备、调研和工作方案阶段，分析论证和预测评价阶段、环境影响评价文件编制阶段。本项目环境影响评价工作程序见图1.2-1。</w:t>
      </w:r>
    </w:p>
    <w:p w14:paraId="669CC1D1">
      <w:pPr>
        <w:ind w:firstLine="0" w:firstLineChars="0"/>
        <w:jc w:val="center"/>
      </w:pPr>
      <w:r>
        <w:pict>
          <v:shape id="_x0000_i1025" o:spt="75" type="#_x0000_t75" style="height:572.25pt;width:416pt;" filled="f" o:preferrelative="t" stroked="f" coordsize="21600,21600">
            <v:path/>
            <v:fill on="f" focussize="0,0"/>
            <v:stroke on="f" joinstyle="miter"/>
            <v:imagedata r:id="rId33" o:title=""/>
            <o:lock v:ext="edit" aspectratio="t"/>
            <w10:wrap type="none"/>
            <w10:anchorlock/>
          </v:shape>
        </w:pict>
      </w:r>
    </w:p>
    <w:p w14:paraId="26C44B04">
      <w:pPr>
        <w:pStyle w:val="11"/>
      </w:pPr>
      <w:r>
        <w:rPr>
          <w:rFonts w:hint="eastAsia"/>
        </w:rPr>
        <w:t>图1.2-1环境影响评价工作程序</w:t>
      </w:r>
    </w:p>
    <w:p w14:paraId="537E94FF">
      <w:pPr>
        <w:pStyle w:val="4"/>
        <w:snapToGrid w:val="0"/>
        <w:spacing w:before="0" w:after="0"/>
      </w:pPr>
      <w:bookmarkStart w:id="6" w:name="_Toc71394702"/>
      <w:bookmarkStart w:id="7" w:name="_Toc89619320"/>
      <w:r>
        <w:rPr>
          <w:rFonts w:hint="eastAsia"/>
        </w:rPr>
        <w:t>1.3分析判定相关情况</w:t>
      </w:r>
      <w:bookmarkEnd w:id="6"/>
      <w:bookmarkEnd w:id="7"/>
    </w:p>
    <w:p w14:paraId="3A26CB7C">
      <w:pPr>
        <w:pStyle w:val="5"/>
        <w:snapToGrid w:val="0"/>
        <w:spacing w:before="0" w:after="0"/>
      </w:pPr>
      <w:bookmarkStart w:id="8" w:name="_Toc106663413"/>
      <w:r>
        <w:rPr>
          <w:rFonts w:hint="eastAsia"/>
        </w:rPr>
        <w:t>1.3.1产业政策相符性</w:t>
      </w:r>
      <w:bookmarkEnd w:id="8"/>
    </w:p>
    <w:p w14:paraId="7D592D82">
      <w:pPr>
        <w:snapToGrid w:val="0"/>
        <w:ind w:firstLine="480"/>
      </w:pPr>
      <w:r>
        <w:rPr>
          <w:rFonts w:hint="eastAsia"/>
        </w:rPr>
        <w:t>本项目主要从事骆驼养殖项目，根据《产业结构调整指导目录（2024年本）》，本项目属于”第一类鼓励类—一、农林牧渔业—14.现代畜牧业及水产生态健康养殖：畜禽标准化规模养殖技术开发与应用”，因此，符合国家产业政策。</w:t>
      </w:r>
    </w:p>
    <w:p w14:paraId="6133CFC8">
      <w:pPr>
        <w:pStyle w:val="5"/>
        <w:snapToGrid w:val="0"/>
        <w:spacing w:before="0" w:after="0"/>
      </w:pPr>
      <w:bookmarkStart w:id="9" w:name="_Toc106663414"/>
      <w:r>
        <w:rPr>
          <w:rFonts w:hint="eastAsia"/>
        </w:rPr>
        <w:t>1.3.2规划符合性</w:t>
      </w:r>
      <w:bookmarkEnd w:id="9"/>
    </w:p>
    <w:p w14:paraId="1BB719BA">
      <w:pPr>
        <w:snapToGrid w:val="0"/>
        <w:ind w:firstLine="480"/>
      </w:pPr>
      <w:r>
        <w:rPr>
          <w:rFonts w:hint="eastAsia"/>
        </w:rPr>
        <w:t>（1）与《新疆维吾尔自治区国民经济和社会发展第十四个五年规划和2035年远景目标纲要》的符合性分析</w:t>
      </w:r>
    </w:p>
    <w:p w14:paraId="5A62C7E4">
      <w:pPr>
        <w:snapToGrid w:val="0"/>
        <w:ind w:firstLine="480"/>
      </w:pPr>
      <w:r>
        <w:rPr>
          <w:rFonts w:hint="eastAsia"/>
        </w:rPr>
        <w:t>《新疆维吾尔自治区国民经济和社会发展第十四个五年规划和2035年远景目标纲要》指出，优先发展农业农村，深入推进乡村振兴。建设畜牧强区。实施畜牧业发展五大行动，持续做大肉牛肉羊产业，加快推进奶业振兴，做优做强家禽产业，推进生猪产业转型升级，因地制宜发展特色养殖业，构建饲料、种源、扩繁、养殖、屠宰、加工全产业链，推动新疆由畜牧大区向畜牧强区转变。”十四五”末，全区畜牧业产值超过1100亿元。实施优质生猪增产行动、奶业振兴行动、优质肉羊增产行动、生猪产业转型升级行动、家禽及特色产业发展行动，提升畜牧业生产供给能力。</w:t>
      </w:r>
    </w:p>
    <w:p w14:paraId="1A9B4F12">
      <w:pPr>
        <w:snapToGrid w:val="0"/>
        <w:ind w:firstLine="480"/>
      </w:pPr>
      <w:r>
        <w:rPr>
          <w:rFonts w:hint="eastAsia"/>
        </w:rPr>
        <w:t>本项目拟建成骆驼养殖项目，实现标准化骆驼养殖，通过合理有效地配置资源进行规模化、现代化养殖，通过构建完善的生产体系进行骆驼养殖，延长骆驼产业链，提升产品附加值，提高农业生产效益。项目的建设有利于促进全县骆驼产业发展。本项目采取资源化方式利用畜禽养殖废弃物。因此，本项目符合《新疆维吾尔自治区国民经济和社会发展第十四个五年规划和2035年远景目标纲要》相关要求。</w:t>
      </w:r>
    </w:p>
    <w:p w14:paraId="533525D4">
      <w:pPr>
        <w:snapToGrid w:val="0"/>
        <w:ind w:firstLine="480"/>
      </w:pPr>
      <w:r>
        <w:rPr>
          <w:rFonts w:hint="eastAsia"/>
        </w:rPr>
        <w:t>（2）与《新疆维吾尔自治区畜牧业”十四五”发展规划》的符合性分析</w:t>
      </w:r>
    </w:p>
    <w:p w14:paraId="38F90A03">
      <w:pPr>
        <w:snapToGrid w:val="0"/>
        <w:ind w:firstLine="480"/>
      </w:pPr>
      <w:r>
        <w:rPr>
          <w:rFonts w:hint="eastAsia"/>
        </w:rPr>
        <w:t>《新疆维吾尔自治区畜牧业”十四五”发展规划》提出，”十四五”期间，全区畜牧业坚持生态化发展方向，坚持农牧结合、草畜配套，稳定发展牧区畜牧业，突出发展农区畜牧业，坚持走集约化、标准化、规模化的发展道路，着力夯基础、补短板、强弱项、优结构、促融合、壮主体、增动能，强化科技创新和政策支持，做大肉牛肉羊产业、加快奶业振兴、做优做强畜禽产业、因地制宜发展特色产业，构建科学合理、安全高效的畜产品供给保障体系，加快推进现代畜牧业发展。</w:t>
      </w:r>
    </w:p>
    <w:p w14:paraId="4501E051">
      <w:pPr>
        <w:snapToGrid w:val="0"/>
        <w:ind w:firstLine="480"/>
      </w:pPr>
      <w:r>
        <w:rPr>
          <w:rFonts w:hint="eastAsia"/>
        </w:rPr>
        <w:t>到2025年，将建立适合区情、支撑有力的畜牧业产业体系、生产体系、经营体系，形成天山北坡奶业、南疆特禽、北疆绿色有机牛羊肉、马产业等4个产值百亿元以上、有国内影响力的产业集群。</w:t>
      </w:r>
    </w:p>
    <w:p w14:paraId="74076B59">
      <w:pPr>
        <w:snapToGrid w:val="0"/>
        <w:ind w:firstLine="480"/>
      </w:pPr>
      <w:r>
        <w:rPr>
          <w:rFonts w:hint="eastAsia"/>
        </w:rPr>
        <w:t>本项目为木垒县雀仁乡正格勒得村2024年养殖小区建设项目，项目建成后可实现骆驼养殖，对于提高自治区畜牧业养殖有积极的作用，项目的建设符合《新疆维吾尔自治区畜牧业”十四五”发展规划》的相关要求。</w:t>
      </w:r>
    </w:p>
    <w:p w14:paraId="5BAE330F">
      <w:pPr>
        <w:snapToGrid w:val="0"/>
        <w:ind w:firstLine="480"/>
      </w:pPr>
      <w:r>
        <w:rPr>
          <w:rFonts w:hint="eastAsia"/>
        </w:rPr>
        <w:t>（3）与《新疆规模化畜禽养殖污染防治”十三五”规划》符合性分析</w:t>
      </w:r>
    </w:p>
    <w:p w14:paraId="44E9BEDC">
      <w:pPr>
        <w:snapToGrid w:val="0"/>
        <w:ind w:firstLine="480"/>
      </w:pPr>
      <w:r>
        <w:rPr>
          <w:rFonts w:hint="eastAsia"/>
        </w:rPr>
        <w:t>《新疆规模化畜禽养殖污染防治”十三五”规划》指出，各畜禽养殖单位应根据养殖种类、养殖规模、粪污收集方式以及当地的地理环境条件和废水排放去向等因素，因地制宜发展生态养殖模式，优先考虑资源综合利用，合理确定畜禽养殖污染防治措施。鼓励发展专业化集中式畜禽养殖粪污能源化利用和肥料化利用，加大对粪污水处理、有机肥加工和发酵产物综合利用产业政策的扶持和资金补贴力度，支持畜禽养殖粪污的社会化集中处理和规模化利用，加快建立循环经济产业链。</w:t>
      </w:r>
    </w:p>
    <w:p w14:paraId="564BD3CA">
      <w:pPr>
        <w:snapToGrid w:val="0"/>
        <w:ind w:firstLine="480"/>
      </w:pPr>
      <w:r>
        <w:rPr>
          <w:rFonts w:hint="eastAsia"/>
        </w:rPr>
        <w:t>本项目属于规模化养殖项目，粪便经处理后最终还田，能够形成”畜禽-粪便-肥料-农田”的良性循环，符合《新疆规模化畜禽养殖污染防治”十三五”规划》的相关要求。</w:t>
      </w:r>
    </w:p>
    <w:p w14:paraId="3608CC5E">
      <w:pPr>
        <w:snapToGrid w:val="0"/>
        <w:ind w:firstLine="480"/>
      </w:pPr>
      <w:r>
        <w:rPr>
          <w:rFonts w:hint="eastAsia"/>
        </w:rPr>
        <w:t>（4）与《新疆生态环境保护“十四五”规划》符合性分析</w:t>
      </w:r>
    </w:p>
    <w:p w14:paraId="0A94FFC7">
      <w:pPr>
        <w:snapToGrid w:val="0"/>
        <w:ind w:firstLine="480"/>
      </w:pPr>
      <w:r>
        <w:rPr>
          <w:rFonts w:hint="eastAsia"/>
        </w:rPr>
        <w:t>《新疆维吾尔自治区环境保护“十四五”规划》提出“强化养殖业污染治理。推进畜禽粪污资源化利用，大力发展生态循环农业，全面规范规模化畜禽养殖场和养殖小区污染治理设施，加大畜禽养殖废弃物收集、贮存、处理、输送和施用等设施建设力度。推进畜禽养殖大县整县治理。到2025年，畜禽粪污综合利用率达到80%以上。”</w:t>
      </w:r>
    </w:p>
    <w:p w14:paraId="11252FAA">
      <w:pPr>
        <w:snapToGrid w:val="0"/>
        <w:ind w:firstLine="480"/>
      </w:pPr>
      <w:r>
        <w:rPr>
          <w:rFonts w:hint="eastAsia"/>
        </w:rPr>
        <w:t>本项目集约化养殖项目，根据《畜禽养殖业污染物治理工程技术规范》（HJ497－2009）要求，本项目建设后拟采用干清粪工艺。粪便及时清出，粪便处理后还田，实现畜禽粪污综合利用。</w:t>
      </w:r>
    </w:p>
    <w:p w14:paraId="5AA25357">
      <w:pPr>
        <w:snapToGrid w:val="0"/>
        <w:ind w:firstLine="480"/>
      </w:pPr>
      <w:r>
        <w:rPr>
          <w:rFonts w:hint="eastAsia"/>
        </w:rPr>
        <w:t>综上所述，本项目符合《新疆生态环境保护“十四五”规划》的要求。</w:t>
      </w:r>
    </w:p>
    <w:p w14:paraId="20640E7E">
      <w:pPr>
        <w:snapToGrid w:val="0"/>
        <w:ind w:firstLine="480"/>
      </w:pPr>
      <w:r>
        <w:rPr>
          <w:rFonts w:hint="eastAsia"/>
        </w:rPr>
        <w:t>（5）与新疆维吾尔自治区七大片区“三线一单”生态环境分区管控要求符合性分析</w:t>
      </w:r>
    </w:p>
    <w:p w14:paraId="398CC21A">
      <w:pPr>
        <w:snapToGrid w:val="0"/>
        <w:ind w:firstLine="480"/>
      </w:pPr>
      <w:r>
        <w:rPr>
          <w:rFonts w:hint="eastAsia"/>
        </w:rPr>
        <w:t>本项目与《新疆维吾尔自治区七大片区“三线一单”生态环境分区管控要求》符合性分析。</w:t>
      </w:r>
    </w:p>
    <w:p w14:paraId="67FF407A">
      <w:pPr>
        <w:ind w:firstLine="482"/>
        <w:jc w:val="center"/>
        <w:outlineLvl w:val="0"/>
        <w:rPr>
          <w:b/>
          <w:szCs w:val="22"/>
        </w:rPr>
      </w:pPr>
      <w:r>
        <w:rPr>
          <w:rFonts w:hint="eastAsia"/>
          <w:b/>
          <w:szCs w:val="22"/>
        </w:rPr>
        <w:t>表1.3-1与新疆维吾尔自治区七大片区“三线一单”生态环境分区管控要求符合性分析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5096"/>
        <w:gridCol w:w="2040"/>
        <w:gridCol w:w="663"/>
      </w:tblGrid>
      <w:tr w14:paraId="31AC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vAlign w:val="center"/>
          </w:tcPr>
          <w:p w14:paraId="46596AC7">
            <w:pPr>
              <w:snapToGrid w:val="0"/>
              <w:ind w:firstLine="0" w:firstLineChars="0"/>
              <w:jc w:val="center"/>
              <w:rPr>
                <w:sz w:val="21"/>
              </w:rPr>
            </w:pPr>
            <w:r>
              <w:rPr>
                <w:rFonts w:hint="eastAsia"/>
                <w:sz w:val="21"/>
              </w:rPr>
              <w:t>管控类别</w:t>
            </w:r>
          </w:p>
        </w:tc>
        <w:tc>
          <w:tcPr>
            <w:tcW w:w="2990" w:type="pct"/>
            <w:vAlign w:val="center"/>
          </w:tcPr>
          <w:p w14:paraId="6F6221B1">
            <w:pPr>
              <w:snapToGrid w:val="0"/>
              <w:ind w:firstLine="0" w:firstLineChars="0"/>
              <w:jc w:val="center"/>
              <w:rPr>
                <w:sz w:val="21"/>
              </w:rPr>
            </w:pPr>
            <w:r>
              <w:rPr>
                <w:rFonts w:hint="eastAsia"/>
                <w:sz w:val="21"/>
              </w:rPr>
              <w:t>管控要求</w:t>
            </w:r>
          </w:p>
        </w:tc>
        <w:tc>
          <w:tcPr>
            <w:tcW w:w="1197" w:type="pct"/>
            <w:vAlign w:val="center"/>
          </w:tcPr>
          <w:p w14:paraId="22B3757E">
            <w:pPr>
              <w:snapToGrid w:val="0"/>
              <w:ind w:firstLine="0" w:firstLineChars="0"/>
              <w:jc w:val="center"/>
              <w:rPr>
                <w:sz w:val="21"/>
              </w:rPr>
            </w:pPr>
            <w:r>
              <w:rPr>
                <w:rFonts w:hint="eastAsia"/>
                <w:sz w:val="21"/>
              </w:rPr>
              <w:t>本项目</w:t>
            </w:r>
          </w:p>
        </w:tc>
        <w:tc>
          <w:tcPr>
            <w:tcW w:w="389" w:type="pct"/>
            <w:vAlign w:val="center"/>
          </w:tcPr>
          <w:p w14:paraId="59AF35B8">
            <w:pPr>
              <w:snapToGrid w:val="0"/>
              <w:ind w:firstLine="0" w:firstLineChars="0"/>
              <w:jc w:val="center"/>
              <w:rPr>
                <w:sz w:val="21"/>
              </w:rPr>
            </w:pPr>
            <w:r>
              <w:rPr>
                <w:rFonts w:hint="eastAsia"/>
                <w:sz w:val="21"/>
              </w:rPr>
              <w:t>符合性</w:t>
            </w:r>
          </w:p>
        </w:tc>
      </w:tr>
      <w:tr w14:paraId="2D4B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8FFFF34">
            <w:pPr>
              <w:snapToGrid w:val="0"/>
              <w:ind w:firstLine="0" w:firstLineChars="0"/>
              <w:jc w:val="center"/>
              <w:rPr>
                <w:sz w:val="21"/>
              </w:rPr>
            </w:pPr>
            <w:r>
              <w:rPr>
                <w:rFonts w:hint="eastAsia"/>
                <w:sz w:val="21"/>
              </w:rPr>
              <w:t>空间布局约束</w:t>
            </w:r>
          </w:p>
        </w:tc>
        <w:tc>
          <w:tcPr>
            <w:tcW w:w="2990" w:type="pct"/>
            <w:vAlign w:val="center"/>
          </w:tcPr>
          <w:p w14:paraId="1FEE4004">
            <w:pPr>
              <w:snapToGrid w:val="0"/>
              <w:ind w:firstLine="0" w:firstLineChars="0"/>
              <w:jc w:val="center"/>
              <w:rPr>
                <w:sz w:val="21"/>
              </w:rPr>
            </w:pPr>
            <w:r>
              <w:rPr>
                <w:rFonts w:hint="eastAsia"/>
                <w:sz w:val="21"/>
              </w:rPr>
              <w:t>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tc>
        <w:tc>
          <w:tcPr>
            <w:tcW w:w="1197" w:type="pct"/>
            <w:vAlign w:val="center"/>
          </w:tcPr>
          <w:p w14:paraId="121A8FEE">
            <w:pPr>
              <w:snapToGrid w:val="0"/>
              <w:ind w:firstLine="0" w:firstLineChars="0"/>
              <w:jc w:val="center"/>
              <w:rPr>
                <w:sz w:val="21"/>
              </w:rPr>
            </w:pPr>
            <w:r>
              <w:rPr>
                <w:rFonts w:cs="宋体"/>
                <w:sz w:val="21"/>
                <w:szCs w:val="24"/>
              </w:rPr>
              <w:t>本项目不属于《产业结构调整指导目录（</w:t>
            </w:r>
            <w:r>
              <w:rPr>
                <w:rFonts w:hint="eastAsia" w:cs="宋体"/>
                <w:sz w:val="21"/>
                <w:szCs w:val="24"/>
              </w:rPr>
              <w:t>2024</w:t>
            </w:r>
            <w:r>
              <w:rPr>
                <w:rFonts w:cs="宋体"/>
                <w:sz w:val="21"/>
                <w:szCs w:val="24"/>
              </w:rPr>
              <w:t>年本）》中禁止类和限制类，项目符合国家产业政策</w:t>
            </w:r>
            <w:r>
              <w:rPr>
                <w:rFonts w:hint="eastAsia" w:cs="宋体"/>
                <w:sz w:val="21"/>
                <w:szCs w:val="24"/>
              </w:rPr>
              <w:t>。</w:t>
            </w:r>
            <w:r>
              <w:rPr>
                <w:rFonts w:cs="宋体"/>
                <w:sz w:val="21"/>
                <w:szCs w:val="24"/>
              </w:rPr>
              <w:t>项目不属于“三高”项目，不属于化工和涉重金属的工业项目</w:t>
            </w:r>
            <w:r>
              <w:rPr>
                <w:rFonts w:hint="eastAsia" w:cs="宋体"/>
                <w:sz w:val="21"/>
                <w:szCs w:val="24"/>
              </w:rPr>
              <w:t>。</w:t>
            </w:r>
          </w:p>
        </w:tc>
        <w:tc>
          <w:tcPr>
            <w:tcW w:w="389" w:type="pct"/>
            <w:vAlign w:val="center"/>
          </w:tcPr>
          <w:p w14:paraId="201052F6">
            <w:pPr>
              <w:snapToGrid w:val="0"/>
              <w:ind w:firstLine="0" w:firstLineChars="0"/>
              <w:jc w:val="center"/>
              <w:rPr>
                <w:sz w:val="21"/>
              </w:rPr>
            </w:pPr>
            <w:r>
              <w:rPr>
                <w:rFonts w:hint="eastAsia"/>
                <w:sz w:val="21"/>
              </w:rPr>
              <w:t>符合</w:t>
            </w:r>
          </w:p>
        </w:tc>
      </w:tr>
      <w:tr w14:paraId="570E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2E2745C">
            <w:pPr>
              <w:snapToGrid w:val="0"/>
              <w:ind w:firstLine="0" w:firstLineChars="0"/>
              <w:jc w:val="center"/>
              <w:rPr>
                <w:sz w:val="21"/>
              </w:rPr>
            </w:pPr>
            <w:r>
              <w:rPr>
                <w:rFonts w:hint="eastAsia"/>
                <w:sz w:val="21"/>
              </w:rPr>
              <w:t>污染物排放管控</w:t>
            </w:r>
          </w:p>
        </w:tc>
        <w:tc>
          <w:tcPr>
            <w:tcW w:w="2990" w:type="pct"/>
            <w:vAlign w:val="center"/>
          </w:tcPr>
          <w:p w14:paraId="0496C5C4">
            <w:pPr>
              <w:snapToGrid w:val="0"/>
              <w:ind w:firstLine="0" w:firstLineChars="0"/>
              <w:jc w:val="center"/>
              <w:rPr>
                <w:sz w:val="21"/>
              </w:rPr>
            </w:pPr>
            <w:r>
              <w:rPr>
                <w:rFonts w:cs="宋体"/>
                <w:sz w:val="21"/>
                <w:szCs w:val="24"/>
              </w:rPr>
              <w:t>深化行业污染源头治理，深入开展火电行业减排，全力推进钢铁行业超低排放改造，有序推进石化行业“泄漏检测与修复”技术改造</w:t>
            </w:r>
            <w:r>
              <w:rPr>
                <w:rFonts w:hint="eastAsia" w:cs="宋体"/>
                <w:sz w:val="21"/>
                <w:szCs w:val="24"/>
              </w:rPr>
              <w:t>。</w:t>
            </w:r>
            <w:r>
              <w:rPr>
                <w:rFonts w:cs="宋体"/>
                <w:sz w:val="21"/>
                <w:szCs w:val="24"/>
              </w:rPr>
              <w:t>强化煤化工、石化、有机化工、表面涂装、包装印刷等重点行业挥发性有机物控制</w:t>
            </w:r>
            <w:r>
              <w:rPr>
                <w:rFonts w:hint="eastAsia" w:cs="宋体"/>
                <w:sz w:val="21"/>
                <w:szCs w:val="24"/>
              </w:rPr>
              <w:t>。</w:t>
            </w:r>
            <w:r>
              <w:rPr>
                <w:rFonts w:cs="宋体"/>
                <w:sz w:val="21"/>
                <w:szCs w:val="24"/>
              </w:rPr>
              <w:t>深入开展燃煤锅炉污染综合整治，深化工业炉窑综合治理</w:t>
            </w:r>
            <w:r>
              <w:rPr>
                <w:rFonts w:hint="eastAsia" w:cs="宋体"/>
                <w:sz w:val="21"/>
                <w:szCs w:val="24"/>
              </w:rPr>
              <w:t>。</w:t>
            </w:r>
            <w:r>
              <w:rPr>
                <w:rFonts w:cs="宋体"/>
                <w:sz w:val="21"/>
                <w:szCs w:val="24"/>
              </w:rPr>
              <w:t>加强“散乱污”企业综合整治</w:t>
            </w:r>
            <w:r>
              <w:rPr>
                <w:rFonts w:hint="eastAsia" w:cs="宋体"/>
                <w:sz w:val="21"/>
                <w:szCs w:val="24"/>
              </w:rPr>
              <w:t>。</w:t>
            </w:r>
            <w:r>
              <w:rPr>
                <w:rFonts w:cs="宋体"/>
                <w:sz w:val="21"/>
                <w:szCs w:val="24"/>
              </w:rPr>
              <w:t>优化区域交通运输结构，加快货物运输绿色转型，做好车油联合管控</w:t>
            </w:r>
            <w:r>
              <w:rPr>
                <w:rFonts w:hint="eastAsia" w:cs="宋体"/>
                <w:sz w:val="21"/>
                <w:szCs w:val="24"/>
              </w:rPr>
              <w:t>。</w:t>
            </w:r>
            <w:r>
              <w:rPr>
                <w:rFonts w:cs="宋体"/>
                <w:sz w:val="21"/>
                <w:szCs w:val="24"/>
              </w:rPr>
              <w:t>以改善流域水环境质量为核心，强化源头控制，“一河</w:t>
            </w:r>
            <w:r>
              <w:rPr>
                <w:rFonts w:hint="eastAsia" w:cs="宋体"/>
                <w:sz w:val="21"/>
                <w:szCs w:val="24"/>
              </w:rPr>
              <w:t>（</w:t>
            </w:r>
            <w:r>
              <w:rPr>
                <w:rFonts w:cs="宋体"/>
                <w:sz w:val="21"/>
                <w:szCs w:val="24"/>
              </w:rPr>
              <w:t>湖</w:t>
            </w:r>
            <w:r>
              <w:rPr>
                <w:rFonts w:hint="eastAsia" w:cs="宋体"/>
                <w:sz w:val="21"/>
                <w:szCs w:val="24"/>
              </w:rPr>
              <w:t>）</w:t>
            </w:r>
            <w:r>
              <w:rPr>
                <w:rFonts w:cs="宋体"/>
                <w:sz w:val="21"/>
                <w:szCs w:val="24"/>
              </w:rPr>
              <w:t>一策”精准施治，减少水污染物排放</w:t>
            </w:r>
            <w:r>
              <w:rPr>
                <w:rFonts w:hint="eastAsia" w:cs="宋体"/>
                <w:sz w:val="21"/>
                <w:szCs w:val="24"/>
              </w:rPr>
              <w:t>，</w:t>
            </w:r>
            <w:r>
              <w:rPr>
                <w:rFonts w:cs="宋体"/>
                <w:sz w:val="21"/>
                <w:szCs w:val="24"/>
              </w:rPr>
              <w:t>持续改善水环境质量</w:t>
            </w:r>
            <w:r>
              <w:rPr>
                <w:rFonts w:hint="eastAsia" w:cs="宋体"/>
                <w:sz w:val="21"/>
                <w:szCs w:val="24"/>
              </w:rPr>
              <w:t>。</w:t>
            </w:r>
            <w:r>
              <w:rPr>
                <w:rFonts w:cs="宋体"/>
                <w:sz w:val="21"/>
                <w:szCs w:val="24"/>
              </w:rPr>
              <w:t>强化园区</w:t>
            </w:r>
            <w:r>
              <w:rPr>
                <w:rFonts w:hint="eastAsia" w:cs="宋体"/>
                <w:sz w:val="21"/>
                <w:szCs w:val="24"/>
              </w:rPr>
              <w:t>（</w:t>
            </w:r>
            <w:r>
              <w:rPr>
                <w:rFonts w:cs="宋体"/>
                <w:sz w:val="21"/>
                <w:szCs w:val="24"/>
              </w:rPr>
              <w:t>工业集聚区</w:t>
            </w:r>
            <w:r>
              <w:rPr>
                <w:rFonts w:hint="eastAsia" w:cs="宋体"/>
                <w:sz w:val="21"/>
                <w:szCs w:val="24"/>
              </w:rPr>
              <w:t>）</w:t>
            </w:r>
            <w:r>
              <w:rPr>
                <w:rFonts w:cs="宋体"/>
                <w:sz w:val="21"/>
                <w:szCs w:val="24"/>
              </w:rPr>
              <w:t>水污染防治，不断提高工业用水重复利用率</w:t>
            </w:r>
            <w:r>
              <w:rPr>
                <w:rFonts w:hint="eastAsia" w:cs="宋体"/>
                <w:sz w:val="21"/>
                <w:szCs w:val="24"/>
              </w:rPr>
              <w:t>。</w:t>
            </w:r>
            <w:r>
              <w:rPr>
                <w:rFonts w:cs="宋体"/>
                <w:sz w:val="21"/>
                <w:szCs w:val="24"/>
              </w:rPr>
              <w:t>加快实施城镇污水处理设施提质增效，补齐生活污水收集和处理设施短板，提高再生水回用比例</w:t>
            </w:r>
            <w:r>
              <w:rPr>
                <w:rFonts w:hint="eastAsia" w:cs="宋体"/>
                <w:sz w:val="21"/>
                <w:szCs w:val="24"/>
              </w:rPr>
              <w:t>。</w:t>
            </w:r>
            <w:r>
              <w:rPr>
                <w:rFonts w:cs="宋体"/>
                <w:sz w:val="21"/>
                <w:szCs w:val="24"/>
              </w:rPr>
              <w:t>持续推进农业农村污染防治</w:t>
            </w:r>
            <w:r>
              <w:rPr>
                <w:rFonts w:hint="eastAsia" w:cs="宋体"/>
                <w:sz w:val="21"/>
                <w:szCs w:val="24"/>
              </w:rPr>
              <w:t>。</w:t>
            </w:r>
            <w:r>
              <w:rPr>
                <w:rFonts w:cs="宋体"/>
                <w:sz w:val="21"/>
                <w:szCs w:val="24"/>
              </w:rPr>
              <w:t>提升土壤环境监管能力，加强污染地块安全利用监管</w:t>
            </w:r>
            <w:r>
              <w:rPr>
                <w:rFonts w:hint="eastAsia" w:cs="宋体"/>
                <w:sz w:val="21"/>
                <w:szCs w:val="24"/>
              </w:rPr>
              <w:t>。</w:t>
            </w:r>
            <w:r>
              <w:rPr>
                <w:rFonts w:cs="宋体"/>
                <w:sz w:val="21"/>
                <w:szCs w:val="24"/>
              </w:rPr>
              <w:t>强化工矿用地管理，严格建设用地土壤环境风险管控</w:t>
            </w:r>
            <w:r>
              <w:rPr>
                <w:rFonts w:hint="eastAsia" w:cs="宋体"/>
                <w:sz w:val="21"/>
                <w:szCs w:val="24"/>
              </w:rPr>
              <w:t>。</w:t>
            </w:r>
            <w:r>
              <w:rPr>
                <w:rFonts w:cs="宋体"/>
                <w:sz w:val="21"/>
                <w:szCs w:val="24"/>
              </w:rPr>
              <w:t>加强农用地土壤污染源头控制，科学施用化肥农药，提高农膜回收率</w:t>
            </w:r>
            <w:r>
              <w:rPr>
                <w:rFonts w:hint="eastAsia" w:cs="宋体"/>
                <w:sz w:val="21"/>
                <w:szCs w:val="24"/>
              </w:rPr>
              <w:t>。</w:t>
            </w:r>
          </w:p>
        </w:tc>
        <w:tc>
          <w:tcPr>
            <w:tcW w:w="1197" w:type="pct"/>
            <w:vAlign w:val="center"/>
          </w:tcPr>
          <w:p w14:paraId="272DA99A">
            <w:pPr>
              <w:snapToGrid w:val="0"/>
              <w:ind w:firstLine="0" w:firstLineChars="0"/>
              <w:jc w:val="center"/>
              <w:rPr>
                <w:sz w:val="21"/>
              </w:rPr>
            </w:pPr>
            <w:r>
              <w:rPr>
                <w:rFonts w:cs="宋体"/>
                <w:sz w:val="21"/>
                <w:szCs w:val="24"/>
              </w:rPr>
              <w:t>项目不属于火电、钢铁、石化、煤化工、有机化工、表面涂装、包装印刷等行业</w:t>
            </w:r>
            <w:r>
              <w:rPr>
                <w:rFonts w:hint="eastAsia" w:cs="宋体"/>
                <w:sz w:val="21"/>
                <w:szCs w:val="24"/>
              </w:rPr>
              <w:t>。</w:t>
            </w:r>
            <w:r>
              <w:rPr>
                <w:rFonts w:cs="宋体"/>
                <w:sz w:val="21"/>
                <w:szCs w:val="24"/>
              </w:rPr>
              <w:t>项目不使用燃煤锅炉</w:t>
            </w:r>
            <w:r>
              <w:rPr>
                <w:rFonts w:hint="eastAsia" w:cs="宋体"/>
                <w:sz w:val="21"/>
                <w:szCs w:val="24"/>
              </w:rPr>
              <w:t>。</w:t>
            </w:r>
            <w:r>
              <w:rPr>
                <w:rFonts w:cs="宋体"/>
                <w:sz w:val="21"/>
                <w:szCs w:val="24"/>
              </w:rPr>
              <w:t>工程运行过程中也无危险废物产生</w:t>
            </w:r>
            <w:r>
              <w:rPr>
                <w:rFonts w:hint="eastAsia" w:cs="宋体"/>
                <w:sz w:val="21"/>
                <w:szCs w:val="24"/>
              </w:rPr>
              <w:t>。</w:t>
            </w:r>
          </w:p>
        </w:tc>
        <w:tc>
          <w:tcPr>
            <w:tcW w:w="389" w:type="pct"/>
            <w:vAlign w:val="center"/>
          </w:tcPr>
          <w:p w14:paraId="1DD031AB">
            <w:pPr>
              <w:snapToGrid w:val="0"/>
              <w:ind w:firstLine="0" w:firstLineChars="0"/>
              <w:jc w:val="center"/>
              <w:rPr>
                <w:sz w:val="21"/>
              </w:rPr>
            </w:pPr>
            <w:r>
              <w:rPr>
                <w:rFonts w:hint="eastAsia"/>
                <w:sz w:val="21"/>
              </w:rPr>
              <w:t>符合</w:t>
            </w:r>
          </w:p>
        </w:tc>
      </w:tr>
      <w:tr w14:paraId="0507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6E81E04">
            <w:pPr>
              <w:snapToGrid w:val="0"/>
              <w:ind w:firstLine="0" w:firstLineChars="0"/>
              <w:jc w:val="center"/>
              <w:rPr>
                <w:sz w:val="21"/>
              </w:rPr>
            </w:pPr>
            <w:r>
              <w:rPr>
                <w:rFonts w:hint="eastAsia"/>
                <w:sz w:val="21"/>
              </w:rPr>
              <w:t>环境风险防控</w:t>
            </w:r>
          </w:p>
        </w:tc>
        <w:tc>
          <w:tcPr>
            <w:tcW w:w="2990" w:type="pct"/>
            <w:vAlign w:val="center"/>
          </w:tcPr>
          <w:p w14:paraId="21D467E8">
            <w:pPr>
              <w:snapToGrid w:val="0"/>
              <w:ind w:firstLine="0" w:firstLineChars="0"/>
              <w:jc w:val="center"/>
              <w:rPr>
                <w:sz w:val="21"/>
              </w:rPr>
            </w:pPr>
            <w:r>
              <w:rPr>
                <w:rFonts w:cs="宋体"/>
                <w:sz w:val="21"/>
                <w:szCs w:val="24"/>
              </w:rPr>
              <w:t>禁止在化工园区外新建、扩建危险化学品生产项目</w:t>
            </w:r>
            <w:r>
              <w:rPr>
                <w:rFonts w:hint="eastAsia" w:cs="宋体"/>
                <w:sz w:val="21"/>
                <w:szCs w:val="24"/>
              </w:rPr>
              <w:t>。</w:t>
            </w:r>
            <w:r>
              <w:rPr>
                <w:rFonts w:cs="宋体"/>
                <w:sz w:val="21"/>
                <w:szCs w:val="24"/>
              </w:rPr>
              <w:t>严格落实危险废物处置相关要求</w:t>
            </w:r>
            <w:r>
              <w:rPr>
                <w:rFonts w:hint="eastAsia" w:cs="宋体"/>
                <w:sz w:val="21"/>
                <w:szCs w:val="24"/>
              </w:rPr>
              <w:t>。</w:t>
            </w:r>
            <w:r>
              <w:rPr>
                <w:rFonts w:cs="宋体"/>
                <w:sz w:val="21"/>
                <w:szCs w:val="24"/>
              </w:rPr>
              <w:t>加强重点流域水环境风险管控，保障水环境安全</w:t>
            </w:r>
          </w:p>
        </w:tc>
        <w:tc>
          <w:tcPr>
            <w:tcW w:w="1197" w:type="pct"/>
            <w:vAlign w:val="center"/>
          </w:tcPr>
          <w:p w14:paraId="6CA2EAB2">
            <w:pPr>
              <w:snapToGrid w:val="0"/>
              <w:ind w:firstLine="0" w:firstLineChars="0"/>
              <w:jc w:val="center"/>
              <w:rPr>
                <w:sz w:val="21"/>
              </w:rPr>
            </w:pPr>
            <w:r>
              <w:rPr>
                <w:rFonts w:cs="宋体"/>
                <w:sz w:val="21"/>
                <w:szCs w:val="24"/>
              </w:rPr>
              <w:t>本项目不涉及危险化学品生产</w:t>
            </w:r>
            <w:r>
              <w:rPr>
                <w:rFonts w:hint="eastAsia" w:cs="宋体"/>
                <w:sz w:val="21"/>
                <w:szCs w:val="24"/>
              </w:rPr>
              <w:t>。</w:t>
            </w:r>
            <w:r>
              <w:rPr>
                <w:rFonts w:cs="宋体"/>
                <w:sz w:val="21"/>
                <w:szCs w:val="24"/>
              </w:rPr>
              <w:t>工程运行过程中也无危险废物产生</w:t>
            </w:r>
            <w:r>
              <w:rPr>
                <w:rFonts w:hint="eastAsia" w:cs="宋体"/>
                <w:sz w:val="21"/>
                <w:szCs w:val="24"/>
              </w:rPr>
              <w:t>。</w:t>
            </w:r>
            <w:r>
              <w:rPr>
                <w:rFonts w:cs="宋体"/>
                <w:sz w:val="21"/>
                <w:szCs w:val="24"/>
              </w:rPr>
              <w:t>工程运营期无废污水外排，不会影响区域水环境质量</w:t>
            </w:r>
            <w:r>
              <w:rPr>
                <w:rFonts w:hint="eastAsia" w:cs="宋体"/>
                <w:sz w:val="21"/>
                <w:szCs w:val="24"/>
              </w:rPr>
              <w:t>。</w:t>
            </w:r>
          </w:p>
        </w:tc>
        <w:tc>
          <w:tcPr>
            <w:tcW w:w="389" w:type="pct"/>
            <w:vAlign w:val="center"/>
          </w:tcPr>
          <w:p w14:paraId="4112B071">
            <w:pPr>
              <w:snapToGrid w:val="0"/>
              <w:ind w:firstLine="0" w:firstLineChars="0"/>
              <w:jc w:val="center"/>
              <w:rPr>
                <w:sz w:val="21"/>
              </w:rPr>
            </w:pPr>
            <w:r>
              <w:rPr>
                <w:rFonts w:hint="eastAsia"/>
                <w:sz w:val="21"/>
              </w:rPr>
              <w:t>符合</w:t>
            </w:r>
          </w:p>
        </w:tc>
      </w:tr>
      <w:tr w14:paraId="0EC4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2026EE3">
            <w:pPr>
              <w:snapToGrid w:val="0"/>
              <w:ind w:firstLine="0" w:firstLineChars="0"/>
              <w:jc w:val="center"/>
              <w:rPr>
                <w:sz w:val="21"/>
              </w:rPr>
            </w:pPr>
            <w:r>
              <w:rPr>
                <w:rFonts w:hint="eastAsia"/>
                <w:sz w:val="21"/>
              </w:rPr>
              <w:t>资源利用效率</w:t>
            </w:r>
          </w:p>
        </w:tc>
        <w:tc>
          <w:tcPr>
            <w:tcW w:w="2990" w:type="pct"/>
            <w:vAlign w:val="center"/>
          </w:tcPr>
          <w:p w14:paraId="0264AA33">
            <w:pPr>
              <w:snapToGrid w:val="0"/>
              <w:ind w:firstLine="0" w:firstLineChars="0"/>
              <w:jc w:val="center"/>
              <w:rPr>
                <w:sz w:val="21"/>
              </w:rPr>
            </w:pPr>
            <w:r>
              <w:rPr>
                <w:rFonts w:cs="宋体"/>
                <w:sz w:val="21"/>
                <w:szCs w:val="24"/>
              </w:rPr>
              <w:t>优化能源结构，控制煤炭等化石能源使用量，鼓励使用清洁能源，协同推进减污降碳</w:t>
            </w:r>
            <w:r>
              <w:rPr>
                <w:rFonts w:hint="eastAsia" w:cs="宋体"/>
                <w:sz w:val="21"/>
                <w:szCs w:val="24"/>
              </w:rPr>
              <w:t>。</w:t>
            </w:r>
            <w:r>
              <w:rPr>
                <w:rFonts w:cs="宋体"/>
                <w:sz w:val="21"/>
                <w:szCs w:val="24"/>
              </w:rPr>
              <w:t>全面实施节水工程，合理开发利用水资源，提升水资源利用效率，保障生态用水，严防地下水超采</w:t>
            </w:r>
            <w:r>
              <w:rPr>
                <w:rFonts w:hint="eastAsia" w:cs="宋体"/>
                <w:sz w:val="21"/>
                <w:szCs w:val="24"/>
              </w:rPr>
              <w:t>。</w:t>
            </w:r>
          </w:p>
        </w:tc>
        <w:tc>
          <w:tcPr>
            <w:tcW w:w="1197" w:type="pct"/>
            <w:vAlign w:val="center"/>
          </w:tcPr>
          <w:p w14:paraId="6AE20EB0">
            <w:pPr>
              <w:snapToGrid w:val="0"/>
              <w:ind w:firstLine="0" w:firstLineChars="0"/>
              <w:jc w:val="center"/>
              <w:rPr>
                <w:sz w:val="21"/>
              </w:rPr>
            </w:pPr>
            <w:r>
              <w:rPr>
                <w:rFonts w:cs="宋体"/>
                <w:sz w:val="21"/>
                <w:szCs w:val="24"/>
              </w:rPr>
              <w:t>项目不使用燃煤锅炉</w:t>
            </w:r>
            <w:r>
              <w:rPr>
                <w:rFonts w:hint="eastAsia" w:cs="宋体"/>
                <w:sz w:val="21"/>
                <w:szCs w:val="24"/>
              </w:rPr>
              <w:t>。</w:t>
            </w:r>
            <w:r>
              <w:rPr>
                <w:rFonts w:cs="宋体"/>
                <w:sz w:val="21"/>
                <w:szCs w:val="24"/>
              </w:rPr>
              <w:t>项目不涉及地下水开采</w:t>
            </w:r>
            <w:r>
              <w:rPr>
                <w:rFonts w:hint="eastAsia" w:cs="宋体"/>
                <w:sz w:val="21"/>
                <w:szCs w:val="24"/>
              </w:rPr>
              <w:t>。</w:t>
            </w:r>
          </w:p>
        </w:tc>
        <w:tc>
          <w:tcPr>
            <w:tcW w:w="389" w:type="pct"/>
            <w:vAlign w:val="center"/>
          </w:tcPr>
          <w:p w14:paraId="7D5A5D90">
            <w:pPr>
              <w:snapToGrid w:val="0"/>
              <w:ind w:firstLine="0" w:firstLineChars="0"/>
              <w:jc w:val="center"/>
              <w:rPr>
                <w:sz w:val="21"/>
              </w:rPr>
            </w:pPr>
            <w:r>
              <w:rPr>
                <w:rFonts w:hint="eastAsia"/>
                <w:sz w:val="21"/>
              </w:rPr>
              <w:t>符合</w:t>
            </w:r>
          </w:p>
        </w:tc>
      </w:tr>
    </w:tbl>
    <w:p w14:paraId="1D2AAF60">
      <w:pPr>
        <w:ind w:firstLine="480"/>
        <w:jc w:val="left"/>
      </w:pPr>
      <w:r>
        <w:rPr>
          <w:rFonts w:hint="eastAsia" w:cs="宋体"/>
          <w:szCs w:val="24"/>
          <w:lang w:bidi="ar"/>
        </w:rPr>
        <w:t>（6）与《国务院办公厅关于加快推进畜禽养殖废弃物资源化利用的意见》（国办发〔</w:t>
      </w:r>
      <w:r>
        <w:rPr>
          <w:szCs w:val="24"/>
          <w:lang w:bidi="ar"/>
        </w:rPr>
        <w:t>2017</w:t>
      </w:r>
      <w:r>
        <w:rPr>
          <w:rFonts w:hint="eastAsia" w:cs="宋体"/>
          <w:szCs w:val="24"/>
          <w:lang w:bidi="ar"/>
        </w:rPr>
        <w:t>〕</w:t>
      </w:r>
      <w:r>
        <w:rPr>
          <w:szCs w:val="24"/>
          <w:lang w:bidi="ar"/>
        </w:rPr>
        <w:t>48</w:t>
      </w:r>
      <w:r>
        <w:rPr>
          <w:rFonts w:hint="eastAsia" w:cs="宋体"/>
          <w:szCs w:val="24"/>
          <w:lang w:bidi="ar"/>
        </w:rPr>
        <w:t>号）相符性分析</w:t>
      </w:r>
    </w:p>
    <w:p w14:paraId="0996C41B">
      <w:pPr>
        <w:ind w:firstLine="480"/>
        <w:jc w:val="left"/>
      </w:pPr>
      <w:r>
        <w:rPr>
          <w:rFonts w:hint="eastAsia" w:cs="宋体"/>
          <w:szCs w:val="24"/>
          <w:lang w:bidi="ar"/>
        </w:rPr>
        <w:t>意见中指出：大力发展标准化规模养殖，建设自动喂料、自动饮水、环境控制等现代化装备，推广节水、节料等清洁养殖工艺和干清粪、微生物发酵等实用技术，实现源头减量。加强规模养殖场精细化管理，推行标准化、规范化饲养，推广散装饲料和精准配方，提高饲料转化效率。</w:t>
      </w:r>
    </w:p>
    <w:p w14:paraId="77EDE532">
      <w:pPr>
        <w:ind w:firstLine="480"/>
        <w:jc w:val="left"/>
      </w:pPr>
      <w:r>
        <w:rPr>
          <w:rFonts w:hint="eastAsia" w:cs="宋体"/>
          <w:szCs w:val="24"/>
          <w:lang w:bidi="ar"/>
        </w:rPr>
        <w:t>本项目采用干清粪工艺，符合《国务院办公厅关于加快推进畜禽养殖废弃物资源化利用的意见》（国办发〔</w:t>
      </w:r>
      <w:r>
        <w:rPr>
          <w:szCs w:val="24"/>
          <w:lang w:bidi="ar"/>
        </w:rPr>
        <w:t>2017</w:t>
      </w:r>
      <w:r>
        <w:rPr>
          <w:rFonts w:hint="eastAsia" w:cs="宋体"/>
          <w:szCs w:val="24"/>
          <w:lang w:bidi="ar"/>
        </w:rPr>
        <w:t>〕</w:t>
      </w:r>
      <w:r>
        <w:rPr>
          <w:szCs w:val="24"/>
          <w:lang w:bidi="ar"/>
        </w:rPr>
        <w:t>48</w:t>
      </w:r>
      <w:r>
        <w:rPr>
          <w:rFonts w:hint="eastAsia" w:cs="宋体"/>
          <w:szCs w:val="24"/>
          <w:lang w:bidi="ar"/>
        </w:rPr>
        <w:t>号）相关意见。</w:t>
      </w:r>
    </w:p>
    <w:p w14:paraId="7C7EA180">
      <w:pPr>
        <w:snapToGrid w:val="0"/>
        <w:ind w:firstLine="480"/>
      </w:pPr>
      <w:r>
        <w:rPr>
          <w:rFonts w:hint="eastAsia"/>
        </w:rPr>
        <w:t>（7）与《新疆维吾尔自治区大气污染防治条例》符合性分析</w:t>
      </w:r>
    </w:p>
    <w:p w14:paraId="2106B2E6">
      <w:pPr>
        <w:snapToGrid w:val="0"/>
        <w:ind w:firstLine="480"/>
      </w:pPr>
      <w:r>
        <w:rPr>
          <w:rFonts w:hint="eastAsia"/>
        </w:rPr>
        <w:t>根据《新疆维吾尔自治区大气污染防治条例》要求：</w:t>
      </w:r>
    </w:p>
    <w:p w14:paraId="1909DDBA">
      <w:pPr>
        <w:snapToGrid w:val="0"/>
        <w:ind w:firstLine="480"/>
      </w:pPr>
      <w:r>
        <w:rPr>
          <w:rFonts w:hint="eastAsia"/>
        </w:rPr>
        <w:t>第二十四条推进城市建成区、工业园区实行集中供热，使用清洁燃料。在集中供热管网覆盖区域内，禁止新建、改建、扩建燃煤供热锅炉，集中供热管网覆盖前，已建成使用的燃煤供热锅炉应当限期停止使用。在集中供热未覆盖的区域，鼓励使用清洁能源替代，推广使用高效节能环保型锅炉。城市人民政府应当限期淘汰不符合国家和自治区规定规模的燃煤锅炉。</w:t>
      </w:r>
    </w:p>
    <w:p w14:paraId="2A8BD694">
      <w:pPr>
        <w:snapToGrid w:val="0"/>
        <w:ind w:firstLine="480"/>
      </w:pPr>
      <w:r>
        <w:rPr>
          <w:rFonts w:hint="eastAsia"/>
        </w:rPr>
        <w:t>第二十五条城市人民政府根据大气环境质量改善要求，划定并公布高污染燃料禁燃区，并逐步扩大高污染燃料禁燃区范围。在禁燃区内，禁止销售、燃用高污染燃料；禁止新建、扩建燃用高污染燃料的设施。已建成的，应当在规定期限内改用清洁能源。</w:t>
      </w:r>
    </w:p>
    <w:p w14:paraId="51B3B379">
      <w:pPr>
        <w:snapToGrid w:val="0"/>
        <w:ind w:firstLine="480"/>
      </w:pPr>
      <w:r>
        <w:rPr>
          <w:rFonts w:hint="eastAsia"/>
        </w:rPr>
        <w:t>第四十七条畜禽养殖场、养殖小区应当及时对畜禽粪便和尸体等进行收集、贮存、清运和无害化处理，根据养殖规模和污染防治需要，配套相应的净化装置和其他大气污染物防治设施。</w:t>
      </w:r>
    </w:p>
    <w:p w14:paraId="75F8FC46">
      <w:pPr>
        <w:snapToGrid w:val="0"/>
        <w:ind w:firstLine="480"/>
      </w:pPr>
      <w:r>
        <w:rPr>
          <w:rFonts w:hint="eastAsia"/>
        </w:rPr>
        <w:t>县（市、区）人民政府应当加强对畜禽养殖废弃物综合利用和无害化处理的宣传，建设畜禽粪便和尸体无害化集中处理设施，引导规模以下畜禽养殖者集中处置养殖废弃物，防止排放恶臭气体。</w:t>
      </w:r>
    </w:p>
    <w:p w14:paraId="6BF30908">
      <w:pPr>
        <w:snapToGrid w:val="0"/>
        <w:ind w:firstLine="480"/>
      </w:pPr>
      <w:r>
        <w:rPr>
          <w:rFonts w:hint="eastAsia"/>
        </w:rPr>
        <w:t>乡（镇）人民政府应当协助有关部门做好本行政区域内的畜禽养殖污染防治工作。</w:t>
      </w:r>
    </w:p>
    <w:p w14:paraId="65AE5EA2">
      <w:pPr>
        <w:snapToGrid w:val="0"/>
        <w:ind w:firstLine="480"/>
      </w:pPr>
      <w:r>
        <w:rPr>
          <w:rFonts w:hint="eastAsia"/>
        </w:rPr>
        <w:t>本项目供热使用电采暖，不使用高污染燃料；粪便经处理后还田。根据分析，本项目符合《新疆维吾尔自治区大气污染防治条例》相关要求。</w:t>
      </w:r>
    </w:p>
    <w:p w14:paraId="6D7147E3">
      <w:pPr>
        <w:numPr>
          <w:ilvl w:val="0"/>
          <w:numId w:val="2"/>
        </w:numPr>
        <w:snapToGrid w:val="0"/>
        <w:ind w:firstLine="480"/>
      </w:pPr>
      <w:r>
        <w:rPr>
          <w:rFonts w:hint="eastAsia"/>
        </w:rPr>
        <w:t>与《关于做好畜禽规模养殖项目环境影响评价管理工作的通知》（环办环评[2018]31号）的符合性分析。</w:t>
      </w:r>
    </w:p>
    <w:p w14:paraId="2DDFC3E8">
      <w:pPr>
        <w:ind w:firstLine="482"/>
        <w:jc w:val="center"/>
        <w:outlineLvl w:val="0"/>
        <w:rPr>
          <w:b/>
          <w:szCs w:val="22"/>
        </w:rPr>
      </w:pPr>
      <w:r>
        <w:rPr>
          <w:rFonts w:hint="eastAsia"/>
          <w:b/>
          <w:szCs w:val="22"/>
        </w:rPr>
        <w:t>表1.3-2与《关于做好畜禽规模养殖项目环境影响评价管理工作的通知》的符合性分析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
        <w:gridCol w:w="4919"/>
        <w:gridCol w:w="2320"/>
        <w:gridCol w:w="954"/>
      </w:tblGrid>
      <w:tr w14:paraId="6974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7C6B593E">
            <w:pPr>
              <w:ind w:firstLine="0" w:firstLineChars="0"/>
              <w:jc w:val="center"/>
              <w:rPr>
                <w:sz w:val="21"/>
              </w:rPr>
            </w:pPr>
            <w:r>
              <w:rPr>
                <w:rFonts w:hint="eastAsia"/>
                <w:sz w:val="21"/>
              </w:rPr>
              <w:t>环办环评[2018]31号</w:t>
            </w:r>
          </w:p>
        </w:tc>
        <w:tc>
          <w:tcPr>
            <w:tcW w:w="1361" w:type="pct"/>
            <w:vAlign w:val="center"/>
          </w:tcPr>
          <w:p w14:paraId="3D4BA80B">
            <w:pPr>
              <w:ind w:firstLine="0" w:firstLineChars="0"/>
              <w:jc w:val="center"/>
              <w:rPr>
                <w:sz w:val="21"/>
              </w:rPr>
            </w:pPr>
            <w:r>
              <w:rPr>
                <w:rFonts w:hint="eastAsia"/>
                <w:sz w:val="21"/>
              </w:rPr>
              <w:t>本项目情况</w:t>
            </w:r>
          </w:p>
        </w:tc>
        <w:tc>
          <w:tcPr>
            <w:tcW w:w="561" w:type="pct"/>
            <w:vAlign w:val="center"/>
          </w:tcPr>
          <w:p w14:paraId="1A7A860A">
            <w:pPr>
              <w:ind w:firstLine="0" w:firstLineChars="0"/>
              <w:jc w:val="center"/>
              <w:rPr>
                <w:sz w:val="21"/>
              </w:rPr>
            </w:pPr>
            <w:r>
              <w:rPr>
                <w:rFonts w:hint="eastAsia"/>
                <w:sz w:val="21"/>
              </w:rPr>
              <w:t>符合性分析</w:t>
            </w:r>
          </w:p>
        </w:tc>
      </w:tr>
      <w:tr w14:paraId="3C6A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46624485">
            <w:pPr>
              <w:ind w:firstLine="0" w:firstLineChars="0"/>
              <w:jc w:val="center"/>
              <w:rPr>
                <w:sz w:val="21"/>
              </w:rPr>
            </w:pPr>
            <w:r>
              <w:rPr>
                <w:rFonts w:hint="eastAsia"/>
                <w:sz w:val="21"/>
              </w:rPr>
              <w:t>一、优化项目选址，合理布置养殖区</w:t>
            </w:r>
          </w:p>
        </w:tc>
        <w:tc>
          <w:tcPr>
            <w:tcW w:w="1361" w:type="pct"/>
            <w:vAlign w:val="center"/>
          </w:tcPr>
          <w:p w14:paraId="42EB8DEA">
            <w:pPr>
              <w:ind w:firstLine="0" w:firstLineChars="0"/>
              <w:jc w:val="center"/>
              <w:rPr>
                <w:sz w:val="21"/>
              </w:rPr>
            </w:pPr>
            <w:r>
              <w:rPr>
                <w:rFonts w:hint="eastAsia"/>
                <w:sz w:val="21"/>
              </w:rPr>
              <w:t>/</w:t>
            </w:r>
          </w:p>
        </w:tc>
        <w:tc>
          <w:tcPr>
            <w:tcW w:w="561" w:type="pct"/>
            <w:vAlign w:val="center"/>
          </w:tcPr>
          <w:p w14:paraId="61B01D8D">
            <w:pPr>
              <w:ind w:firstLine="0" w:firstLineChars="0"/>
              <w:jc w:val="center"/>
              <w:rPr>
                <w:sz w:val="21"/>
              </w:rPr>
            </w:pPr>
            <w:r>
              <w:rPr>
                <w:rFonts w:hint="eastAsia"/>
                <w:sz w:val="21"/>
              </w:rPr>
              <w:t>/</w:t>
            </w:r>
          </w:p>
        </w:tc>
      </w:tr>
      <w:tr w14:paraId="7C17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6064286F">
            <w:pPr>
              <w:ind w:firstLine="0" w:firstLineChars="0"/>
              <w:jc w:val="center"/>
              <w:rPr>
                <w:sz w:val="21"/>
              </w:rPr>
            </w:pPr>
            <w:r>
              <w:rPr>
                <w:rFonts w:hint="eastAsia"/>
                <w:sz w:val="21"/>
              </w:rPr>
              <w:t>1</w:t>
            </w:r>
          </w:p>
        </w:tc>
        <w:tc>
          <w:tcPr>
            <w:tcW w:w="2885" w:type="pct"/>
            <w:vAlign w:val="center"/>
          </w:tcPr>
          <w:p w14:paraId="7D7025CD">
            <w:pPr>
              <w:ind w:firstLine="0" w:firstLineChars="0"/>
              <w:jc w:val="center"/>
              <w:rPr>
                <w:sz w:val="21"/>
              </w:rPr>
            </w:pPr>
            <w:r>
              <w:rPr>
                <w:rFonts w:hint="eastAsia"/>
                <w:sz w:val="21"/>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1361" w:type="pct"/>
            <w:vAlign w:val="center"/>
          </w:tcPr>
          <w:p w14:paraId="526736DD">
            <w:pPr>
              <w:ind w:firstLine="0" w:firstLineChars="0"/>
              <w:jc w:val="center"/>
              <w:rPr>
                <w:sz w:val="21"/>
              </w:rPr>
            </w:pPr>
            <w:r>
              <w:rPr>
                <w:rFonts w:hint="eastAsia"/>
                <w:sz w:val="21"/>
              </w:rPr>
              <w:t>项目选址不在划定的禁养区、限养区。项目选址不涉及饮用水水源保护区、风景名胜区、自然保护区的核心区、缓冲区，以及村镇人口集中区域</w:t>
            </w:r>
          </w:p>
        </w:tc>
        <w:tc>
          <w:tcPr>
            <w:tcW w:w="561" w:type="pct"/>
            <w:vAlign w:val="center"/>
          </w:tcPr>
          <w:p w14:paraId="5CB08CD5">
            <w:pPr>
              <w:ind w:firstLine="0" w:firstLineChars="0"/>
              <w:jc w:val="center"/>
              <w:rPr>
                <w:sz w:val="21"/>
              </w:rPr>
            </w:pPr>
            <w:r>
              <w:rPr>
                <w:rFonts w:hint="eastAsia"/>
                <w:sz w:val="21"/>
              </w:rPr>
              <w:t>符合</w:t>
            </w:r>
          </w:p>
        </w:tc>
      </w:tr>
      <w:tr w14:paraId="16EA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3314C18F">
            <w:pPr>
              <w:ind w:firstLine="0" w:firstLineChars="0"/>
              <w:jc w:val="center"/>
              <w:rPr>
                <w:sz w:val="21"/>
              </w:rPr>
            </w:pPr>
            <w:r>
              <w:rPr>
                <w:rFonts w:hint="eastAsia"/>
                <w:sz w:val="21"/>
              </w:rPr>
              <w:t>2</w:t>
            </w:r>
          </w:p>
        </w:tc>
        <w:tc>
          <w:tcPr>
            <w:tcW w:w="2885" w:type="pct"/>
            <w:vAlign w:val="center"/>
          </w:tcPr>
          <w:p w14:paraId="3E525128">
            <w:pPr>
              <w:ind w:firstLine="0" w:firstLineChars="0"/>
              <w:jc w:val="center"/>
              <w:rPr>
                <w:sz w:val="21"/>
              </w:rPr>
            </w:pPr>
            <w:r>
              <w:rPr>
                <w:rFonts w:hint="eastAsia"/>
                <w:sz w:val="21"/>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大气环境》要求计算大气环境防护距离，作为养殖场选址以及周边规划控制的依据，减轻对周围环境保护目标的不利影响</w:t>
            </w:r>
          </w:p>
        </w:tc>
        <w:tc>
          <w:tcPr>
            <w:tcW w:w="1361" w:type="pct"/>
            <w:vAlign w:val="center"/>
          </w:tcPr>
          <w:p w14:paraId="77004CEF">
            <w:pPr>
              <w:ind w:firstLine="0" w:firstLineChars="0"/>
              <w:jc w:val="center"/>
              <w:rPr>
                <w:sz w:val="21"/>
              </w:rPr>
            </w:pPr>
            <w:r>
              <w:rPr>
                <w:rFonts w:hint="eastAsia"/>
                <w:sz w:val="21"/>
              </w:rPr>
              <w:t>项目养殖区位于主导风向的侧风向，项目建设符合《畜禽养殖业污染防治技术规范》要求，根据《环境影响评价技术导则大气环境》要求，项目无需设置大气环境防护距离</w:t>
            </w:r>
          </w:p>
        </w:tc>
        <w:tc>
          <w:tcPr>
            <w:tcW w:w="561" w:type="pct"/>
            <w:vAlign w:val="center"/>
          </w:tcPr>
          <w:p w14:paraId="6194721F">
            <w:pPr>
              <w:ind w:firstLine="0" w:firstLineChars="0"/>
              <w:jc w:val="center"/>
              <w:rPr>
                <w:sz w:val="21"/>
              </w:rPr>
            </w:pPr>
            <w:r>
              <w:rPr>
                <w:rFonts w:hint="eastAsia"/>
                <w:sz w:val="21"/>
              </w:rPr>
              <w:t>符合</w:t>
            </w:r>
          </w:p>
        </w:tc>
      </w:tr>
      <w:tr w14:paraId="5762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4DCC52CE">
            <w:pPr>
              <w:ind w:firstLine="0" w:firstLineChars="0"/>
              <w:jc w:val="center"/>
              <w:rPr>
                <w:sz w:val="21"/>
              </w:rPr>
            </w:pPr>
            <w:r>
              <w:rPr>
                <w:rFonts w:hint="eastAsia"/>
                <w:sz w:val="21"/>
              </w:rPr>
              <w:t>二、加强粪污减量控制，促进畜禽养殖污粪资源化利用</w:t>
            </w:r>
          </w:p>
        </w:tc>
        <w:tc>
          <w:tcPr>
            <w:tcW w:w="1361" w:type="pct"/>
            <w:vAlign w:val="center"/>
          </w:tcPr>
          <w:p w14:paraId="32918C6B">
            <w:pPr>
              <w:ind w:firstLine="0" w:firstLineChars="0"/>
              <w:jc w:val="center"/>
              <w:rPr>
                <w:sz w:val="21"/>
              </w:rPr>
            </w:pPr>
            <w:r>
              <w:rPr>
                <w:rFonts w:hint="eastAsia"/>
                <w:sz w:val="21"/>
              </w:rPr>
              <w:t>/</w:t>
            </w:r>
          </w:p>
        </w:tc>
        <w:tc>
          <w:tcPr>
            <w:tcW w:w="561" w:type="pct"/>
            <w:vAlign w:val="center"/>
          </w:tcPr>
          <w:p w14:paraId="14C4A7B6">
            <w:pPr>
              <w:ind w:firstLine="0" w:firstLineChars="0"/>
              <w:jc w:val="center"/>
              <w:rPr>
                <w:sz w:val="21"/>
              </w:rPr>
            </w:pPr>
            <w:r>
              <w:rPr>
                <w:rFonts w:hint="eastAsia"/>
                <w:sz w:val="21"/>
              </w:rPr>
              <w:t>/</w:t>
            </w:r>
          </w:p>
        </w:tc>
      </w:tr>
      <w:tr w14:paraId="7EEF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7E73AB56">
            <w:pPr>
              <w:ind w:firstLine="0" w:firstLineChars="0"/>
              <w:jc w:val="center"/>
              <w:rPr>
                <w:sz w:val="21"/>
              </w:rPr>
            </w:pPr>
            <w:r>
              <w:rPr>
                <w:rFonts w:hint="eastAsia"/>
                <w:sz w:val="21"/>
              </w:rPr>
              <w:t>1</w:t>
            </w:r>
          </w:p>
        </w:tc>
        <w:tc>
          <w:tcPr>
            <w:tcW w:w="2885" w:type="pct"/>
            <w:vAlign w:val="center"/>
          </w:tcPr>
          <w:p w14:paraId="3680F6E8">
            <w:pPr>
              <w:ind w:firstLine="0" w:firstLineChars="0"/>
              <w:jc w:val="center"/>
              <w:rPr>
                <w:sz w:val="21"/>
              </w:rPr>
            </w:pPr>
            <w:r>
              <w:rPr>
                <w:rFonts w:hint="eastAsia"/>
                <w:sz w:val="21"/>
              </w:rPr>
              <w:t>项目环评应以农业绿色发展为导向，优化工艺，通过采取优化饲料配方、提高饲养技术等措施，从源头减少粪污的产生量。鼓励采取干清粪方式，采取水泡类工艺的应最大限度降低用水量。场区应采取雨污分离措施，防止雨水进入粪污收集系统</w:t>
            </w:r>
          </w:p>
        </w:tc>
        <w:tc>
          <w:tcPr>
            <w:tcW w:w="1361" w:type="pct"/>
            <w:vAlign w:val="center"/>
          </w:tcPr>
          <w:p w14:paraId="0C8CF515">
            <w:pPr>
              <w:ind w:firstLine="0" w:firstLineChars="0"/>
              <w:jc w:val="center"/>
              <w:rPr>
                <w:sz w:val="21"/>
              </w:rPr>
            </w:pPr>
            <w:r>
              <w:rPr>
                <w:rFonts w:hint="eastAsia"/>
                <w:sz w:val="21"/>
              </w:rPr>
              <w:t>本项目饲料均为购买的优质饲料，本项目采用干清粪。</w:t>
            </w:r>
          </w:p>
        </w:tc>
        <w:tc>
          <w:tcPr>
            <w:tcW w:w="561" w:type="pct"/>
            <w:vAlign w:val="center"/>
          </w:tcPr>
          <w:p w14:paraId="16A2CF18">
            <w:pPr>
              <w:ind w:firstLine="0" w:firstLineChars="0"/>
              <w:jc w:val="center"/>
              <w:rPr>
                <w:sz w:val="21"/>
              </w:rPr>
            </w:pPr>
            <w:r>
              <w:rPr>
                <w:rFonts w:hint="eastAsia"/>
                <w:sz w:val="21"/>
              </w:rPr>
              <w:t>符合</w:t>
            </w:r>
          </w:p>
        </w:tc>
      </w:tr>
      <w:tr w14:paraId="60A5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456DED25">
            <w:pPr>
              <w:ind w:firstLine="0" w:firstLineChars="0"/>
              <w:jc w:val="center"/>
              <w:rPr>
                <w:sz w:val="21"/>
              </w:rPr>
            </w:pPr>
            <w:r>
              <w:rPr>
                <w:rFonts w:hint="eastAsia"/>
                <w:sz w:val="21"/>
              </w:rPr>
              <w:t>2</w:t>
            </w:r>
          </w:p>
        </w:tc>
        <w:tc>
          <w:tcPr>
            <w:tcW w:w="2885" w:type="pct"/>
            <w:vAlign w:val="center"/>
          </w:tcPr>
          <w:p w14:paraId="252F8879">
            <w:pPr>
              <w:ind w:firstLine="0" w:firstLineChars="0"/>
              <w:jc w:val="center"/>
              <w:rPr>
                <w:sz w:val="21"/>
              </w:rPr>
            </w:pPr>
            <w:r>
              <w:rPr>
                <w:rFonts w:hint="eastAsia"/>
                <w:sz w:val="21"/>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类污专业化能源利用等模式处理利用畜禽粪污，促进畜禽规模养殖项目“种养结合”绿色发展。</w:t>
            </w:r>
          </w:p>
        </w:tc>
        <w:tc>
          <w:tcPr>
            <w:tcW w:w="1361" w:type="pct"/>
            <w:vAlign w:val="center"/>
          </w:tcPr>
          <w:p w14:paraId="2B93503E">
            <w:pPr>
              <w:ind w:firstLine="0" w:firstLineChars="0"/>
              <w:jc w:val="center"/>
              <w:rPr>
                <w:sz w:val="21"/>
              </w:rPr>
            </w:pPr>
            <w:r>
              <w:rPr>
                <w:rFonts w:hint="eastAsia"/>
                <w:sz w:val="21"/>
              </w:rPr>
              <w:t>本项目粪便经处理后还田</w:t>
            </w:r>
          </w:p>
        </w:tc>
        <w:tc>
          <w:tcPr>
            <w:tcW w:w="561" w:type="pct"/>
            <w:vAlign w:val="center"/>
          </w:tcPr>
          <w:p w14:paraId="4D7A1C89">
            <w:pPr>
              <w:ind w:firstLine="0" w:firstLineChars="0"/>
              <w:jc w:val="center"/>
              <w:rPr>
                <w:sz w:val="21"/>
              </w:rPr>
            </w:pPr>
            <w:r>
              <w:rPr>
                <w:rFonts w:hint="eastAsia"/>
                <w:sz w:val="21"/>
              </w:rPr>
              <w:t>符合</w:t>
            </w:r>
          </w:p>
        </w:tc>
      </w:tr>
      <w:tr w14:paraId="73D8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4A5BC9AA">
            <w:pPr>
              <w:ind w:firstLine="0" w:firstLineChars="0"/>
              <w:jc w:val="center"/>
              <w:rPr>
                <w:sz w:val="21"/>
              </w:rPr>
            </w:pPr>
            <w:r>
              <w:rPr>
                <w:rFonts w:hint="eastAsia"/>
                <w:sz w:val="21"/>
              </w:rPr>
              <w:t>3</w:t>
            </w:r>
          </w:p>
        </w:tc>
        <w:tc>
          <w:tcPr>
            <w:tcW w:w="2885" w:type="pct"/>
            <w:vAlign w:val="center"/>
          </w:tcPr>
          <w:p w14:paraId="3E5448F0">
            <w:pPr>
              <w:ind w:firstLine="0" w:firstLineChars="0"/>
              <w:jc w:val="center"/>
              <w:rPr>
                <w:sz w:val="21"/>
              </w:rPr>
            </w:pPr>
            <w:r>
              <w:rPr>
                <w:rFonts w:hint="eastAsia"/>
                <w:sz w:val="21"/>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类污处理利用企业，提高畜禽养殖粪污集中收集利用能力。环评应明确畜禽养殖粪污资源化利用的主体，严格落实利用渠道或途径，确保资源化利用有效实施。</w:t>
            </w:r>
          </w:p>
        </w:tc>
        <w:tc>
          <w:tcPr>
            <w:tcW w:w="1361" w:type="pct"/>
            <w:vAlign w:val="center"/>
          </w:tcPr>
          <w:p w14:paraId="427EF248">
            <w:pPr>
              <w:ind w:firstLine="0" w:firstLineChars="0"/>
              <w:jc w:val="center"/>
              <w:rPr>
                <w:sz w:val="21"/>
              </w:rPr>
            </w:pPr>
            <w:r>
              <w:rPr>
                <w:rFonts w:hint="eastAsia"/>
                <w:sz w:val="21"/>
              </w:rPr>
              <w:t>经计算本项目周围有大规模农田，可以消纳。</w:t>
            </w:r>
          </w:p>
        </w:tc>
        <w:tc>
          <w:tcPr>
            <w:tcW w:w="561" w:type="pct"/>
            <w:vAlign w:val="center"/>
          </w:tcPr>
          <w:p w14:paraId="1B219EDB">
            <w:pPr>
              <w:ind w:firstLine="0" w:firstLineChars="0"/>
              <w:jc w:val="center"/>
              <w:rPr>
                <w:sz w:val="21"/>
              </w:rPr>
            </w:pPr>
            <w:r>
              <w:rPr>
                <w:rFonts w:hint="eastAsia"/>
                <w:sz w:val="21"/>
              </w:rPr>
              <w:t>符合</w:t>
            </w:r>
          </w:p>
        </w:tc>
      </w:tr>
      <w:tr w14:paraId="6073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41265E7D">
            <w:pPr>
              <w:ind w:firstLine="0" w:firstLineChars="0"/>
              <w:jc w:val="center"/>
              <w:rPr>
                <w:sz w:val="21"/>
              </w:rPr>
            </w:pPr>
            <w:r>
              <w:rPr>
                <w:rFonts w:hint="eastAsia"/>
                <w:sz w:val="21"/>
              </w:rPr>
              <w:t>三、强化粪污治理措施，做好污染防治</w:t>
            </w:r>
          </w:p>
        </w:tc>
        <w:tc>
          <w:tcPr>
            <w:tcW w:w="1361" w:type="pct"/>
            <w:vAlign w:val="center"/>
          </w:tcPr>
          <w:p w14:paraId="7803B75A">
            <w:pPr>
              <w:ind w:firstLine="0" w:firstLineChars="0"/>
              <w:jc w:val="center"/>
              <w:rPr>
                <w:sz w:val="21"/>
              </w:rPr>
            </w:pPr>
            <w:r>
              <w:rPr>
                <w:rFonts w:hint="eastAsia"/>
                <w:sz w:val="21"/>
              </w:rPr>
              <w:t>/</w:t>
            </w:r>
          </w:p>
        </w:tc>
        <w:tc>
          <w:tcPr>
            <w:tcW w:w="561" w:type="pct"/>
            <w:vAlign w:val="center"/>
          </w:tcPr>
          <w:p w14:paraId="419DDEA6">
            <w:pPr>
              <w:ind w:firstLine="0" w:firstLineChars="0"/>
              <w:jc w:val="center"/>
              <w:rPr>
                <w:sz w:val="21"/>
              </w:rPr>
            </w:pPr>
            <w:r>
              <w:rPr>
                <w:rFonts w:hint="eastAsia"/>
                <w:sz w:val="21"/>
              </w:rPr>
              <w:t>/</w:t>
            </w:r>
          </w:p>
        </w:tc>
      </w:tr>
      <w:tr w14:paraId="0AA4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42CF590C">
            <w:pPr>
              <w:ind w:firstLine="0" w:firstLineChars="0"/>
              <w:jc w:val="center"/>
              <w:rPr>
                <w:sz w:val="21"/>
              </w:rPr>
            </w:pPr>
            <w:r>
              <w:rPr>
                <w:rFonts w:hint="eastAsia"/>
                <w:sz w:val="21"/>
              </w:rPr>
              <w:t>1</w:t>
            </w:r>
          </w:p>
        </w:tc>
        <w:tc>
          <w:tcPr>
            <w:tcW w:w="2885" w:type="pct"/>
            <w:vAlign w:val="center"/>
          </w:tcPr>
          <w:p w14:paraId="2798028B">
            <w:pPr>
              <w:ind w:firstLine="0" w:firstLineChars="0"/>
              <w:jc w:val="center"/>
              <w:rPr>
                <w:sz w:val="21"/>
              </w:rPr>
            </w:pPr>
            <w:r>
              <w:rPr>
                <w:rFonts w:hint="eastAsia"/>
                <w:sz w:val="21"/>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类污处理或利用设施</w:t>
            </w:r>
          </w:p>
        </w:tc>
        <w:tc>
          <w:tcPr>
            <w:tcW w:w="1361" w:type="pct"/>
            <w:vAlign w:val="center"/>
          </w:tcPr>
          <w:p w14:paraId="0DA65887">
            <w:pPr>
              <w:ind w:firstLine="0" w:firstLineChars="0"/>
              <w:jc w:val="center"/>
              <w:rPr>
                <w:sz w:val="21"/>
              </w:rPr>
            </w:pPr>
            <w:r>
              <w:rPr>
                <w:rFonts w:hint="eastAsia"/>
                <w:sz w:val="21"/>
              </w:rPr>
              <w:t>本项目粪便经处理后还田</w:t>
            </w:r>
          </w:p>
        </w:tc>
        <w:tc>
          <w:tcPr>
            <w:tcW w:w="561" w:type="pct"/>
            <w:vAlign w:val="center"/>
          </w:tcPr>
          <w:p w14:paraId="419EF834">
            <w:pPr>
              <w:ind w:firstLine="0" w:firstLineChars="0"/>
              <w:jc w:val="center"/>
              <w:rPr>
                <w:sz w:val="21"/>
              </w:rPr>
            </w:pPr>
            <w:r>
              <w:rPr>
                <w:rFonts w:hint="eastAsia"/>
                <w:sz w:val="21"/>
              </w:rPr>
              <w:t>符合</w:t>
            </w:r>
          </w:p>
        </w:tc>
      </w:tr>
      <w:tr w14:paraId="65DD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6AEC5A7E">
            <w:pPr>
              <w:ind w:firstLine="0" w:firstLineChars="0"/>
              <w:jc w:val="center"/>
              <w:rPr>
                <w:sz w:val="21"/>
              </w:rPr>
            </w:pPr>
            <w:r>
              <w:rPr>
                <w:rFonts w:hint="eastAsia"/>
                <w:sz w:val="21"/>
              </w:rPr>
              <w:t>2</w:t>
            </w:r>
          </w:p>
        </w:tc>
        <w:tc>
          <w:tcPr>
            <w:tcW w:w="2885" w:type="pct"/>
            <w:vAlign w:val="center"/>
          </w:tcPr>
          <w:p w14:paraId="0858940E">
            <w:pPr>
              <w:ind w:firstLine="0" w:firstLineChars="0"/>
              <w:jc w:val="center"/>
              <w:rPr>
                <w:sz w:val="21"/>
              </w:rPr>
            </w:pPr>
            <w:r>
              <w:rPr>
                <w:rFonts w:hint="eastAsia"/>
                <w:sz w:val="21"/>
              </w:rPr>
              <w:t>项目环评应明确畜禽粪污贮存、处理和利用措施。贮存池应采取有效的防雨、防渗和防溢流措施，防止畜禽类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1361" w:type="pct"/>
            <w:vAlign w:val="center"/>
          </w:tcPr>
          <w:p w14:paraId="49348F5D">
            <w:pPr>
              <w:ind w:firstLine="0" w:firstLineChars="0"/>
              <w:jc w:val="center"/>
              <w:rPr>
                <w:sz w:val="21"/>
              </w:rPr>
            </w:pPr>
            <w:r>
              <w:rPr>
                <w:rFonts w:hint="eastAsia"/>
                <w:sz w:val="21"/>
              </w:rPr>
              <w:t>圈舍按等效黏防渗层厚度不小于6m，渗透系数不大于1</w:t>
            </w:r>
            <w:r>
              <w:rPr>
                <w:sz w:val="21"/>
              </w:rPr>
              <w:t>×</w:t>
            </w:r>
            <w:r>
              <w:rPr>
                <w:rFonts w:hint="eastAsia"/>
                <w:sz w:val="21"/>
              </w:rPr>
              <w:t>10</w:t>
            </w:r>
            <w:r>
              <w:rPr>
                <w:rFonts w:hint="eastAsia"/>
                <w:sz w:val="21"/>
                <w:vertAlign w:val="superscript"/>
              </w:rPr>
              <w:t>-7</w:t>
            </w:r>
            <w:r>
              <w:rPr>
                <w:rFonts w:hint="eastAsia"/>
                <w:sz w:val="21"/>
              </w:rPr>
              <w:t>cm/s或参考《危险废物填埋污染控制标准》（GB18598-2001）要求进行防渗。</w:t>
            </w:r>
          </w:p>
        </w:tc>
        <w:tc>
          <w:tcPr>
            <w:tcW w:w="561" w:type="pct"/>
            <w:vAlign w:val="center"/>
          </w:tcPr>
          <w:p w14:paraId="006CB80F">
            <w:pPr>
              <w:ind w:firstLine="0" w:firstLineChars="0"/>
              <w:jc w:val="center"/>
              <w:rPr>
                <w:sz w:val="21"/>
              </w:rPr>
            </w:pPr>
            <w:r>
              <w:rPr>
                <w:rFonts w:hint="eastAsia"/>
                <w:sz w:val="21"/>
              </w:rPr>
              <w:t>符合</w:t>
            </w:r>
          </w:p>
        </w:tc>
      </w:tr>
      <w:tr w14:paraId="3380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070F8B2C">
            <w:pPr>
              <w:ind w:firstLine="0" w:firstLineChars="0"/>
              <w:jc w:val="center"/>
              <w:rPr>
                <w:sz w:val="21"/>
              </w:rPr>
            </w:pPr>
            <w:r>
              <w:rPr>
                <w:rFonts w:hint="eastAsia"/>
                <w:sz w:val="21"/>
              </w:rPr>
              <w:t>3</w:t>
            </w:r>
          </w:p>
        </w:tc>
        <w:tc>
          <w:tcPr>
            <w:tcW w:w="2885" w:type="pct"/>
            <w:vAlign w:val="center"/>
          </w:tcPr>
          <w:p w14:paraId="7A5AD9D1">
            <w:pPr>
              <w:ind w:firstLine="0" w:firstLineChars="0"/>
              <w:jc w:val="center"/>
              <w:rPr>
                <w:sz w:val="21"/>
              </w:rPr>
            </w:pPr>
            <w:r>
              <w:rPr>
                <w:rFonts w:hint="eastAsia"/>
                <w:sz w:val="21"/>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tc>
        <w:tc>
          <w:tcPr>
            <w:tcW w:w="1361" w:type="pct"/>
            <w:vAlign w:val="center"/>
          </w:tcPr>
          <w:p w14:paraId="0A632808">
            <w:pPr>
              <w:ind w:firstLine="0" w:firstLineChars="0"/>
              <w:jc w:val="center"/>
              <w:rPr>
                <w:sz w:val="21"/>
              </w:rPr>
            </w:pPr>
            <w:r>
              <w:rPr>
                <w:rFonts w:hint="eastAsia"/>
                <w:sz w:val="21"/>
              </w:rPr>
              <w:t>按照要求对管道进行铺设</w:t>
            </w:r>
          </w:p>
        </w:tc>
        <w:tc>
          <w:tcPr>
            <w:tcW w:w="561" w:type="pct"/>
            <w:vAlign w:val="center"/>
          </w:tcPr>
          <w:p w14:paraId="19036D30">
            <w:pPr>
              <w:ind w:firstLine="0" w:firstLineChars="0"/>
              <w:jc w:val="center"/>
              <w:rPr>
                <w:sz w:val="21"/>
              </w:rPr>
            </w:pPr>
            <w:r>
              <w:rPr>
                <w:rFonts w:hint="eastAsia"/>
                <w:sz w:val="21"/>
              </w:rPr>
              <w:t>符合</w:t>
            </w:r>
          </w:p>
        </w:tc>
      </w:tr>
      <w:tr w14:paraId="2676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Align w:val="center"/>
          </w:tcPr>
          <w:p w14:paraId="62BBF391">
            <w:pPr>
              <w:ind w:firstLine="0" w:firstLineChars="0"/>
              <w:jc w:val="center"/>
              <w:rPr>
                <w:sz w:val="21"/>
              </w:rPr>
            </w:pPr>
            <w:r>
              <w:rPr>
                <w:rFonts w:hint="eastAsia"/>
                <w:sz w:val="21"/>
              </w:rPr>
              <w:t>4</w:t>
            </w:r>
          </w:p>
        </w:tc>
        <w:tc>
          <w:tcPr>
            <w:tcW w:w="2885" w:type="pct"/>
            <w:vAlign w:val="center"/>
          </w:tcPr>
          <w:p w14:paraId="5F7BF045">
            <w:pPr>
              <w:ind w:firstLine="0" w:firstLineChars="0"/>
              <w:jc w:val="center"/>
              <w:rPr>
                <w:sz w:val="21"/>
              </w:rPr>
            </w:pPr>
            <w:r>
              <w:rPr>
                <w:rFonts w:hint="eastAsia"/>
                <w:sz w:val="21"/>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1361" w:type="pct"/>
            <w:vAlign w:val="center"/>
          </w:tcPr>
          <w:p w14:paraId="30BD64CE">
            <w:pPr>
              <w:ind w:firstLine="0" w:firstLineChars="0"/>
              <w:jc w:val="center"/>
              <w:rPr>
                <w:sz w:val="21"/>
              </w:rPr>
            </w:pPr>
            <w:r>
              <w:rPr>
                <w:rFonts w:hint="eastAsia"/>
                <w:sz w:val="21"/>
              </w:rPr>
              <w:t>病死骆驼按照要求委托有资质的第三方处置。</w:t>
            </w:r>
          </w:p>
        </w:tc>
        <w:tc>
          <w:tcPr>
            <w:tcW w:w="561" w:type="pct"/>
            <w:vAlign w:val="center"/>
          </w:tcPr>
          <w:p w14:paraId="6CD0EF3A">
            <w:pPr>
              <w:ind w:firstLine="0" w:firstLineChars="0"/>
              <w:jc w:val="center"/>
              <w:rPr>
                <w:sz w:val="21"/>
              </w:rPr>
            </w:pPr>
            <w:r>
              <w:rPr>
                <w:rFonts w:hint="eastAsia"/>
                <w:sz w:val="21"/>
              </w:rPr>
              <w:t>符合</w:t>
            </w:r>
          </w:p>
        </w:tc>
      </w:tr>
      <w:tr w14:paraId="0919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284DAAC0">
            <w:pPr>
              <w:ind w:firstLine="0" w:firstLineChars="0"/>
              <w:jc w:val="center"/>
              <w:rPr>
                <w:sz w:val="21"/>
              </w:rPr>
            </w:pPr>
            <w:r>
              <w:rPr>
                <w:rFonts w:hint="eastAsia"/>
                <w:sz w:val="21"/>
              </w:rPr>
              <w:t>四、落实环评信息公开要求，发挥公众参与的监督作用</w:t>
            </w:r>
          </w:p>
        </w:tc>
        <w:tc>
          <w:tcPr>
            <w:tcW w:w="1361" w:type="pct"/>
            <w:vAlign w:val="center"/>
          </w:tcPr>
          <w:p w14:paraId="469C632A">
            <w:pPr>
              <w:ind w:firstLine="0" w:firstLineChars="0"/>
              <w:jc w:val="center"/>
              <w:rPr>
                <w:sz w:val="21"/>
              </w:rPr>
            </w:pPr>
            <w:r>
              <w:rPr>
                <w:rFonts w:hint="eastAsia"/>
                <w:sz w:val="21"/>
              </w:rPr>
              <w:t>/</w:t>
            </w:r>
          </w:p>
        </w:tc>
        <w:tc>
          <w:tcPr>
            <w:tcW w:w="561" w:type="pct"/>
            <w:vAlign w:val="center"/>
          </w:tcPr>
          <w:p w14:paraId="78950CCF">
            <w:pPr>
              <w:ind w:firstLine="0" w:firstLineChars="0"/>
              <w:jc w:val="center"/>
              <w:rPr>
                <w:sz w:val="21"/>
              </w:rPr>
            </w:pPr>
            <w:r>
              <w:rPr>
                <w:rFonts w:hint="eastAsia"/>
                <w:sz w:val="21"/>
              </w:rPr>
              <w:t>/</w:t>
            </w:r>
          </w:p>
        </w:tc>
      </w:tr>
      <w:tr w14:paraId="4722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2C30AFF5">
            <w:pPr>
              <w:ind w:firstLine="0" w:firstLineChars="0"/>
              <w:jc w:val="center"/>
              <w:rPr>
                <w:sz w:val="21"/>
              </w:rPr>
            </w:pPr>
            <w:r>
              <w:rPr>
                <w:rFonts w:hint="eastAsia"/>
                <w:sz w:val="21"/>
              </w:rPr>
              <w:t>建设单位在项目环评报告书报送审批前，应采取适当形式，遵循依法、有序、公开、便利的原则，公开征求意见并对真实性和结果负责</w:t>
            </w:r>
          </w:p>
        </w:tc>
        <w:tc>
          <w:tcPr>
            <w:tcW w:w="1361" w:type="pct"/>
            <w:vAlign w:val="center"/>
          </w:tcPr>
          <w:p w14:paraId="62DB2677">
            <w:pPr>
              <w:ind w:firstLine="0" w:firstLineChars="0"/>
              <w:jc w:val="center"/>
              <w:rPr>
                <w:sz w:val="21"/>
              </w:rPr>
            </w:pPr>
            <w:r>
              <w:rPr>
                <w:rFonts w:hint="eastAsia"/>
                <w:sz w:val="21"/>
              </w:rPr>
              <w:t>接受委托后，在网上进行了第一次网络平台公示，并将公众意见表一并公示。在编制完成征求意见稿后，通过网上进行了征求意见稿公示，并将公众意见表作为附件一并公示。在报告书征求意见稿期间，建设单位在村委会以张贴公告方式进行了征求意见稿现场公示，并向相关民众和团体发放了公众意见表进行意见征询，开展公众参与调查活动。</w:t>
            </w:r>
          </w:p>
        </w:tc>
        <w:tc>
          <w:tcPr>
            <w:tcW w:w="561" w:type="pct"/>
            <w:vAlign w:val="center"/>
          </w:tcPr>
          <w:p w14:paraId="0C5F829E">
            <w:pPr>
              <w:ind w:firstLine="0" w:firstLineChars="0"/>
              <w:jc w:val="center"/>
              <w:rPr>
                <w:sz w:val="21"/>
              </w:rPr>
            </w:pPr>
            <w:r>
              <w:rPr>
                <w:rFonts w:hint="eastAsia"/>
                <w:sz w:val="21"/>
              </w:rPr>
              <w:t>符合</w:t>
            </w:r>
          </w:p>
        </w:tc>
      </w:tr>
      <w:tr w14:paraId="7367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16ECA5EB">
            <w:pPr>
              <w:ind w:firstLine="0" w:firstLineChars="0"/>
              <w:jc w:val="center"/>
              <w:rPr>
                <w:sz w:val="21"/>
              </w:rPr>
            </w:pPr>
            <w:r>
              <w:rPr>
                <w:rFonts w:hint="eastAsia"/>
                <w:sz w:val="21"/>
              </w:rPr>
              <w:t>五、强化事中事后监管，形成长效管理机制</w:t>
            </w:r>
          </w:p>
        </w:tc>
        <w:tc>
          <w:tcPr>
            <w:tcW w:w="1361" w:type="pct"/>
            <w:vAlign w:val="center"/>
          </w:tcPr>
          <w:p w14:paraId="0FA5EBF6">
            <w:pPr>
              <w:ind w:firstLine="0" w:firstLineChars="0"/>
              <w:jc w:val="center"/>
              <w:rPr>
                <w:sz w:val="21"/>
              </w:rPr>
            </w:pPr>
            <w:r>
              <w:rPr>
                <w:rFonts w:hint="eastAsia"/>
                <w:sz w:val="21"/>
              </w:rPr>
              <w:t>/</w:t>
            </w:r>
          </w:p>
        </w:tc>
        <w:tc>
          <w:tcPr>
            <w:tcW w:w="561" w:type="pct"/>
            <w:vAlign w:val="center"/>
          </w:tcPr>
          <w:p w14:paraId="6B59E9B2">
            <w:pPr>
              <w:ind w:firstLine="0" w:firstLineChars="0"/>
              <w:jc w:val="center"/>
              <w:rPr>
                <w:sz w:val="21"/>
              </w:rPr>
            </w:pPr>
            <w:r>
              <w:rPr>
                <w:rFonts w:hint="eastAsia"/>
                <w:sz w:val="21"/>
              </w:rPr>
              <w:t>/</w:t>
            </w:r>
          </w:p>
        </w:tc>
      </w:tr>
      <w:tr w14:paraId="6616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9" w:type="pct"/>
            <w:gridSpan w:val="2"/>
            <w:vAlign w:val="center"/>
          </w:tcPr>
          <w:p w14:paraId="5D1E6A6F">
            <w:pPr>
              <w:ind w:firstLine="0" w:firstLineChars="0"/>
              <w:jc w:val="center"/>
              <w:rPr>
                <w:sz w:val="21"/>
              </w:rPr>
            </w:pPr>
            <w:r>
              <w:rPr>
                <w:rFonts w:hint="eastAsia"/>
                <w:sz w:val="21"/>
              </w:rPr>
              <w:t>建设单位必须严格执行环境保护“三同时”制度，落实各项生态环境保护措施，在项目建成后按照国家规定的程序和技术规范，开展建设项目竣工环境保护验收。</w:t>
            </w:r>
          </w:p>
        </w:tc>
        <w:tc>
          <w:tcPr>
            <w:tcW w:w="1361" w:type="pct"/>
            <w:vAlign w:val="center"/>
          </w:tcPr>
          <w:p w14:paraId="72E5FA44">
            <w:pPr>
              <w:ind w:firstLine="0" w:firstLineChars="0"/>
              <w:jc w:val="center"/>
              <w:rPr>
                <w:sz w:val="21"/>
              </w:rPr>
            </w:pPr>
            <w:r>
              <w:rPr>
                <w:rFonts w:hint="eastAsia"/>
                <w:sz w:val="21"/>
              </w:rPr>
              <w:t>建设单位严格执行环境保护“三同时”制度，落实各项生态环境保护措施，在项目建成后按照国家规定的程序和技术规范，开展建设项目竣工环境保护验收。</w:t>
            </w:r>
          </w:p>
        </w:tc>
        <w:tc>
          <w:tcPr>
            <w:tcW w:w="561" w:type="pct"/>
            <w:vAlign w:val="center"/>
          </w:tcPr>
          <w:p w14:paraId="7BBEE9A7">
            <w:pPr>
              <w:ind w:firstLine="0" w:firstLineChars="0"/>
              <w:jc w:val="center"/>
              <w:rPr>
                <w:sz w:val="21"/>
              </w:rPr>
            </w:pPr>
            <w:r>
              <w:rPr>
                <w:rFonts w:hint="eastAsia"/>
                <w:sz w:val="21"/>
              </w:rPr>
              <w:t>符合</w:t>
            </w:r>
          </w:p>
        </w:tc>
      </w:tr>
    </w:tbl>
    <w:p w14:paraId="0C5F77B2">
      <w:pPr>
        <w:numPr>
          <w:ilvl w:val="0"/>
          <w:numId w:val="2"/>
        </w:numPr>
        <w:snapToGrid w:val="0"/>
        <w:ind w:firstLine="480"/>
      </w:pPr>
      <w:r>
        <w:rPr>
          <w:rFonts w:hint="eastAsia"/>
        </w:rPr>
        <w:t>与《生态环境部办公厅关于进一步明确畜禽粪污还田利用要求强化养殖污染监管的通知》（农业农村部办公厅，农办牧〔2020〕23号）的符合性</w:t>
      </w:r>
    </w:p>
    <w:p w14:paraId="457FA973">
      <w:pPr>
        <w:snapToGrid w:val="0"/>
        <w:ind w:firstLine="480"/>
      </w:pPr>
      <w:r>
        <w:rPr>
          <w:rFonts w:hint="eastAsia"/>
        </w:rPr>
        <w:t>《通知》中要求：畜禽粪污的处理应根据排放去向或利用方式的不同执行相应的标准规范。对配套土地充足的养殖场户，粪污经无害化处理后还田利用具体要求及限量应符合《畜禽粪便无害化处理技术规范》（GB/T36195）和《畜禽粪便还田技术规范》（GB/T25246），配套土地面积应达到《畜禽粪污土地承载力测算技术指南》（以下简称《指南》）要求的最小面积。</w:t>
      </w:r>
    </w:p>
    <w:p w14:paraId="4D948D0C">
      <w:pPr>
        <w:snapToGrid w:val="0"/>
        <w:ind w:firstLine="480"/>
      </w:pPr>
      <w:r>
        <w:rPr>
          <w:rFonts w:hint="eastAsia"/>
        </w:rPr>
        <w:t>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p w14:paraId="56F3F141">
      <w:pPr>
        <w:snapToGrid w:val="0"/>
        <w:ind w:firstLine="480"/>
      </w:pPr>
      <w:r>
        <w:rPr>
          <w:rFonts w:hint="eastAsia"/>
        </w:rPr>
        <w:t>加强技术和装备支撑。加快畜禽粪污资源化利用先进工艺、技术和装备研发，着力破除粪污资源化利用过程中的技术和成本障碍。鼓励养殖场户全量收集和利用畜禽粪污，根据实际情况选择合理的输送和施用方式，不再强制要求固液分离。结合本地实际，推行经济高效的粪污资源化利用技术模式，积极推广全量机械化施用，逐步改进粪肥施用方式。</w:t>
      </w:r>
    </w:p>
    <w:p w14:paraId="677B3A08">
      <w:pPr>
        <w:snapToGrid w:val="0"/>
        <w:ind w:firstLine="480"/>
      </w:pPr>
      <w:r>
        <w:rPr>
          <w:rFonts w:hint="eastAsia"/>
        </w:rPr>
        <w:t>本项目粪便经处理后最终用于还田。</w:t>
      </w:r>
    </w:p>
    <w:p w14:paraId="7D6E2290">
      <w:pPr>
        <w:snapToGrid w:val="0"/>
        <w:ind w:firstLine="480"/>
      </w:pPr>
      <w:r>
        <w:rPr>
          <w:rFonts w:hint="eastAsia"/>
        </w:rPr>
        <w:t>（10）与《畜禽场场区设计技术规范》（NY/T682-2003）符合性</w:t>
      </w:r>
    </w:p>
    <w:p w14:paraId="0530F078">
      <w:pPr>
        <w:snapToGrid w:val="0"/>
        <w:ind w:firstLine="480"/>
      </w:pPr>
      <w:r>
        <w:rPr>
          <w:rFonts w:hint="eastAsia"/>
        </w:rPr>
        <w:t>根据《畜禽场场区设计技术规范》（NY/T682-2003）中畜禽养殖场总平面布置要求，本项目场区平面布置与其符合性分析见表1.3-3。</w:t>
      </w:r>
    </w:p>
    <w:p w14:paraId="4185CC56">
      <w:pPr>
        <w:snapToGrid w:val="0"/>
        <w:ind w:firstLine="0" w:firstLineChars="0"/>
        <w:jc w:val="center"/>
        <w:rPr>
          <w:b/>
          <w:bCs/>
        </w:rPr>
      </w:pPr>
      <w:r>
        <w:rPr>
          <w:rFonts w:hint="eastAsia"/>
          <w:b/>
          <w:bCs/>
        </w:rPr>
        <w:t>表1.3-3场区布局与《畜禽场场区设计技术规范》（NY/T682-2003）符合性</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932"/>
        <w:gridCol w:w="2913"/>
        <w:gridCol w:w="954"/>
      </w:tblGrid>
      <w:tr w14:paraId="527B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4FCE78B">
            <w:pPr>
              <w:ind w:firstLine="0" w:firstLineChars="0"/>
              <w:jc w:val="center"/>
              <w:rPr>
                <w:sz w:val="21"/>
              </w:rPr>
            </w:pPr>
            <w:r>
              <w:rPr>
                <w:rFonts w:hint="eastAsia"/>
                <w:sz w:val="21"/>
              </w:rPr>
              <w:t>序号</w:t>
            </w:r>
          </w:p>
        </w:tc>
        <w:tc>
          <w:tcPr>
            <w:tcW w:w="2307" w:type="pct"/>
            <w:vAlign w:val="center"/>
          </w:tcPr>
          <w:p w14:paraId="354B9358">
            <w:pPr>
              <w:ind w:firstLine="0" w:firstLineChars="0"/>
              <w:jc w:val="center"/>
              <w:rPr>
                <w:sz w:val="21"/>
              </w:rPr>
            </w:pPr>
            <w:r>
              <w:rPr>
                <w:rFonts w:hint="eastAsia"/>
                <w:bCs/>
                <w:sz w:val="21"/>
              </w:rPr>
              <w:t>《畜禽场场区设计技术规范》有关要求</w:t>
            </w:r>
          </w:p>
        </w:tc>
        <w:tc>
          <w:tcPr>
            <w:tcW w:w="1709" w:type="pct"/>
            <w:vAlign w:val="center"/>
          </w:tcPr>
          <w:p w14:paraId="2F605443">
            <w:pPr>
              <w:ind w:firstLine="0" w:firstLineChars="0"/>
              <w:jc w:val="center"/>
              <w:rPr>
                <w:sz w:val="21"/>
              </w:rPr>
            </w:pPr>
            <w:r>
              <w:rPr>
                <w:rFonts w:hint="eastAsia"/>
                <w:sz w:val="21"/>
              </w:rPr>
              <w:t>本项目</w:t>
            </w:r>
          </w:p>
        </w:tc>
        <w:tc>
          <w:tcPr>
            <w:tcW w:w="561" w:type="pct"/>
            <w:vAlign w:val="center"/>
          </w:tcPr>
          <w:p w14:paraId="1D8D5826">
            <w:pPr>
              <w:ind w:firstLine="0" w:firstLineChars="0"/>
              <w:jc w:val="center"/>
              <w:rPr>
                <w:sz w:val="21"/>
              </w:rPr>
            </w:pPr>
            <w:r>
              <w:rPr>
                <w:rFonts w:hint="eastAsia"/>
                <w:sz w:val="21"/>
              </w:rPr>
              <w:t>符合性</w:t>
            </w:r>
          </w:p>
        </w:tc>
      </w:tr>
      <w:tr w14:paraId="57D4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13ACA63">
            <w:pPr>
              <w:ind w:firstLine="0" w:firstLineChars="0"/>
              <w:jc w:val="center"/>
              <w:rPr>
                <w:sz w:val="21"/>
              </w:rPr>
            </w:pPr>
            <w:r>
              <w:rPr>
                <w:rFonts w:hint="eastAsia"/>
                <w:sz w:val="21"/>
              </w:rPr>
              <w:t>1</w:t>
            </w:r>
          </w:p>
        </w:tc>
        <w:tc>
          <w:tcPr>
            <w:tcW w:w="2307" w:type="pct"/>
            <w:vAlign w:val="center"/>
          </w:tcPr>
          <w:p w14:paraId="2773291C">
            <w:pPr>
              <w:ind w:firstLine="0" w:firstLineChars="0"/>
              <w:jc w:val="center"/>
              <w:rPr>
                <w:sz w:val="21"/>
              </w:rPr>
            </w:pPr>
            <w:r>
              <w:rPr>
                <w:rFonts w:cs="宋体"/>
                <w:sz w:val="21"/>
                <w:szCs w:val="24"/>
              </w:rPr>
              <w:t>根据畜禽场的生产工艺要求，按功能分区布置各个建（构）筑物的位置，为畜禽生产提供一个良好的生产环境</w:t>
            </w:r>
            <w:r>
              <w:rPr>
                <w:rFonts w:hint="eastAsia" w:cs="宋体"/>
                <w:sz w:val="21"/>
                <w:szCs w:val="24"/>
              </w:rPr>
              <w:t>。</w:t>
            </w:r>
            <w:r>
              <w:rPr>
                <w:rFonts w:cs="宋体"/>
                <w:sz w:val="21"/>
                <w:szCs w:val="24"/>
              </w:rPr>
              <w:t>畜禽场一般应划分为生活管理区、辅助生产区、生产区和隔离区</w:t>
            </w:r>
          </w:p>
        </w:tc>
        <w:tc>
          <w:tcPr>
            <w:tcW w:w="1709" w:type="pct"/>
            <w:vAlign w:val="center"/>
          </w:tcPr>
          <w:p w14:paraId="07FCD54B">
            <w:pPr>
              <w:ind w:firstLine="0" w:firstLineChars="0"/>
              <w:jc w:val="center"/>
              <w:rPr>
                <w:sz w:val="21"/>
              </w:rPr>
            </w:pPr>
            <w:r>
              <w:rPr>
                <w:rFonts w:cs="宋体"/>
                <w:sz w:val="21"/>
                <w:szCs w:val="24"/>
              </w:rPr>
              <w:t>本项目分为生活办公区、养殖生产区</w:t>
            </w:r>
            <w:r>
              <w:rPr>
                <w:rFonts w:hint="eastAsia" w:cs="宋体"/>
                <w:sz w:val="21"/>
                <w:szCs w:val="24"/>
              </w:rPr>
              <w:t>2</w:t>
            </w:r>
            <w:r>
              <w:rPr>
                <w:rFonts w:cs="宋体"/>
                <w:sz w:val="21"/>
                <w:szCs w:val="24"/>
              </w:rPr>
              <w:t>个功能区，提供了良好的畜禽生产场所</w:t>
            </w:r>
          </w:p>
        </w:tc>
        <w:tc>
          <w:tcPr>
            <w:tcW w:w="561" w:type="pct"/>
            <w:vAlign w:val="center"/>
          </w:tcPr>
          <w:p w14:paraId="098F419E">
            <w:pPr>
              <w:ind w:firstLine="0" w:firstLineChars="0"/>
              <w:jc w:val="center"/>
              <w:rPr>
                <w:sz w:val="21"/>
              </w:rPr>
            </w:pPr>
            <w:r>
              <w:rPr>
                <w:rFonts w:hint="eastAsia"/>
                <w:sz w:val="21"/>
              </w:rPr>
              <w:t>符合</w:t>
            </w:r>
          </w:p>
        </w:tc>
      </w:tr>
      <w:tr w14:paraId="0FE7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F955DA3">
            <w:pPr>
              <w:ind w:firstLine="0" w:firstLineChars="0"/>
              <w:jc w:val="center"/>
              <w:rPr>
                <w:sz w:val="21"/>
              </w:rPr>
            </w:pPr>
            <w:r>
              <w:rPr>
                <w:rFonts w:hint="eastAsia"/>
                <w:sz w:val="21"/>
              </w:rPr>
              <w:t>2</w:t>
            </w:r>
          </w:p>
        </w:tc>
        <w:tc>
          <w:tcPr>
            <w:tcW w:w="2307" w:type="pct"/>
            <w:vAlign w:val="center"/>
          </w:tcPr>
          <w:p w14:paraId="4036009E">
            <w:pPr>
              <w:ind w:firstLine="0" w:firstLineChars="0"/>
              <w:jc w:val="center"/>
              <w:rPr>
                <w:sz w:val="21"/>
              </w:rPr>
            </w:pPr>
            <w:r>
              <w:rPr>
                <w:rFonts w:cs="宋体"/>
                <w:sz w:val="21"/>
                <w:szCs w:val="24"/>
              </w:rPr>
              <w:t>生活管理区一般应位于场区全年主导风向上风向或侧风向处，并应在紧邻场区大门内侧集中布置</w:t>
            </w:r>
          </w:p>
        </w:tc>
        <w:tc>
          <w:tcPr>
            <w:tcW w:w="1709" w:type="pct"/>
            <w:vAlign w:val="center"/>
          </w:tcPr>
          <w:p w14:paraId="72C29565">
            <w:pPr>
              <w:ind w:firstLine="0" w:firstLineChars="0"/>
              <w:jc w:val="center"/>
              <w:rPr>
                <w:sz w:val="21"/>
              </w:rPr>
            </w:pPr>
            <w:r>
              <w:rPr>
                <w:rFonts w:cs="宋体"/>
                <w:sz w:val="21"/>
                <w:szCs w:val="24"/>
              </w:rPr>
              <w:t>生活管理区位于场区全年主导风向的侧风向处，并靠近场区大门集中布置</w:t>
            </w:r>
          </w:p>
        </w:tc>
        <w:tc>
          <w:tcPr>
            <w:tcW w:w="561" w:type="pct"/>
            <w:vAlign w:val="center"/>
          </w:tcPr>
          <w:p w14:paraId="2DEA4864">
            <w:pPr>
              <w:ind w:firstLine="0" w:firstLineChars="0"/>
              <w:jc w:val="center"/>
              <w:rPr>
                <w:sz w:val="21"/>
              </w:rPr>
            </w:pPr>
            <w:r>
              <w:rPr>
                <w:rFonts w:hint="eastAsia"/>
                <w:sz w:val="21"/>
              </w:rPr>
              <w:t>符合</w:t>
            </w:r>
          </w:p>
        </w:tc>
      </w:tr>
    </w:tbl>
    <w:p w14:paraId="50429DFC">
      <w:pPr>
        <w:snapToGrid w:val="0"/>
        <w:ind w:firstLine="480"/>
      </w:pPr>
      <w:bookmarkStart w:id="10" w:name="_Toc106663416"/>
      <w:r>
        <w:rPr>
          <w:rFonts w:hint="eastAsia"/>
        </w:rPr>
        <w:t>（11）与《畜禽养殖业污染治理工程技术规范》（HJ497-2009）符合性</w:t>
      </w:r>
    </w:p>
    <w:p w14:paraId="26B3AD22">
      <w:pPr>
        <w:snapToGrid w:val="0"/>
        <w:ind w:firstLine="480"/>
      </w:pPr>
      <w:r>
        <w:rPr>
          <w:rFonts w:hint="eastAsia"/>
        </w:rPr>
        <w:t>根据《畜禽养殖业污染治理工程技术规范》（HJ497-2009）中畜禽养殖场总平面布置要求，本项目场区平面布置与其符合性分析见表1.3-4。</w:t>
      </w:r>
    </w:p>
    <w:p w14:paraId="5605A9FF">
      <w:pPr>
        <w:snapToGrid w:val="0"/>
        <w:ind w:firstLine="0" w:firstLineChars="0"/>
        <w:jc w:val="center"/>
        <w:rPr>
          <w:b/>
          <w:bCs/>
        </w:rPr>
      </w:pPr>
      <w:r>
        <w:rPr>
          <w:rFonts w:hint="eastAsia"/>
          <w:b/>
          <w:bCs/>
        </w:rPr>
        <w:t>表1.3-4场区布局与《畜禽养殖业污染治理工程技术规范》（HJ497-2009）符合性</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932"/>
        <w:gridCol w:w="2914"/>
        <w:gridCol w:w="953"/>
      </w:tblGrid>
      <w:tr w14:paraId="0549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25781C4">
            <w:pPr>
              <w:ind w:firstLine="0" w:firstLineChars="0"/>
              <w:jc w:val="center"/>
              <w:rPr>
                <w:sz w:val="21"/>
              </w:rPr>
            </w:pPr>
            <w:r>
              <w:rPr>
                <w:rFonts w:hint="eastAsia"/>
                <w:sz w:val="21"/>
              </w:rPr>
              <w:t>序号</w:t>
            </w:r>
          </w:p>
        </w:tc>
        <w:tc>
          <w:tcPr>
            <w:tcW w:w="2306" w:type="pct"/>
            <w:vAlign w:val="center"/>
          </w:tcPr>
          <w:p w14:paraId="621A05C8">
            <w:pPr>
              <w:ind w:firstLine="0" w:firstLineChars="0"/>
              <w:jc w:val="center"/>
              <w:rPr>
                <w:sz w:val="21"/>
              </w:rPr>
            </w:pPr>
            <w:r>
              <w:rPr>
                <w:rFonts w:hint="eastAsia"/>
                <w:bCs/>
                <w:sz w:val="21"/>
              </w:rPr>
              <w:t>《畜禽养殖业污染治理工程技术规范》（HJ497-2009）有关要求</w:t>
            </w:r>
          </w:p>
        </w:tc>
        <w:tc>
          <w:tcPr>
            <w:tcW w:w="1709" w:type="pct"/>
            <w:vAlign w:val="center"/>
          </w:tcPr>
          <w:p w14:paraId="1B5CB1BC">
            <w:pPr>
              <w:ind w:firstLine="0" w:firstLineChars="0"/>
              <w:jc w:val="center"/>
              <w:rPr>
                <w:sz w:val="21"/>
              </w:rPr>
            </w:pPr>
            <w:r>
              <w:rPr>
                <w:rFonts w:hint="eastAsia"/>
                <w:sz w:val="21"/>
              </w:rPr>
              <w:t>本项目</w:t>
            </w:r>
          </w:p>
        </w:tc>
        <w:tc>
          <w:tcPr>
            <w:tcW w:w="559" w:type="pct"/>
            <w:vAlign w:val="center"/>
          </w:tcPr>
          <w:p w14:paraId="4E1B383C">
            <w:pPr>
              <w:ind w:firstLine="0" w:firstLineChars="0"/>
              <w:jc w:val="center"/>
              <w:rPr>
                <w:sz w:val="21"/>
              </w:rPr>
            </w:pPr>
            <w:r>
              <w:rPr>
                <w:rFonts w:hint="eastAsia"/>
                <w:sz w:val="21"/>
              </w:rPr>
              <w:t>符合性</w:t>
            </w:r>
          </w:p>
        </w:tc>
      </w:tr>
      <w:tr w14:paraId="1A5A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7082B9B">
            <w:pPr>
              <w:ind w:firstLine="0" w:firstLineChars="0"/>
              <w:jc w:val="center"/>
              <w:rPr>
                <w:sz w:val="21"/>
              </w:rPr>
            </w:pPr>
            <w:r>
              <w:rPr>
                <w:rFonts w:hint="eastAsia"/>
                <w:sz w:val="21"/>
              </w:rPr>
              <w:t>1</w:t>
            </w:r>
          </w:p>
        </w:tc>
        <w:tc>
          <w:tcPr>
            <w:tcW w:w="2306" w:type="pct"/>
            <w:vAlign w:val="center"/>
          </w:tcPr>
          <w:p w14:paraId="3F7DBA7E">
            <w:pPr>
              <w:ind w:firstLine="0" w:firstLineChars="0"/>
              <w:jc w:val="center"/>
              <w:rPr>
                <w:sz w:val="21"/>
              </w:rPr>
            </w:pPr>
            <w:r>
              <w:rPr>
                <w:rFonts w:hint="eastAsia"/>
                <w:sz w:val="21"/>
              </w:rPr>
              <w:t>平面布置应以污水处理系统、固体粪便处理系统、恶臭集中处理系统为主体，其他各项设施应按粪污处理流程合理安排，确保相关设备充分发挥功能，保证设施运行稳定、维修方便、经济合理、安全卫</w:t>
            </w:r>
          </w:p>
          <w:p w14:paraId="55683DCD">
            <w:pPr>
              <w:ind w:firstLine="0" w:firstLineChars="0"/>
              <w:jc w:val="center"/>
              <w:rPr>
                <w:sz w:val="21"/>
              </w:rPr>
            </w:pPr>
            <w:r>
              <w:rPr>
                <w:rFonts w:hint="eastAsia"/>
                <w:sz w:val="21"/>
              </w:rPr>
              <w:t>生。</w:t>
            </w:r>
          </w:p>
        </w:tc>
        <w:tc>
          <w:tcPr>
            <w:tcW w:w="1709" w:type="pct"/>
            <w:vAlign w:val="center"/>
          </w:tcPr>
          <w:p w14:paraId="1B17CCFF">
            <w:pPr>
              <w:ind w:firstLine="0" w:firstLineChars="0"/>
              <w:jc w:val="center"/>
              <w:rPr>
                <w:sz w:val="21"/>
              </w:rPr>
            </w:pPr>
            <w:r>
              <w:rPr>
                <w:rFonts w:cs="宋体"/>
                <w:sz w:val="21"/>
                <w:szCs w:val="24"/>
              </w:rPr>
              <w:t>本项目</w:t>
            </w:r>
            <w:r>
              <w:rPr>
                <w:rFonts w:hint="eastAsia" w:cs="宋体"/>
                <w:sz w:val="21"/>
                <w:szCs w:val="24"/>
                <w:lang w:val="en-US" w:eastAsia="zh-CN"/>
              </w:rPr>
              <w:t>渗滤液同</w:t>
            </w:r>
            <w:r>
              <w:rPr>
                <w:rFonts w:hint="eastAsia" w:cs="宋体"/>
                <w:sz w:val="21"/>
                <w:szCs w:val="24"/>
              </w:rPr>
              <w:t>生活污水排入化粪池，定期拉运至木垒县污水处理厂处理。粪便采用干清粪，清运至堆肥场，最终用于还田。恶臭采用绿化及科学饲料喂养的方式进行治理。</w:t>
            </w:r>
          </w:p>
        </w:tc>
        <w:tc>
          <w:tcPr>
            <w:tcW w:w="559" w:type="pct"/>
            <w:vAlign w:val="center"/>
          </w:tcPr>
          <w:p w14:paraId="7B201F36">
            <w:pPr>
              <w:ind w:firstLine="0" w:firstLineChars="0"/>
              <w:jc w:val="center"/>
              <w:rPr>
                <w:sz w:val="21"/>
              </w:rPr>
            </w:pPr>
            <w:r>
              <w:rPr>
                <w:rFonts w:hint="eastAsia"/>
                <w:sz w:val="21"/>
              </w:rPr>
              <w:t>符合</w:t>
            </w:r>
          </w:p>
        </w:tc>
      </w:tr>
    </w:tbl>
    <w:p w14:paraId="15445418">
      <w:pPr>
        <w:ind w:firstLine="480"/>
        <w:rPr>
          <w:bCs/>
        </w:rPr>
      </w:pPr>
      <w:r>
        <w:rPr>
          <w:rFonts w:hint="eastAsia"/>
          <w:bCs/>
        </w:rPr>
        <w:t>（12）与《空气质量持续改善行动计划》（国发〔2023〕24号）符合性</w:t>
      </w:r>
    </w:p>
    <w:p w14:paraId="795AD5F6">
      <w:pPr>
        <w:ind w:firstLine="480"/>
        <w:rPr>
          <w:bCs/>
        </w:rPr>
      </w:pPr>
      <w:r>
        <w:rPr>
          <w:rFonts w:hint="eastAsia"/>
          <w:bCs/>
        </w:rPr>
        <w:t>根据《空气质量持续改善行动计划》（国发〔2023〕24号）要求，</w:t>
      </w:r>
    </w:p>
    <w:p w14:paraId="2CCF35E1">
      <w:pPr>
        <w:ind w:firstLine="480"/>
        <w:rPr>
          <w:bCs/>
        </w:rPr>
      </w:pPr>
      <w:r>
        <w:rPr>
          <w:bCs/>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2452C7CA">
      <w:pPr>
        <w:ind w:firstLine="480"/>
        <w:rPr>
          <w:bCs/>
        </w:rPr>
      </w:pPr>
      <w:r>
        <w:rPr>
          <w:bCs/>
        </w:rPr>
        <w:t>（十一）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bCs/>
          <w:vertAlign w:val="subscript"/>
        </w:rPr>
        <w:t>2.5</w:t>
      </w:r>
      <w:r>
        <w:rPr>
          <w:bCs/>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p w14:paraId="16C75C10">
      <w:pPr>
        <w:ind w:firstLine="480"/>
        <w:rPr>
          <w:bCs/>
        </w:rPr>
      </w:pPr>
      <w:r>
        <w:rPr>
          <w:rFonts w:hint="eastAsia"/>
          <w:bCs/>
        </w:rPr>
        <w:t>本项目为养殖类项目，不涉及高能耗、高排放项目，本项目供暖采用电采暖，因此符合要求。</w:t>
      </w:r>
    </w:p>
    <w:p w14:paraId="792396D1">
      <w:pPr>
        <w:ind w:firstLine="480"/>
        <w:rPr>
          <w:bCs/>
        </w:rPr>
      </w:pPr>
      <w:r>
        <w:rPr>
          <w:rFonts w:hint="eastAsia"/>
          <w:bCs/>
        </w:rPr>
        <w:t>（13）与《关于印发农业农村污染治理攻坚战行动计划的通知》（环土壤[2018]143号）的符合性分析</w:t>
      </w:r>
    </w:p>
    <w:p w14:paraId="655DDB4A">
      <w:pPr>
        <w:ind w:firstLine="480"/>
        <w:rPr>
          <w:bCs/>
        </w:rPr>
      </w:pPr>
      <w:r>
        <w:rPr>
          <w:rFonts w:hint="eastAsia"/>
          <w:bCs/>
        </w:rPr>
        <w:t>根据通知要求：</w:t>
      </w:r>
    </w:p>
    <w:p w14:paraId="5CB2A064">
      <w:pPr>
        <w:ind w:firstLine="480"/>
        <w:rPr>
          <w:bCs/>
        </w:rPr>
      </w:pPr>
      <w:r>
        <w:rPr>
          <w:rFonts w:hint="eastAsia"/>
          <w:bCs/>
        </w:rPr>
        <w:t>推进养殖生产清洁化和产业模式生态化。优化调整畜禽养殖布局，推进畜禽养殖标准化示范创建升级，带动畜牧业绿色可持续发展。引导生猪生产向粮食主产区和环境容量大的地区转移。推广节水、节料等清洁养殖工艺和干清粪、微生物发酵等实用技术，实现源头减量。严格规范兽药、饲料添加剂的生产和使用，严厉打击生产企业违法违规使用兽用抗菌药物的行为。推进水产生态健康养殖，实施水产养殖池塘标准化改造。</w:t>
      </w:r>
    </w:p>
    <w:p w14:paraId="4BBFF57E">
      <w:pPr>
        <w:ind w:firstLine="480"/>
        <w:rPr>
          <w:bCs/>
        </w:rPr>
      </w:pPr>
      <w:r>
        <w:rPr>
          <w:bCs/>
        </w:rPr>
        <w:t>加强畜禽粪污资源化利用。推进畜禽粪污资源化利用，实现生猪等畜牧大县整县畜禽粪污资源化利用。鼓励和引导第三方处理企业将养殖场户畜禽粪污进行专业化集中处理。加强畜禽粪污资源化利用技术集成，因地制宜推广粪污全量收集还田利用等技术模式。到2020年，全国畜禽粪污综合利用率达到75%以上。（农业农村部牵头）</w:t>
      </w:r>
    </w:p>
    <w:p w14:paraId="1E39C276">
      <w:pPr>
        <w:ind w:firstLine="480"/>
        <w:rPr>
          <w:bCs/>
        </w:rPr>
      </w:pPr>
      <w:r>
        <w:rPr>
          <w:rFonts w:hint="eastAsia"/>
          <w:bCs/>
        </w:rPr>
        <w:t>本项目为骆驼养殖项目，采用干清粪工艺，粪便暂存与堆肥场，外售周边农户作为农肥。因此符合要求。</w:t>
      </w:r>
    </w:p>
    <w:p w14:paraId="28E5DA9F">
      <w:pPr>
        <w:pStyle w:val="54"/>
        <w:autoSpaceDE/>
        <w:autoSpaceDN/>
        <w:spacing w:line="360" w:lineRule="auto"/>
        <w:ind w:firstLine="480"/>
        <w:rPr>
          <w:rFonts w:ascii="Times New Roman" w:hAnsi="Times New Roman" w:eastAsia="宋体"/>
          <w:bCs/>
        </w:rPr>
      </w:pPr>
      <w:r>
        <w:rPr>
          <w:rFonts w:hint="eastAsia" w:ascii="Times New Roman" w:hAnsi="Times New Roman" w:eastAsia="宋体"/>
          <w:bCs/>
        </w:rPr>
        <w:t>（14）与《“十四五”全国畜牧兽医行业发展规划》的符合性分析</w:t>
      </w:r>
    </w:p>
    <w:p w14:paraId="1500D09E">
      <w:pPr>
        <w:ind w:firstLine="480"/>
        <w:rPr>
          <w:bCs/>
        </w:rPr>
      </w:pPr>
      <w:r>
        <w:rPr>
          <w:rFonts w:hint="eastAsia"/>
          <w:bCs/>
        </w:rPr>
        <w:t>加强动物检疫监督。加强检疫监督制度建设，完善动物检疫、动物卫生监督证章标志管理制度，制修订检疫规程，制定检疫设施设备和保障条件标准。推动建立以疫病监测、实验室检测为基础的动物检疫制度，支持发展第三方检测服务机构，进一步提升动物检疫科学化水平。实施动物检疫规范化建设，严格执行动物检疫制度，强化动物检疫出证管理，严厉打击违规出证、非法倒卖动物卫生监督证章标志等违法违规行为。推动动物饲养场、屠宰企业配齐配强执业兽医和动物防疫技术人员，提高协助实施检疫能力。</w:t>
      </w:r>
    </w:p>
    <w:p w14:paraId="5B50027B">
      <w:pPr>
        <w:pStyle w:val="54"/>
        <w:autoSpaceDE/>
        <w:autoSpaceDN/>
        <w:spacing w:line="360" w:lineRule="auto"/>
        <w:ind w:firstLine="480"/>
        <w:rPr>
          <w:rFonts w:ascii="Times New Roman" w:hAnsi="Times New Roman" w:eastAsia="宋体"/>
          <w:bCs/>
        </w:rPr>
      </w:pPr>
      <w:r>
        <w:rPr>
          <w:rFonts w:hint="eastAsia" w:ascii="Times New Roman" w:hAnsi="Times New Roman" w:eastAsia="宋体"/>
          <w:bCs/>
        </w:rPr>
        <w:t>本项目为骆驼养殖项目，骆驼防疫由兽医站检验、防疫。产生的医疗废物由兽医站带走。因此符合要求。</w:t>
      </w:r>
    </w:p>
    <w:p w14:paraId="277C14A8">
      <w:pPr>
        <w:ind w:firstLine="480"/>
        <w:rPr>
          <w:bCs/>
        </w:rPr>
      </w:pPr>
      <w:r>
        <w:rPr>
          <w:rFonts w:hint="eastAsia"/>
          <w:bCs/>
        </w:rPr>
        <w:t>（15）与《农业农村部办公厅、生态环境部办公厅关于促进畜禽粪污还田利用依法加强养殖污染治理的指导意见》（农办牧[2019]84号）的符合性分析</w:t>
      </w:r>
    </w:p>
    <w:p w14:paraId="5E31410E">
      <w:pPr>
        <w:pStyle w:val="54"/>
        <w:autoSpaceDE/>
        <w:autoSpaceDN/>
        <w:spacing w:line="360" w:lineRule="auto"/>
        <w:ind w:firstLine="480"/>
        <w:rPr>
          <w:rFonts w:ascii="Times New Roman" w:hAnsi="Times New Roman" w:eastAsia="宋体"/>
          <w:bCs/>
        </w:rPr>
      </w:pPr>
      <w:r>
        <w:rPr>
          <w:rFonts w:hint="eastAsia" w:ascii="Times New Roman" w:hAnsi="Times New Roman" w:eastAsia="宋体"/>
          <w:bCs/>
        </w:rPr>
        <w:t>根据要求：</w:t>
      </w:r>
    </w:p>
    <w:p w14:paraId="22998FA1">
      <w:pPr>
        <w:ind w:firstLine="480"/>
      </w:pPr>
      <w:r>
        <w:t>以用促治</w:t>
      </w:r>
      <w:r>
        <w:rPr>
          <w:rFonts w:hint="eastAsia"/>
        </w:rPr>
        <w:t>，</w:t>
      </w:r>
      <w:r>
        <w:t>利用优先。正确认识畜禽粪污的资源属性和污染风险</w:t>
      </w:r>
      <w:r>
        <w:rPr>
          <w:rFonts w:hint="eastAsia"/>
        </w:rPr>
        <w:t>，</w:t>
      </w:r>
      <w:r>
        <w:t>加快畜禽养殖污染防治从重达标排放向重全量利用转变通过减少处理环节、简化操作流程、实行专业服务</w:t>
      </w:r>
      <w:r>
        <w:rPr>
          <w:rFonts w:hint="eastAsia"/>
        </w:rPr>
        <w:t>，</w:t>
      </w:r>
      <w:r>
        <w:t>不断降低粪污处理、粪肥施用的难度和成本</w:t>
      </w:r>
      <w:r>
        <w:rPr>
          <w:rFonts w:hint="eastAsia"/>
        </w:rPr>
        <w:t>，</w:t>
      </w:r>
      <w:r>
        <w:t>努力破除畜禽粪污肥料化利用瓶颈制约</w:t>
      </w:r>
      <w:r>
        <w:rPr>
          <w:rFonts w:hint="eastAsia"/>
        </w:rPr>
        <w:t>，</w:t>
      </w:r>
      <w:r>
        <w:t>提高利用水平。</w:t>
      </w:r>
    </w:p>
    <w:p w14:paraId="7827C949">
      <w:pPr>
        <w:ind w:firstLine="480"/>
      </w:pPr>
      <w:r>
        <w:t>政府支持</w:t>
      </w:r>
      <w:r>
        <w:rPr>
          <w:rFonts w:hint="eastAsia"/>
        </w:rPr>
        <w:t>，</w:t>
      </w:r>
      <w:r>
        <w:t>市场运作。发挥地方政府组织协调作用，提升各项工作的系统性、整体性、协同性。完善支持政策</w:t>
      </w:r>
      <w:r>
        <w:rPr>
          <w:rFonts w:hint="eastAsia"/>
        </w:rPr>
        <w:t>，</w:t>
      </w:r>
      <w:r>
        <w:t>加强粪肥施用技术指导和服务</w:t>
      </w:r>
      <w:r>
        <w:rPr>
          <w:rFonts w:hint="eastAsia"/>
        </w:rPr>
        <w:t>，</w:t>
      </w:r>
      <w:r>
        <w:t>提高种植户使用粪肥积极性。培育粪肥经纪公司、经纪人等社会化服务主体</w:t>
      </w:r>
      <w:r>
        <w:rPr>
          <w:rFonts w:hint="eastAsia"/>
        </w:rPr>
        <w:t>，</w:t>
      </w:r>
      <w:r>
        <w:t>建立粪肥收贮运还田体系，构建粪肥还田市场化运营机制。</w:t>
      </w:r>
    </w:p>
    <w:p w14:paraId="2961DF65">
      <w:pPr>
        <w:ind w:firstLine="480"/>
        <w:rPr>
          <w:bCs/>
        </w:rPr>
      </w:pPr>
      <w:r>
        <w:rPr>
          <w:rFonts w:hint="eastAsia"/>
          <w:bCs/>
        </w:rPr>
        <w:t>科学管理，高效利用。依据施肥、灌溉、排污等不同行为性质确定适用标准。按照“养分平衡、以养促种”的思路，优化畜禽粪污处理和利用模式，促进畜禽粪污养分高效利用。</w:t>
      </w:r>
    </w:p>
    <w:p w14:paraId="2AC3F27F">
      <w:pPr>
        <w:pStyle w:val="54"/>
        <w:autoSpaceDE/>
        <w:autoSpaceDN/>
        <w:spacing w:line="360" w:lineRule="auto"/>
        <w:ind w:firstLine="480"/>
        <w:rPr>
          <w:rFonts w:ascii="Times New Roman" w:hAnsi="Times New Roman" w:eastAsia="宋体"/>
        </w:rPr>
      </w:pPr>
      <w:r>
        <w:rPr>
          <w:rFonts w:hint="eastAsia" w:ascii="Times New Roman" w:hAnsi="Times New Roman" w:eastAsia="宋体"/>
        </w:rPr>
        <w:t>本项目为骆驼养殖项目，本项目粪便暂存于堆肥场，经处理后还田。因此符合要求。</w:t>
      </w:r>
    </w:p>
    <w:p w14:paraId="3A3AAC95">
      <w:pPr>
        <w:ind w:firstLine="480"/>
        <w:rPr>
          <w:bCs/>
        </w:rPr>
      </w:pPr>
      <w:r>
        <w:rPr>
          <w:rFonts w:hint="eastAsia"/>
          <w:bCs/>
        </w:rPr>
        <w:t>（16）与《畜禽养殖场（户）粪污处理设施建设技术指南》（农办牧[2022]19号）的符合性分析</w:t>
      </w:r>
    </w:p>
    <w:p w14:paraId="77FB9DAD">
      <w:pPr>
        <w:ind w:firstLine="480"/>
        <w:rPr>
          <w:bCs/>
        </w:rPr>
      </w:pPr>
      <w:r>
        <w:rPr>
          <w:rFonts w:hint="eastAsia"/>
          <w:bCs/>
        </w:rPr>
        <w:t>根据要求：</w:t>
      </w:r>
    </w:p>
    <w:p w14:paraId="0ADCF5FB">
      <w:pPr>
        <w:ind w:firstLine="480"/>
        <w:rPr>
          <w:bCs/>
        </w:rPr>
      </w:pPr>
      <w:r>
        <w:rPr>
          <w:rFonts w:hint="eastAsia"/>
          <w:bCs/>
        </w:rPr>
        <w:t>畜禽养殖场应根据养殖污染防治要求和当地环境承载力，配备与设计生产能力、粪污处理利用方式相匹配的畜禽粪污处理设施设备，满足防雨、防渗、防溢流和安全防护要求，并确保正常运行。交由第三方处理机构处理畜禽粪污的，应按照转运时间间隔建设粪污暂存设施。畜禽养殖户应当采取措施，对畜禽粪污进行科学处理，防止污染环境。</w:t>
      </w:r>
    </w:p>
    <w:p w14:paraId="59D542AC">
      <w:pPr>
        <w:ind w:firstLine="480"/>
        <w:rPr>
          <w:bCs/>
        </w:rPr>
      </w:pPr>
      <w:r>
        <w:rPr>
          <w:rFonts w:hint="eastAsia"/>
          <w:bCs/>
        </w:rPr>
        <w:t>畜禽养殖场（户）宜采用干清粪、水泡粪、地面垫料、床（网）下垫料等清粪工艺，逐步淘汰水冲粪工艺，合理控制清粪环节用水量。新建养殖场采用干清粪工艺的，鼓励进行机械干清粪。鼓励畜禽养殖场采用碗式或液位控制等防溢漏饮水器，减少饮水漏水。新建猪、鸡等养殖场宜采取圈舍封闭半封闭管理，鼓励有条件的现有畜禽养殖场开展圈舍封闭改造，对恶臭气体进行收集处理畜禽养殖场（户）应保持合理的清粪频次，及时收集圈舍和运动场的粪污。鼓励畜禽养殖场做好运动场的防雨、防渗和防溢流降低环境污染风险。</w:t>
      </w:r>
    </w:p>
    <w:p w14:paraId="656BABEE">
      <w:pPr>
        <w:ind w:firstLine="480"/>
        <w:rPr>
          <w:bCs/>
        </w:rPr>
      </w:pPr>
      <w:r>
        <w:rPr>
          <w:rFonts w:hint="eastAsia"/>
          <w:bCs/>
        </w:rPr>
        <w:t>本项目采用干清粪，清理的粪便堆存于堆肥场，作为农肥还田，因此符合要求。</w:t>
      </w:r>
    </w:p>
    <w:p w14:paraId="6EAFB56E">
      <w:pPr>
        <w:pStyle w:val="54"/>
        <w:autoSpaceDE/>
        <w:autoSpaceDN/>
        <w:spacing w:line="360" w:lineRule="auto"/>
        <w:ind w:firstLine="480"/>
        <w:rPr>
          <w:rFonts w:ascii="Times New Roman" w:hAnsi="Times New Roman" w:eastAsia="宋体"/>
          <w:bCs/>
        </w:rPr>
      </w:pPr>
      <w:r>
        <w:rPr>
          <w:rFonts w:hint="eastAsia" w:ascii="Times New Roman" w:hAnsi="Times New Roman" w:eastAsia="宋体"/>
          <w:bCs/>
        </w:rPr>
        <w:t>（17）与</w:t>
      </w:r>
      <w:r>
        <w:rPr>
          <w:rFonts w:ascii="Times New Roman" w:hAnsi="Times New Roman" w:eastAsia="宋体"/>
          <w:bCs/>
        </w:rPr>
        <w:t>《国务院办公厅关于加快推进畜禽养殖废弃物资源化利用的意见》国办发[2017]84号</w:t>
      </w:r>
      <w:r>
        <w:rPr>
          <w:rFonts w:hint="eastAsia" w:ascii="Times New Roman" w:hAnsi="Times New Roman" w:eastAsia="宋体"/>
          <w:bCs/>
        </w:rPr>
        <w:t>符合性分析</w:t>
      </w:r>
    </w:p>
    <w:p w14:paraId="65D03358">
      <w:pPr>
        <w:ind w:firstLine="480"/>
        <w:rPr>
          <w:bCs/>
        </w:rPr>
      </w:pPr>
      <w:r>
        <w:rPr>
          <w:rFonts w:hint="eastAsia"/>
          <w:bCs/>
        </w:rPr>
        <w:t>根据要求：（十二）加快畜牧业转型升级。优化调整生猪养殖布局，向粮食主产区和环境容量大的地区转移。大力发展标准化规模养殖，建设自动喂料、自动饮水、环境控制等现代化装备，推广节水、节料等清洁养殖工艺和干清粪、微生物发酵等实用技术，实现源头减量。加强规模养殖场精细化管理，推行标准化、规范化饲养，推广散装饲料和精准配方，提高饲料转化效率。加快畜禽品种遗传改良进程，提升母畜繁殖性能，提高综合生产能力。落实畜禽疫病综合防控措施，降低发病率和死亡率。以畜牧大县为重点，支持规模养殖场圈舍标准化改造和设备更新，配套建设粪污资源化利用设施。以生态养殖场为重点，继续开展畜禽养殖标准化示范创建。（农业部牵头，国家发展改革委、财政部、质检总局参与）</w:t>
      </w:r>
    </w:p>
    <w:p w14:paraId="7F4EB6DE">
      <w:pPr>
        <w:ind w:firstLine="480"/>
        <w:rPr>
          <w:bCs/>
        </w:rPr>
      </w:pPr>
      <w:r>
        <w:rPr>
          <w:rFonts w:hint="eastAsia"/>
          <w:bCs/>
        </w:rPr>
        <w:t>（十三）加强科技及装备支撑。组织开展畜禽粪污资源化利用先进工艺、技术和装备研发，制修订相关标准，提高资源转化利用效率。开发安全、高效、环保新型饲料产品，引导矿物元素类饲料添加剂减量使用。加强畜禽粪污资源化利用技术集成，根据不同资源条件、不同畜种、不同规模，推广粪污全量收集还田利用、专业化能源利用、固体粪便肥料化利用、异位发酵床、粪便垫料回用、污水肥料化利用、污水达标排放等经济实用技术模式。集成推广应用有机肥、水肥一体化等关键技术。以畜牧大县为重点，加大技术培训力度，加强示范引领，提升养殖场粪污资源化利用水平。（农业部、科技部牵头，质检总局参与）</w:t>
      </w:r>
    </w:p>
    <w:p w14:paraId="09CA652D">
      <w:pPr>
        <w:pStyle w:val="54"/>
        <w:autoSpaceDE/>
        <w:autoSpaceDN/>
        <w:spacing w:line="360" w:lineRule="auto"/>
        <w:ind w:firstLine="480"/>
        <w:rPr>
          <w:rFonts w:ascii="Times New Roman" w:hAnsi="Times New Roman" w:eastAsia="宋体"/>
          <w:bCs/>
        </w:rPr>
      </w:pPr>
      <w:r>
        <w:rPr>
          <w:rFonts w:hint="eastAsia" w:ascii="Times New Roman" w:hAnsi="Times New Roman" w:eastAsia="宋体"/>
          <w:bCs/>
        </w:rPr>
        <w:t>本项目为骆驼养殖项目，本项目采用自动喂料、自动饮水，使用干清粪。粪便暂存于堆肥场，处理后还田。因此符合要求。</w:t>
      </w:r>
    </w:p>
    <w:p w14:paraId="34983302">
      <w:pPr>
        <w:ind w:firstLine="480"/>
        <w:rPr>
          <w:bCs/>
        </w:rPr>
      </w:pPr>
      <w:r>
        <w:rPr>
          <w:rFonts w:hint="eastAsia"/>
          <w:bCs/>
        </w:rPr>
        <w:t>（18）与《环境空气质量持续改善行动计划》的符合性分析</w:t>
      </w:r>
    </w:p>
    <w:p w14:paraId="4DE9AE64">
      <w:pPr>
        <w:pStyle w:val="54"/>
        <w:spacing w:line="360" w:lineRule="auto"/>
        <w:ind w:firstLine="480"/>
        <w:rPr>
          <w:rFonts w:ascii="Times New Roman" w:hAnsi="Times New Roman" w:eastAsia="宋体" w:cs="Times New Roman"/>
          <w:bCs/>
          <w:szCs w:val="20"/>
        </w:rPr>
      </w:pPr>
      <w:r>
        <w:rPr>
          <w:rFonts w:hint="eastAsia" w:ascii="Times New Roman" w:hAnsi="Times New Roman" w:eastAsia="宋体" w:cs="Times New Roman"/>
          <w:bCs/>
          <w:szCs w:val="20"/>
        </w:rPr>
        <w:t>根据要求：（十一）积极开展燃煤锅炉关停鍪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未达标城市基本淘汰10基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讲行关停或整合</w:t>
      </w:r>
    </w:p>
    <w:p w14:paraId="18D403EE">
      <w:pPr>
        <w:ind w:firstLine="480"/>
      </w:pPr>
      <w:r>
        <w:rPr>
          <w:rFonts w:hint="eastAsia"/>
          <w:bCs/>
        </w:rPr>
        <w:t>本项目冬季是用电采暖，不使用燃煤锅炉，因此符合要求。</w:t>
      </w:r>
    </w:p>
    <w:p w14:paraId="18A76D86">
      <w:pPr>
        <w:pStyle w:val="5"/>
      </w:pPr>
      <w:r>
        <w:rPr>
          <w:rFonts w:hint="eastAsia"/>
        </w:rPr>
        <w:t>1.3.3”三线一单”符合性</w:t>
      </w:r>
      <w:bookmarkEnd w:id="10"/>
    </w:p>
    <w:p w14:paraId="6A2159A9">
      <w:pPr>
        <w:pStyle w:val="6"/>
        <w:ind w:firstLine="482"/>
      </w:pPr>
      <w:r>
        <w:t>1.</w:t>
      </w:r>
      <w:r>
        <w:rPr>
          <w:rFonts w:hint="eastAsia"/>
        </w:rPr>
        <w:t>3</w:t>
      </w:r>
      <w:r>
        <w:t>.</w:t>
      </w:r>
      <w:r>
        <w:rPr>
          <w:rFonts w:hint="eastAsia"/>
        </w:rPr>
        <w:t>3.1与《新疆维吾尔自治区”三线一单”生态环境分区管控方案》的符合性分析</w:t>
      </w:r>
    </w:p>
    <w:p w14:paraId="1C799A23">
      <w:pPr>
        <w:ind w:firstLine="480"/>
      </w:pPr>
      <w:r>
        <w:rPr>
          <w:rFonts w:hint="eastAsia"/>
        </w:rPr>
        <w:t>根据《关于印发&lt;新疆维吾尔自治区”三线一单”生态环境分区管控方案&gt;的通知》（新政发[2021]18号），其主要内容如下：</w:t>
      </w:r>
    </w:p>
    <w:p w14:paraId="001B0038">
      <w:pPr>
        <w:ind w:firstLine="480"/>
      </w:pPr>
      <w:r>
        <w:rPr>
          <w:rFonts w:hint="eastAsia"/>
        </w:rPr>
        <w:t>主要目标：到2025年，全区生态环境质量总体改善，环境风险得到有效管控。建立较为完善的生态环境分区管控体系与数据信息应用机制和共享系统，生态环境治理体系和治理能力现代化取得显著进展。</w:t>
      </w:r>
    </w:p>
    <w:p w14:paraId="26E40D1B">
      <w:pPr>
        <w:ind w:firstLine="480"/>
      </w:pPr>
      <w:r>
        <w:rPr>
          <w:rFonts w:hint="eastAsia"/>
        </w:rPr>
        <w:t>1）生态保护红线</w:t>
      </w:r>
    </w:p>
    <w:p w14:paraId="15D79775">
      <w:pPr>
        <w:ind w:firstLine="480"/>
      </w:pPr>
      <w:r>
        <w:rPr>
          <w:rFonts w:hint="eastAsia"/>
        </w:rPr>
        <w:t>按照”生态功能不降低、面积不减少、性质不改变”的基本要求，对划定的生态保护红线实施严格管控，保障和维护兵团生态安全的底线和生命线。</w:t>
      </w:r>
    </w:p>
    <w:p w14:paraId="0ADA32C8">
      <w:pPr>
        <w:ind w:firstLine="480"/>
      </w:pPr>
      <w:r>
        <w:rPr>
          <w:rFonts w:hint="eastAsia"/>
        </w:rPr>
        <w:t>符合性分析：本项目为新建项目，位于木垒县雀仁乡广东地村，属于木垒县一般管控区。本项目所在地不涉及自然保护区、风景名胜区等各类保护地边界、江河、湖库以及海岸等向陆域延伸一定距离的边界、地理国情普查、全国土地调查、森林草原湿地荒漠等，因此判定项目建设不涉及生态红线保护区域，符合生态保护红线要求。</w:t>
      </w:r>
    </w:p>
    <w:p w14:paraId="6FDADCDF">
      <w:pPr>
        <w:ind w:firstLine="480"/>
      </w:pPr>
      <w:r>
        <w:rPr>
          <w:rFonts w:hint="eastAsia"/>
        </w:rPr>
        <w:t>2）环境质量底线</w:t>
      </w:r>
    </w:p>
    <w:p w14:paraId="3A585C62">
      <w:pPr>
        <w:ind w:firstLine="480"/>
      </w:pPr>
      <w:r>
        <w:rPr>
          <w:rFonts w:hint="eastAsia"/>
        </w:rPr>
        <w:t>全区水环境质量持续改善，受污染地表水体得到有效治理，河流水质优良断面比例保持稳定，饮用水安全保障水平持续提升，地下水水质保持稳定。环境空气质量稳步提升，重污染天数持续减少，已达标城市环境空气质量保持稳定，未达标城市环境空气质量持续改善，沙尘影响严重地区做好防风固沙、生态环境保护修复等工作；全区土壤环境质量保持稳定，污染地块安全利用水平稳中求进，土壤环境风险得到进一步管控。</w:t>
      </w:r>
    </w:p>
    <w:p w14:paraId="6ADD01BA">
      <w:pPr>
        <w:ind w:firstLine="480"/>
      </w:pPr>
      <w:r>
        <w:rPr>
          <w:rFonts w:hint="eastAsia"/>
        </w:rPr>
        <w:t>符合性分析如下：</w:t>
      </w:r>
    </w:p>
    <w:p w14:paraId="3B982C84">
      <w:pPr>
        <w:ind w:firstLine="480"/>
      </w:pPr>
      <w:r>
        <w:rPr>
          <w:rFonts w:hint="eastAsia"/>
        </w:rPr>
        <w:t>①环境空气：项目选址区域为环境空气功能区二类区，执行二级标准。根据环境空气质量现状的监测数据，项目选址区域环境空气质量能够满足《环境空气质量标准》（GB3095-2012）及修改单中二级标准要求。项目在严格执行环评中所提出的NH</w:t>
      </w:r>
      <w:r>
        <w:rPr>
          <w:rFonts w:hint="eastAsia"/>
          <w:vertAlign w:val="subscript"/>
        </w:rPr>
        <w:t>3</w:t>
      </w:r>
      <w:r>
        <w:rPr>
          <w:rFonts w:hint="eastAsia"/>
        </w:rPr>
        <w:t>、H</w:t>
      </w:r>
      <w:r>
        <w:rPr>
          <w:rFonts w:hint="eastAsia"/>
          <w:vertAlign w:val="subscript"/>
        </w:rPr>
        <w:t>2</w:t>
      </w:r>
      <w:r>
        <w:rPr>
          <w:rFonts w:hint="eastAsia"/>
        </w:rPr>
        <w:t>S等废气治理措施后，满足相应排放标准，排放量较少，对环境空气影响较小，不会降低区域环境空气质量。</w:t>
      </w:r>
    </w:p>
    <w:p w14:paraId="57F085D0">
      <w:pPr>
        <w:ind w:firstLine="480"/>
      </w:pPr>
      <w:r>
        <w:rPr>
          <w:rFonts w:hint="eastAsia"/>
        </w:rPr>
        <w:t>②水环境：项目区周边无地表水体，根据区域环境功能区划，地下水环境质量执行《地下水质量标准》（GB/T14848-2017）中III类标准。本项目养殖废水经过污水收集池收集后经过预处理处理后用作农肥，可以实现废物综合利用。对周边水环境质量影响较小，不会降低区域水环境质量。</w:t>
      </w:r>
    </w:p>
    <w:p w14:paraId="414A6FCD">
      <w:pPr>
        <w:ind w:firstLine="480"/>
      </w:pPr>
      <w:r>
        <w:rPr>
          <w:rFonts w:hint="eastAsia"/>
        </w:rPr>
        <w:t>③土壤环境：项目区内土壤环境质量执行《土壤环境质量农业用地土壤污染风险管控标准（试行）》（GB15618—2018）中的第二类用地筛选值，项目采取防渗措施后对土壤环境影响较小。</w:t>
      </w:r>
    </w:p>
    <w:p w14:paraId="5FAFF33F">
      <w:pPr>
        <w:ind w:firstLine="480"/>
      </w:pPr>
      <w:r>
        <w:rPr>
          <w:rFonts w:hint="eastAsia"/>
        </w:rPr>
        <w:t>综上，本项目的建设符合环境质量底线要求。</w:t>
      </w:r>
    </w:p>
    <w:p w14:paraId="7C13A7AD">
      <w:pPr>
        <w:ind w:firstLine="480"/>
      </w:pPr>
      <w:r>
        <w:rPr>
          <w:rFonts w:hint="eastAsia"/>
        </w:rPr>
        <w:t>3）资源利用上线</w:t>
      </w:r>
    </w:p>
    <w:p w14:paraId="1914985A">
      <w:pPr>
        <w:ind w:firstLine="480"/>
      </w:pPr>
      <w:r>
        <w:rPr>
          <w:rFonts w:hint="eastAsia"/>
        </w:rPr>
        <w:t>强化节约集约利用，持续提升资源能源利用效率，水资源、土地资源、能源消耗达到国家、自治区下达的总量和强度控制目标，地下水超采得到严格控制。加快区域低碳发展，积极推动乌鲁木齐市、昌吉市、伊宁市、和田市等4个国家级低碳试点城市发挥低碳试点示范和引领作用。</w:t>
      </w:r>
    </w:p>
    <w:p w14:paraId="46257BF4">
      <w:pPr>
        <w:ind w:firstLine="480"/>
      </w:pPr>
      <w:r>
        <w:rPr>
          <w:rFonts w:hint="eastAsia"/>
        </w:rPr>
        <w:t>到2035年，生态环境质量实现根本好转，节约资源和保护生态环境的空间格局、产业结构、生产方式、生活方式总体形成，美丽新疆目标基本实现。</w:t>
      </w:r>
    </w:p>
    <w:p w14:paraId="27110F84">
      <w:pPr>
        <w:ind w:firstLine="480"/>
      </w:pPr>
      <w:r>
        <w:rPr>
          <w:rFonts w:hint="eastAsia"/>
        </w:rPr>
        <w:t>本项目属于骆驼养殖项目，主要利用当地土地资源、电能、水资源，项目区占地类型为设施农业用地，不涉及基本农田等占地，项目用水由农村供水管网供给，用电来自当地供电网，本项目的用水、用电不会对供水和供电单位产生负担。本项目选址位于木垒县雀仁乡，符合用地规划。因此本项目不会超出资源利用上线，符合资源利用上线要求。</w:t>
      </w:r>
    </w:p>
    <w:p w14:paraId="548D068E">
      <w:pPr>
        <w:ind w:firstLine="480"/>
      </w:pPr>
      <w:r>
        <w:rPr>
          <w:rFonts w:hint="eastAsia"/>
        </w:rPr>
        <w:t>4）生态环境准入清单</w:t>
      </w:r>
    </w:p>
    <w:p w14:paraId="414159FD">
      <w:pPr>
        <w:ind w:firstLine="480"/>
      </w:pPr>
      <w:r>
        <w:rPr>
          <w:rFonts w:hint="eastAsia"/>
        </w:rPr>
        <w:t>自治区级管控要求对接自治区总体管控要求；各自治区七大片区管控要求，衔接所在地州市管控要求，结合区域主要生态环境问题和发展需求，细化形成本地区“三线一单”总体管控要求和具体环境管控单元的差异化生态环境准入清单。</w:t>
      </w:r>
    </w:p>
    <w:p w14:paraId="0326280A">
      <w:pPr>
        <w:pStyle w:val="6"/>
        <w:ind w:firstLine="482"/>
      </w:pPr>
      <w:r>
        <w:t>1</w:t>
      </w:r>
      <w:r>
        <w:rPr>
          <w:rFonts w:hint="eastAsia"/>
        </w:rPr>
        <w:t>.</w:t>
      </w:r>
      <w:r>
        <w:t>3</w:t>
      </w:r>
      <w:r>
        <w:rPr>
          <w:rFonts w:hint="eastAsia"/>
        </w:rPr>
        <w:t>.</w:t>
      </w:r>
      <w:r>
        <w:t>4</w:t>
      </w:r>
      <w:r>
        <w:rPr>
          <w:rFonts w:hint="eastAsia"/>
        </w:rPr>
        <w:t>.2与《昌吉回族自治州”三线一单”生态环境分区管控方案及生态环境准入清单》的符合性分析</w:t>
      </w:r>
    </w:p>
    <w:p w14:paraId="69DAB50A">
      <w:pPr>
        <w:ind w:firstLine="480"/>
      </w:pPr>
      <w:r>
        <w:rPr>
          <w:rFonts w:hint="eastAsia"/>
        </w:rPr>
        <w:t>根据《关于印发&lt;昌吉回族自治州”三线一单”生态环境分区管控方案及生态环境准入清单&gt;的公告》（昌州政办发[2021]41号），其主要内容如下：</w:t>
      </w:r>
    </w:p>
    <w:p w14:paraId="06601D53">
      <w:pPr>
        <w:ind w:firstLine="480"/>
      </w:pPr>
      <w:r>
        <w:rPr>
          <w:rFonts w:hint="eastAsia"/>
        </w:rPr>
        <w:t>——主要目标。到2025年，全州生态环境质量总体改善，环境风险得到有效管控。建立较为完善的生态环境分区管控体系与数据信息应用机制和共享系统，生态环境治理体系和治理能力现代化取得显著进展。</w:t>
      </w:r>
    </w:p>
    <w:p w14:paraId="3051B7B8">
      <w:pPr>
        <w:ind w:firstLine="480"/>
      </w:pPr>
      <w:r>
        <w:rPr>
          <w:rFonts w:hint="eastAsia"/>
        </w:rPr>
        <w:t>——生态保护红线。按照”生态功能不降低、面积不减少、性质不改变”的基本要求，生态空间得到优化和保护，生态保护红线得到严格管控。生态功能保持稳定，生物多样性水平稳步提升，生态空间保护体系基本建立。</w:t>
      </w:r>
    </w:p>
    <w:p w14:paraId="4A01DB05">
      <w:pPr>
        <w:ind w:firstLine="480"/>
      </w:pPr>
      <w:r>
        <w:rPr>
          <w:rFonts w:hint="eastAsia"/>
        </w:rPr>
        <w:t>——环境质量底线。全州环境空气质量有所提升，重污染天数持续减少，已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p w14:paraId="443C2C1A">
      <w:pPr>
        <w:ind w:firstLine="480"/>
      </w:pPr>
      <w:r>
        <w:rPr>
          <w:rFonts w:hint="eastAsia"/>
        </w:rPr>
        <w:t>——资源利用上线。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14:paraId="5374C0C1">
      <w:pPr>
        <w:ind w:firstLine="480"/>
      </w:pPr>
      <w:r>
        <w:rPr>
          <w:rFonts w:hint="eastAsia"/>
        </w:rPr>
        <w:t>到2035年，全州生态环境质量实现根本好转，节约资源和保护生态环境的空间格局、产业结构、生产方式、生活方式总体形成，生态系统健康和人群健康得到充分保障，环境经济实现良性循环。</w:t>
      </w:r>
    </w:p>
    <w:p w14:paraId="411387C0">
      <w:pPr>
        <w:ind w:firstLine="480"/>
      </w:pPr>
      <w:r>
        <w:rPr>
          <w:rFonts w:hint="eastAsia"/>
        </w:rPr>
        <w:t>本项目位于《昌吉回族自治州”三线一单”生态环境分区管控方案及生态环境准入清单》中的重点管控单元，与《昌吉回族自治州”三线一单”生态环境分区管控方案及生态环境准入清单》中木垒县环境管控单元生态环境准入清单（一般管控区）符合性分析具体见表</w:t>
      </w:r>
      <w:r>
        <w:t>1</w:t>
      </w:r>
      <w:r>
        <w:rPr>
          <w:rFonts w:hint="eastAsia"/>
        </w:rPr>
        <w:t>.</w:t>
      </w:r>
      <w:r>
        <w:t>3</w:t>
      </w:r>
      <w:r>
        <w:rPr>
          <w:rFonts w:hint="eastAsia"/>
        </w:rPr>
        <w:t>-3。项目在昌吉回族自治州环境管控单元中的位置见附图</w:t>
      </w:r>
      <w:r>
        <w:t>1</w:t>
      </w:r>
      <w:r>
        <w:rPr>
          <w:rFonts w:hint="eastAsia"/>
        </w:rPr>
        <w:t>.</w:t>
      </w:r>
      <w:r>
        <w:t>3</w:t>
      </w:r>
      <w:r>
        <w:rPr>
          <w:rFonts w:hint="eastAsia"/>
        </w:rPr>
        <w:t>-2。</w:t>
      </w:r>
    </w:p>
    <w:p w14:paraId="254BB036">
      <w:pPr>
        <w:ind w:firstLine="480"/>
      </w:pPr>
      <w:r>
        <w:rPr>
          <w:rFonts w:hint="eastAsia"/>
        </w:rPr>
        <w:t>通过表</w:t>
      </w:r>
      <w:r>
        <w:t>1</w:t>
      </w:r>
      <w:r>
        <w:rPr>
          <w:rFonts w:hint="eastAsia"/>
        </w:rPr>
        <w:t>.</w:t>
      </w:r>
      <w:r>
        <w:t>3</w:t>
      </w:r>
      <w:r>
        <w:rPr>
          <w:rFonts w:hint="eastAsia"/>
        </w:rPr>
        <w:t>-</w:t>
      </w:r>
      <w:r>
        <w:t>2</w:t>
      </w:r>
      <w:r>
        <w:rPr>
          <w:rFonts w:hint="eastAsia"/>
        </w:rPr>
        <w:t>分析，本项目符合《昌吉回族自治州”三线一单”生态环境分区管控方案及生态环境准入清单》的相关要求。</w:t>
      </w:r>
    </w:p>
    <w:p w14:paraId="63B3CAD3">
      <w:pPr>
        <w:ind w:firstLine="480"/>
      </w:pPr>
      <w:r>
        <w:rPr>
          <w:rFonts w:hint="eastAsia"/>
        </w:rPr>
        <w:t>综上所述，本项目的建设符合《新疆维吾尔自治区”三线一单”生态环境分区管控方案》和《昌吉回族自治州”三线一单”生态环境分区管控方案及生态环境准入清单》的相关要求。本项目与木垒县环境管控单元生态环境准入清单（重点管控单元）的符合性分析见表1</w:t>
      </w:r>
      <w:r>
        <w:t>.3-</w:t>
      </w:r>
      <w:r>
        <w:rPr>
          <w:rFonts w:hint="eastAsia"/>
        </w:rPr>
        <w:t>2，项目的建设符合相关规定。本项目在新疆维吾尔自治区环境管控单元图中的位置见附图</w:t>
      </w:r>
      <w:r>
        <w:t>1</w:t>
      </w:r>
      <w:r>
        <w:rPr>
          <w:rFonts w:hint="eastAsia"/>
        </w:rPr>
        <w:t>.</w:t>
      </w:r>
      <w:r>
        <w:t>3</w:t>
      </w:r>
      <w:r>
        <w:rPr>
          <w:rFonts w:hint="eastAsia"/>
        </w:rPr>
        <w:t>-</w:t>
      </w:r>
      <w:r>
        <w:t>1</w:t>
      </w:r>
      <w:r>
        <w:rPr>
          <w:rFonts w:hint="eastAsia"/>
        </w:rPr>
        <w:t>。</w:t>
      </w:r>
    </w:p>
    <w:p w14:paraId="0FC8E579">
      <w:pPr>
        <w:ind w:firstLine="480"/>
        <w:sectPr>
          <w:headerReference r:id="rId13" w:type="first"/>
          <w:footerReference r:id="rId16" w:type="first"/>
          <w:headerReference r:id="rId11" w:type="default"/>
          <w:footerReference r:id="rId14" w:type="default"/>
          <w:headerReference r:id="rId12" w:type="even"/>
          <w:footerReference r:id="rId15" w:type="even"/>
          <w:type w:val="oddPage"/>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26" w:charSpace="0"/>
        </w:sectPr>
      </w:pPr>
    </w:p>
    <w:p w14:paraId="53BE07C2">
      <w:pPr>
        <w:ind w:firstLine="482"/>
        <w:jc w:val="center"/>
        <w:outlineLvl w:val="0"/>
        <w:rPr>
          <w:b/>
          <w:szCs w:val="22"/>
        </w:rPr>
      </w:pPr>
      <w:bookmarkStart w:id="11" w:name="_Toc69742108"/>
      <w:bookmarkStart w:id="12" w:name="_Toc65241744"/>
      <w:r>
        <w:rPr>
          <w:rFonts w:hint="eastAsia"/>
          <w:b/>
          <w:szCs w:val="22"/>
        </w:rPr>
        <w:t>表1.3-2与木垒县环境管控单元生态环境准入清单（</w:t>
      </w:r>
      <w:bookmarkEnd w:id="11"/>
      <w:bookmarkEnd w:id="12"/>
      <w:r>
        <w:rPr>
          <w:rFonts w:hint="eastAsia"/>
          <w:b/>
          <w:szCs w:val="22"/>
        </w:rPr>
        <w:t>一般管控单元）符合性分析表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001"/>
        <w:gridCol w:w="976"/>
        <w:gridCol w:w="1120"/>
        <w:gridCol w:w="2865"/>
        <w:gridCol w:w="5293"/>
        <w:gridCol w:w="1038"/>
      </w:tblGrid>
      <w:tr w14:paraId="324C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3" w:type="pct"/>
            <w:tcBorders>
              <w:top w:val="single" w:color="auto" w:sz="4" w:space="0"/>
              <w:left w:val="single" w:color="auto" w:sz="4" w:space="0"/>
              <w:bottom w:val="single" w:color="auto" w:sz="4" w:space="0"/>
              <w:right w:val="single" w:color="auto" w:sz="4" w:space="0"/>
            </w:tcBorders>
            <w:vAlign w:val="center"/>
          </w:tcPr>
          <w:p w14:paraId="3C3C6DA7">
            <w:pPr>
              <w:spacing w:line="240" w:lineRule="auto"/>
              <w:ind w:firstLine="21" w:firstLineChars="10"/>
              <w:jc w:val="center"/>
              <w:rPr>
                <w:b/>
                <w:bCs/>
                <w:sz w:val="21"/>
                <w:szCs w:val="21"/>
              </w:rPr>
            </w:pPr>
            <w:r>
              <w:rPr>
                <w:b/>
                <w:bCs/>
                <w:sz w:val="21"/>
                <w:szCs w:val="21"/>
              </w:rPr>
              <w:t>环境管控单元编码</w:t>
            </w:r>
          </w:p>
        </w:tc>
        <w:tc>
          <w:tcPr>
            <w:tcW w:w="353" w:type="pct"/>
            <w:tcBorders>
              <w:top w:val="single" w:color="auto" w:sz="4" w:space="0"/>
              <w:left w:val="single" w:color="auto" w:sz="4" w:space="0"/>
              <w:bottom w:val="single" w:color="auto" w:sz="4" w:space="0"/>
              <w:right w:val="single" w:color="auto" w:sz="4" w:space="0"/>
            </w:tcBorders>
            <w:vAlign w:val="center"/>
          </w:tcPr>
          <w:p w14:paraId="754760C7">
            <w:pPr>
              <w:spacing w:line="240" w:lineRule="auto"/>
              <w:ind w:firstLine="21" w:firstLineChars="10"/>
              <w:jc w:val="center"/>
              <w:rPr>
                <w:b/>
                <w:bCs/>
                <w:sz w:val="21"/>
                <w:szCs w:val="21"/>
              </w:rPr>
            </w:pPr>
            <w:r>
              <w:rPr>
                <w:b/>
                <w:bCs/>
                <w:sz w:val="21"/>
                <w:szCs w:val="21"/>
              </w:rPr>
              <w:t>环境管控单元名称</w:t>
            </w:r>
          </w:p>
        </w:tc>
        <w:tc>
          <w:tcPr>
            <w:tcW w:w="344" w:type="pct"/>
            <w:tcBorders>
              <w:top w:val="single" w:color="auto" w:sz="4" w:space="0"/>
              <w:left w:val="single" w:color="auto" w:sz="4" w:space="0"/>
              <w:bottom w:val="single" w:color="auto" w:sz="4" w:space="0"/>
              <w:right w:val="single" w:color="auto" w:sz="4" w:space="0"/>
            </w:tcBorders>
            <w:vAlign w:val="center"/>
          </w:tcPr>
          <w:p w14:paraId="4E58AC93">
            <w:pPr>
              <w:spacing w:line="240" w:lineRule="auto"/>
              <w:ind w:firstLine="21" w:firstLineChars="10"/>
              <w:jc w:val="center"/>
              <w:rPr>
                <w:sz w:val="21"/>
                <w:szCs w:val="21"/>
              </w:rPr>
            </w:pPr>
            <w:r>
              <w:rPr>
                <w:b/>
                <w:bCs/>
                <w:sz w:val="21"/>
                <w:szCs w:val="21"/>
              </w:rPr>
              <w:t>环境管控单元类别</w:t>
            </w:r>
          </w:p>
        </w:tc>
        <w:tc>
          <w:tcPr>
            <w:tcW w:w="1405" w:type="pct"/>
            <w:gridSpan w:val="2"/>
            <w:tcBorders>
              <w:top w:val="single" w:color="auto" w:sz="4" w:space="0"/>
              <w:left w:val="single" w:color="auto" w:sz="4" w:space="0"/>
              <w:bottom w:val="single" w:color="auto" w:sz="4" w:space="0"/>
              <w:right w:val="single" w:color="auto" w:sz="4" w:space="0"/>
            </w:tcBorders>
            <w:vAlign w:val="center"/>
          </w:tcPr>
          <w:p w14:paraId="3AE16E07">
            <w:pPr>
              <w:spacing w:line="240" w:lineRule="auto"/>
              <w:ind w:firstLine="21" w:firstLineChars="10"/>
              <w:jc w:val="center"/>
              <w:rPr>
                <w:b/>
                <w:bCs/>
                <w:sz w:val="21"/>
                <w:szCs w:val="21"/>
              </w:rPr>
            </w:pPr>
            <w:r>
              <w:rPr>
                <w:b/>
                <w:bCs/>
                <w:sz w:val="21"/>
                <w:szCs w:val="21"/>
              </w:rPr>
              <w:t>管控要求</w:t>
            </w:r>
          </w:p>
        </w:tc>
        <w:tc>
          <w:tcPr>
            <w:tcW w:w="1866" w:type="pct"/>
            <w:tcBorders>
              <w:top w:val="single" w:color="auto" w:sz="4" w:space="0"/>
              <w:left w:val="single" w:color="auto" w:sz="4" w:space="0"/>
              <w:bottom w:val="single" w:color="auto" w:sz="4" w:space="0"/>
              <w:right w:val="single" w:color="auto" w:sz="4" w:space="0"/>
            </w:tcBorders>
            <w:vAlign w:val="center"/>
          </w:tcPr>
          <w:p w14:paraId="7546C839">
            <w:pPr>
              <w:spacing w:line="240" w:lineRule="auto"/>
              <w:ind w:firstLine="21" w:firstLineChars="10"/>
              <w:jc w:val="center"/>
              <w:rPr>
                <w:b/>
                <w:bCs/>
                <w:sz w:val="21"/>
                <w:szCs w:val="21"/>
              </w:rPr>
            </w:pPr>
            <w:r>
              <w:rPr>
                <w:rFonts w:hint="eastAsia"/>
                <w:b/>
                <w:bCs/>
                <w:sz w:val="21"/>
                <w:szCs w:val="21"/>
              </w:rPr>
              <w:t>本项目基本情况</w:t>
            </w:r>
          </w:p>
        </w:tc>
        <w:tc>
          <w:tcPr>
            <w:tcW w:w="366" w:type="pct"/>
            <w:tcBorders>
              <w:top w:val="single" w:color="auto" w:sz="4" w:space="0"/>
              <w:left w:val="single" w:color="auto" w:sz="4" w:space="0"/>
              <w:bottom w:val="single" w:color="auto" w:sz="4" w:space="0"/>
              <w:right w:val="single" w:color="auto" w:sz="4" w:space="0"/>
            </w:tcBorders>
            <w:vAlign w:val="center"/>
          </w:tcPr>
          <w:p w14:paraId="377C3010">
            <w:pPr>
              <w:spacing w:line="240" w:lineRule="auto"/>
              <w:ind w:firstLine="21" w:firstLineChars="10"/>
              <w:jc w:val="center"/>
              <w:rPr>
                <w:b/>
                <w:bCs/>
                <w:sz w:val="21"/>
                <w:szCs w:val="21"/>
              </w:rPr>
            </w:pPr>
            <w:r>
              <w:rPr>
                <w:rFonts w:hint="eastAsia"/>
                <w:b/>
                <w:bCs/>
                <w:sz w:val="21"/>
                <w:szCs w:val="21"/>
              </w:rPr>
              <w:t>符合性分析</w:t>
            </w:r>
          </w:p>
        </w:tc>
      </w:tr>
      <w:tr w14:paraId="496C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pct"/>
            <w:vMerge w:val="restart"/>
            <w:tcBorders>
              <w:top w:val="single" w:color="auto" w:sz="4" w:space="0"/>
              <w:left w:val="single" w:color="auto" w:sz="4" w:space="0"/>
              <w:bottom w:val="single" w:color="auto" w:sz="4" w:space="0"/>
              <w:right w:val="single" w:color="auto" w:sz="4" w:space="0"/>
            </w:tcBorders>
            <w:vAlign w:val="center"/>
          </w:tcPr>
          <w:p w14:paraId="4254B2D7">
            <w:pPr>
              <w:spacing w:line="240" w:lineRule="auto"/>
              <w:ind w:firstLine="24" w:firstLineChars="10"/>
              <w:jc w:val="center"/>
              <w:rPr>
                <w:sz w:val="21"/>
                <w:szCs w:val="21"/>
              </w:rPr>
            </w:pPr>
            <w:r>
              <w:rPr>
                <w:rFonts w:eastAsia="仿宋"/>
                <w:szCs w:val="24"/>
              </w:rPr>
              <w:t>ZH65232820001</w:t>
            </w:r>
          </w:p>
        </w:tc>
        <w:tc>
          <w:tcPr>
            <w:tcW w:w="353" w:type="pct"/>
            <w:vMerge w:val="restart"/>
            <w:tcBorders>
              <w:top w:val="single" w:color="auto" w:sz="4" w:space="0"/>
              <w:left w:val="single" w:color="auto" w:sz="4" w:space="0"/>
              <w:bottom w:val="single" w:color="auto" w:sz="4" w:space="0"/>
              <w:right w:val="single" w:color="auto" w:sz="4" w:space="0"/>
            </w:tcBorders>
            <w:vAlign w:val="center"/>
          </w:tcPr>
          <w:p w14:paraId="465DC456">
            <w:pPr>
              <w:spacing w:line="240" w:lineRule="auto"/>
              <w:ind w:firstLine="21" w:firstLineChars="10"/>
              <w:jc w:val="center"/>
              <w:rPr>
                <w:sz w:val="21"/>
                <w:szCs w:val="21"/>
              </w:rPr>
            </w:pPr>
            <w:r>
              <w:rPr>
                <w:rFonts w:hint="eastAsia"/>
                <w:sz w:val="21"/>
                <w:szCs w:val="21"/>
              </w:rPr>
              <w:t>木垒县建成区</w:t>
            </w:r>
          </w:p>
        </w:tc>
        <w:tc>
          <w:tcPr>
            <w:tcW w:w="344" w:type="pct"/>
            <w:vMerge w:val="restart"/>
            <w:tcBorders>
              <w:top w:val="single" w:color="auto" w:sz="4" w:space="0"/>
              <w:left w:val="single" w:color="auto" w:sz="4" w:space="0"/>
              <w:bottom w:val="single" w:color="auto" w:sz="4" w:space="0"/>
              <w:right w:val="single" w:color="auto" w:sz="4" w:space="0"/>
            </w:tcBorders>
            <w:vAlign w:val="center"/>
          </w:tcPr>
          <w:p w14:paraId="1641F61B">
            <w:pPr>
              <w:spacing w:line="240" w:lineRule="auto"/>
              <w:ind w:firstLine="21" w:firstLineChars="10"/>
              <w:jc w:val="center"/>
              <w:rPr>
                <w:sz w:val="21"/>
                <w:szCs w:val="21"/>
              </w:rPr>
            </w:pPr>
            <w:r>
              <w:rPr>
                <w:rFonts w:hint="eastAsia"/>
                <w:sz w:val="21"/>
                <w:szCs w:val="21"/>
              </w:rPr>
              <w:t>重点管控单元</w:t>
            </w:r>
          </w:p>
        </w:tc>
        <w:tc>
          <w:tcPr>
            <w:tcW w:w="395" w:type="pct"/>
            <w:tcBorders>
              <w:top w:val="single" w:color="auto" w:sz="4" w:space="0"/>
              <w:left w:val="single" w:color="auto" w:sz="4" w:space="0"/>
              <w:bottom w:val="single" w:color="auto" w:sz="4" w:space="0"/>
              <w:right w:val="single" w:color="auto" w:sz="4" w:space="0"/>
            </w:tcBorders>
            <w:vAlign w:val="center"/>
          </w:tcPr>
          <w:p w14:paraId="7B8B1BA2">
            <w:pPr>
              <w:spacing w:line="240" w:lineRule="auto"/>
              <w:ind w:firstLine="21" w:firstLineChars="10"/>
              <w:jc w:val="center"/>
              <w:rPr>
                <w:sz w:val="21"/>
                <w:szCs w:val="21"/>
              </w:rPr>
            </w:pPr>
            <w:r>
              <w:rPr>
                <w:sz w:val="21"/>
                <w:szCs w:val="21"/>
              </w:rPr>
              <w:t>空间布局约束</w:t>
            </w:r>
          </w:p>
        </w:tc>
        <w:tc>
          <w:tcPr>
            <w:tcW w:w="1009" w:type="pct"/>
            <w:tcBorders>
              <w:top w:val="single" w:color="auto" w:sz="4" w:space="0"/>
              <w:left w:val="single" w:color="auto" w:sz="4" w:space="0"/>
              <w:bottom w:val="single" w:color="auto" w:sz="4" w:space="0"/>
              <w:right w:val="single" w:color="auto" w:sz="4" w:space="0"/>
            </w:tcBorders>
            <w:vAlign w:val="center"/>
          </w:tcPr>
          <w:p w14:paraId="22B00E0A">
            <w:pPr>
              <w:spacing w:line="240" w:lineRule="auto"/>
              <w:ind w:firstLine="420"/>
              <w:jc w:val="left"/>
              <w:rPr>
                <w:sz w:val="21"/>
                <w:szCs w:val="21"/>
              </w:rPr>
            </w:pPr>
            <w:r>
              <w:rPr>
                <w:sz w:val="21"/>
                <w:szCs w:val="21"/>
              </w:rPr>
              <w:t>1、执行自治区总体准入要求中关于重点管控单元空间布局约束的准入要求（表2-3A6.1）</w:t>
            </w:r>
            <w:r>
              <w:rPr>
                <w:rFonts w:hint="eastAsia"/>
                <w:sz w:val="21"/>
                <w:szCs w:val="21"/>
              </w:rPr>
              <w:t>。</w:t>
            </w:r>
          </w:p>
          <w:p w14:paraId="57175698">
            <w:pPr>
              <w:spacing w:line="240" w:lineRule="auto"/>
              <w:ind w:firstLine="420"/>
              <w:jc w:val="left"/>
              <w:rPr>
                <w:sz w:val="21"/>
                <w:szCs w:val="21"/>
              </w:rPr>
            </w:pPr>
            <w:r>
              <w:rPr>
                <w:rFonts w:hint="eastAsia"/>
                <w:sz w:val="21"/>
                <w:szCs w:val="21"/>
              </w:rPr>
              <w:t>2、城市建成区原则上不再新建每小时35蒸吨以下燃煤锅炉。</w:t>
            </w:r>
          </w:p>
          <w:p w14:paraId="3561F191">
            <w:pPr>
              <w:spacing w:line="240" w:lineRule="auto"/>
              <w:ind w:firstLine="420"/>
              <w:jc w:val="left"/>
              <w:rPr>
                <w:sz w:val="21"/>
                <w:szCs w:val="21"/>
              </w:rPr>
            </w:pPr>
            <w:r>
              <w:rPr>
                <w:rFonts w:hint="eastAsia"/>
                <w:sz w:val="21"/>
                <w:szCs w:val="21"/>
              </w:rPr>
              <w:t>3、禁止在居民住宅区等人口密集区域和机关、医院、学校、幼儿园、养老院等其他需要特殊保护的区域及其周边，新建、改建和扩建易产生恶臭气体的生产项目，或者从事其他产生恶臭气体的生产经营活动。</w:t>
            </w:r>
          </w:p>
          <w:p w14:paraId="097D142E">
            <w:pPr>
              <w:spacing w:line="240" w:lineRule="auto"/>
              <w:ind w:firstLine="420"/>
              <w:jc w:val="left"/>
              <w:rPr>
                <w:sz w:val="21"/>
                <w:szCs w:val="21"/>
              </w:rPr>
            </w:pPr>
            <w:r>
              <w:rPr>
                <w:rFonts w:hint="eastAsia"/>
                <w:sz w:val="21"/>
                <w:szCs w:val="21"/>
              </w:rPr>
              <w:t>4、禁止在集中供热管网覆盖地区新建、扩建分散燃煤供热锅炉。</w:t>
            </w:r>
          </w:p>
        </w:tc>
        <w:tc>
          <w:tcPr>
            <w:tcW w:w="1866" w:type="pct"/>
            <w:tcBorders>
              <w:top w:val="single" w:color="auto" w:sz="4" w:space="0"/>
              <w:left w:val="single" w:color="auto" w:sz="4" w:space="0"/>
              <w:bottom w:val="single" w:color="auto" w:sz="4" w:space="0"/>
              <w:right w:val="single" w:color="auto" w:sz="4" w:space="0"/>
            </w:tcBorders>
            <w:vAlign w:val="center"/>
          </w:tcPr>
          <w:p w14:paraId="1E7BEDA6">
            <w:pPr>
              <w:spacing w:line="240" w:lineRule="auto"/>
              <w:ind w:firstLine="172" w:firstLineChars="82"/>
              <w:rPr>
                <w:sz w:val="21"/>
                <w:szCs w:val="21"/>
              </w:rPr>
            </w:pPr>
            <w:r>
              <w:rPr>
                <w:rFonts w:hint="eastAsia"/>
                <w:sz w:val="21"/>
                <w:szCs w:val="21"/>
              </w:rPr>
              <w:t>（1）本项目为骆驼养殖建设项目，位于昌吉木垒县雀仁乡正格勒得村，属于《产业结构调整指导目录（2024年本）》中第一大类”第一类鼓励类—一、农林业—4、畜禽标准化规模养殖技术开发与应用”，因此，符合自治区及乌昌石片区的准入要求。</w:t>
            </w:r>
          </w:p>
          <w:p w14:paraId="1358B0FB">
            <w:pPr>
              <w:spacing w:line="240" w:lineRule="auto"/>
              <w:ind w:firstLine="172" w:firstLineChars="82"/>
              <w:rPr>
                <w:sz w:val="21"/>
                <w:szCs w:val="21"/>
              </w:rPr>
            </w:pPr>
            <w:r>
              <w:rPr>
                <w:rFonts w:hint="eastAsia"/>
                <w:sz w:val="21"/>
                <w:szCs w:val="21"/>
              </w:rPr>
              <w:t>（2）本项目位于城市建成区外，本项目采用电锅炉供暖，不涉及燃煤锅炉。</w:t>
            </w:r>
          </w:p>
          <w:p w14:paraId="4C8A3F16">
            <w:pPr>
              <w:spacing w:line="240" w:lineRule="auto"/>
              <w:ind w:firstLine="172" w:firstLineChars="82"/>
              <w:rPr>
                <w:sz w:val="21"/>
                <w:szCs w:val="21"/>
              </w:rPr>
            </w:pPr>
            <w:r>
              <w:rPr>
                <w:rFonts w:hint="eastAsia"/>
                <w:sz w:val="21"/>
                <w:szCs w:val="21"/>
              </w:rPr>
              <w:t>（3）本项目位于城市建成区外，周边无机关、医院、学校、幼儿园、养老院等其他需要特殊保护的区域。</w:t>
            </w:r>
          </w:p>
          <w:p w14:paraId="6EA307C8">
            <w:pPr>
              <w:spacing w:line="240" w:lineRule="auto"/>
              <w:ind w:firstLine="172" w:firstLineChars="82"/>
              <w:rPr>
                <w:sz w:val="21"/>
                <w:szCs w:val="21"/>
              </w:rPr>
            </w:pPr>
            <w:r>
              <w:rPr>
                <w:rFonts w:hint="eastAsia"/>
                <w:sz w:val="21"/>
                <w:szCs w:val="21"/>
              </w:rPr>
              <w:t>（4）本项目不在供热管网覆盖区内，本项目不建燃煤供热锅炉。</w:t>
            </w:r>
          </w:p>
        </w:tc>
        <w:tc>
          <w:tcPr>
            <w:tcW w:w="366" w:type="pct"/>
            <w:tcBorders>
              <w:top w:val="single" w:color="auto" w:sz="4" w:space="0"/>
              <w:left w:val="single" w:color="auto" w:sz="4" w:space="0"/>
              <w:bottom w:val="single" w:color="auto" w:sz="4" w:space="0"/>
              <w:right w:val="single" w:color="auto" w:sz="4" w:space="0"/>
            </w:tcBorders>
            <w:vAlign w:val="center"/>
          </w:tcPr>
          <w:p w14:paraId="7F6E66DC">
            <w:pPr>
              <w:spacing w:line="240" w:lineRule="auto"/>
              <w:ind w:firstLine="0" w:firstLineChars="0"/>
              <w:rPr>
                <w:sz w:val="21"/>
                <w:szCs w:val="21"/>
              </w:rPr>
            </w:pPr>
            <w:r>
              <w:rPr>
                <w:rFonts w:hint="eastAsia"/>
                <w:sz w:val="21"/>
                <w:szCs w:val="21"/>
              </w:rPr>
              <w:t>符合</w:t>
            </w:r>
          </w:p>
        </w:tc>
      </w:tr>
      <w:tr w14:paraId="7164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pct"/>
            <w:vMerge w:val="continue"/>
            <w:tcBorders>
              <w:top w:val="single" w:color="auto" w:sz="4" w:space="0"/>
              <w:left w:val="single" w:color="auto" w:sz="4" w:space="0"/>
              <w:bottom w:val="single" w:color="auto" w:sz="4" w:space="0"/>
              <w:right w:val="single" w:color="auto" w:sz="4" w:space="0"/>
            </w:tcBorders>
            <w:vAlign w:val="center"/>
          </w:tcPr>
          <w:p w14:paraId="73A56CFE">
            <w:pPr>
              <w:widowControl/>
              <w:ind w:firstLine="420"/>
              <w:jc w:val="left"/>
              <w:rPr>
                <w:sz w:val="21"/>
                <w:szCs w:val="21"/>
              </w:rPr>
            </w:pPr>
          </w:p>
        </w:tc>
        <w:tc>
          <w:tcPr>
            <w:tcW w:w="353" w:type="pct"/>
            <w:vMerge w:val="continue"/>
            <w:tcBorders>
              <w:top w:val="single" w:color="auto" w:sz="4" w:space="0"/>
              <w:left w:val="single" w:color="auto" w:sz="4" w:space="0"/>
              <w:bottom w:val="single" w:color="auto" w:sz="4" w:space="0"/>
              <w:right w:val="single" w:color="auto" w:sz="4" w:space="0"/>
            </w:tcBorders>
            <w:vAlign w:val="center"/>
          </w:tcPr>
          <w:p w14:paraId="2C53504C">
            <w:pPr>
              <w:widowControl/>
              <w:ind w:firstLine="420"/>
              <w:jc w:val="left"/>
              <w:rPr>
                <w:sz w:val="21"/>
                <w:szCs w:val="21"/>
              </w:rPr>
            </w:pPr>
          </w:p>
        </w:tc>
        <w:tc>
          <w:tcPr>
            <w:tcW w:w="344" w:type="pct"/>
            <w:vMerge w:val="continue"/>
            <w:tcBorders>
              <w:top w:val="single" w:color="auto" w:sz="4" w:space="0"/>
              <w:left w:val="single" w:color="auto" w:sz="4" w:space="0"/>
              <w:bottom w:val="single" w:color="auto" w:sz="4" w:space="0"/>
              <w:right w:val="single" w:color="auto" w:sz="4" w:space="0"/>
            </w:tcBorders>
            <w:vAlign w:val="center"/>
          </w:tcPr>
          <w:p w14:paraId="133C4F8D">
            <w:pPr>
              <w:widowControl/>
              <w:ind w:firstLine="420"/>
              <w:jc w:val="left"/>
              <w:rPr>
                <w:sz w:val="21"/>
                <w:szCs w:val="21"/>
              </w:rPr>
            </w:pPr>
          </w:p>
        </w:tc>
        <w:tc>
          <w:tcPr>
            <w:tcW w:w="395" w:type="pct"/>
            <w:tcBorders>
              <w:top w:val="single" w:color="auto" w:sz="4" w:space="0"/>
              <w:left w:val="single" w:color="auto" w:sz="4" w:space="0"/>
              <w:bottom w:val="single" w:color="auto" w:sz="4" w:space="0"/>
              <w:right w:val="single" w:color="auto" w:sz="4" w:space="0"/>
            </w:tcBorders>
            <w:vAlign w:val="center"/>
          </w:tcPr>
          <w:p w14:paraId="0BC482D5">
            <w:pPr>
              <w:ind w:firstLine="0" w:firstLineChars="0"/>
              <w:jc w:val="center"/>
              <w:rPr>
                <w:sz w:val="21"/>
                <w:szCs w:val="21"/>
              </w:rPr>
            </w:pPr>
            <w:r>
              <w:rPr>
                <w:sz w:val="21"/>
                <w:szCs w:val="21"/>
              </w:rPr>
              <w:t>污染物排放管控</w:t>
            </w:r>
          </w:p>
        </w:tc>
        <w:tc>
          <w:tcPr>
            <w:tcW w:w="1009" w:type="pct"/>
            <w:tcBorders>
              <w:top w:val="single" w:color="auto" w:sz="4" w:space="0"/>
              <w:left w:val="single" w:color="auto" w:sz="4" w:space="0"/>
              <w:bottom w:val="single" w:color="auto" w:sz="4" w:space="0"/>
              <w:right w:val="single" w:color="auto" w:sz="4" w:space="0"/>
            </w:tcBorders>
            <w:vAlign w:val="center"/>
          </w:tcPr>
          <w:p w14:paraId="0CDBD81C">
            <w:pPr>
              <w:spacing w:line="240" w:lineRule="auto"/>
              <w:ind w:firstLine="420"/>
              <w:jc w:val="left"/>
              <w:rPr>
                <w:sz w:val="21"/>
                <w:szCs w:val="21"/>
              </w:rPr>
            </w:pPr>
            <w:r>
              <w:rPr>
                <w:sz w:val="21"/>
                <w:szCs w:val="21"/>
              </w:rPr>
              <w:t>1、执行自治区总体准入要求中关于重点管控单元污染物排放管控的准入要求（表2-3A6.2）</w:t>
            </w:r>
            <w:r>
              <w:rPr>
                <w:rFonts w:hint="eastAsia"/>
                <w:sz w:val="21"/>
                <w:szCs w:val="21"/>
              </w:rPr>
              <w:t>。</w:t>
            </w:r>
          </w:p>
          <w:p w14:paraId="68FE5C86">
            <w:pPr>
              <w:spacing w:line="240" w:lineRule="auto"/>
              <w:ind w:firstLine="420"/>
              <w:jc w:val="left"/>
              <w:rPr>
                <w:sz w:val="21"/>
                <w:szCs w:val="21"/>
              </w:rPr>
            </w:pPr>
            <w:r>
              <w:rPr>
                <w:sz w:val="21"/>
                <w:szCs w:val="21"/>
              </w:rPr>
              <w:t>2、PM</w:t>
            </w:r>
            <w:r>
              <w:rPr>
                <w:sz w:val="21"/>
                <w:szCs w:val="21"/>
                <w:vertAlign w:val="subscript"/>
              </w:rPr>
              <w:t>2.5</w:t>
            </w:r>
            <w:r>
              <w:rPr>
                <w:sz w:val="21"/>
                <w:szCs w:val="21"/>
              </w:rPr>
              <w:t>年平均不达标县市（园区），禁止新（改、扩）建未落实SO2、NOx、烟粉尘、挥发性有机物（VOCs）等四项大气污染物总量指标昌吉州区域内倍量替代的项目</w:t>
            </w:r>
            <w:r>
              <w:rPr>
                <w:rFonts w:hint="eastAsia"/>
                <w:sz w:val="21"/>
                <w:szCs w:val="21"/>
              </w:rPr>
              <w:t>。</w:t>
            </w:r>
          </w:p>
          <w:p w14:paraId="01305CEC">
            <w:pPr>
              <w:spacing w:line="240" w:lineRule="auto"/>
              <w:ind w:firstLine="420"/>
              <w:jc w:val="left"/>
              <w:rPr>
                <w:sz w:val="21"/>
                <w:szCs w:val="21"/>
              </w:rPr>
            </w:pPr>
            <w:r>
              <w:rPr>
                <w:rFonts w:hint="eastAsia"/>
                <w:sz w:val="21"/>
                <w:szCs w:val="21"/>
              </w:rPr>
              <w:t>3</w:t>
            </w:r>
            <w:r>
              <w:rPr>
                <w:sz w:val="21"/>
                <w:szCs w:val="21"/>
              </w:rPr>
              <w:t>、施工工地全面落实“六个百分之百”（施工工地周边围挡、物料堆放覆盖、出入车辆冲洗、施工现场地面硬化、拆迁工地湿法作业、渣土车辆密闭运输）</w:t>
            </w:r>
            <w:r>
              <w:rPr>
                <w:rFonts w:hint="eastAsia"/>
                <w:sz w:val="21"/>
                <w:szCs w:val="21"/>
              </w:rPr>
              <w:t>。</w:t>
            </w:r>
          </w:p>
        </w:tc>
        <w:tc>
          <w:tcPr>
            <w:tcW w:w="1866" w:type="pct"/>
            <w:tcBorders>
              <w:top w:val="single" w:color="auto" w:sz="4" w:space="0"/>
              <w:left w:val="single" w:color="auto" w:sz="4" w:space="0"/>
              <w:bottom w:val="single" w:color="auto" w:sz="4" w:space="0"/>
              <w:right w:val="single" w:color="auto" w:sz="4" w:space="0"/>
            </w:tcBorders>
            <w:vAlign w:val="center"/>
          </w:tcPr>
          <w:p w14:paraId="37696DDA">
            <w:pPr>
              <w:spacing w:line="240" w:lineRule="auto"/>
              <w:ind w:firstLine="172" w:firstLineChars="82"/>
              <w:rPr>
                <w:sz w:val="21"/>
                <w:szCs w:val="21"/>
              </w:rPr>
            </w:pPr>
            <w:r>
              <w:rPr>
                <w:rFonts w:hint="eastAsia"/>
                <w:sz w:val="21"/>
                <w:szCs w:val="21"/>
              </w:rPr>
              <w:t>（1）本项目采用电锅炉采暖，本项目为养殖类建设项目，不属于工业类项目；本项目产生的少量硫化氢和氨不在区污染物总量控制范围内。</w:t>
            </w:r>
          </w:p>
          <w:p w14:paraId="62A80CCD">
            <w:pPr>
              <w:spacing w:line="240" w:lineRule="auto"/>
              <w:ind w:firstLine="172" w:firstLineChars="82"/>
              <w:rPr>
                <w:sz w:val="21"/>
                <w:szCs w:val="21"/>
              </w:rPr>
            </w:pPr>
            <w:r>
              <w:rPr>
                <w:rFonts w:hint="eastAsia"/>
                <w:sz w:val="21"/>
                <w:szCs w:val="21"/>
              </w:rPr>
              <w:t>（2）本项目场界恶臭污染物排放标准执行《恶臭污染物排放标准》（GB14554-1993）表1恶臭污染物厂界标准二级标准；臭气浓度无组织排放执行《畜禽养殖业污染物排放标准》（GB18596-2001）中集约化畜禽养殖业恶臭污染物排放标准；食堂排放油烟执行《饮食业油烟排放标准（试行）》（GB18483-2001）表2中最高允许排放浓度要求。</w:t>
            </w:r>
          </w:p>
          <w:p w14:paraId="63FFFA26">
            <w:pPr>
              <w:spacing w:line="240" w:lineRule="auto"/>
              <w:ind w:firstLine="172" w:firstLineChars="82"/>
              <w:rPr>
                <w:sz w:val="21"/>
                <w:szCs w:val="21"/>
              </w:rPr>
            </w:pPr>
            <w:r>
              <w:rPr>
                <w:rFonts w:hint="eastAsia"/>
                <w:sz w:val="21"/>
                <w:szCs w:val="21"/>
              </w:rPr>
              <w:t>本项目不涉及</w:t>
            </w:r>
            <w:r>
              <w:rPr>
                <w:sz w:val="21"/>
                <w:szCs w:val="21"/>
              </w:rPr>
              <w:t>SO</w:t>
            </w:r>
            <w:r>
              <w:rPr>
                <w:sz w:val="21"/>
                <w:szCs w:val="21"/>
                <w:vertAlign w:val="subscript"/>
              </w:rPr>
              <w:t>2</w:t>
            </w:r>
            <w:r>
              <w:rPr>
                <w:sz w:val="21"/>
                <w:szCs w:val="21"/>
              </w:rPr>
              <w:t>、NOx、烟粉尘、挥发性有机物（VOCs）等四项大气污染物</w:t>
            </w:r>
            <w:r>
              <w:rPr>
                <w:rFonts w:hint="eastAsia"/>
                <w:sz w:val="21"/>
                <w:szCs w:val="21"/>
              </w:rPr>
              <w:t>的有组织排放，无大气污染物总量指标。</w:t>
            </w:r>
          </w:p>
          <w:p w14:paraId="6E2C704C">
            <w:pPr>
              <w:spacing w:line="240" w:lineRule="auto"/>
              <w:ind w:firstLine="420"/>
              <w:jc w:val="left"/>
              <w:rPr>
                <w:sz w:val="21"/>
                <w:szCs w:val="21"/>
              </w:rPr>
            </w:pPr>
            <w:r>
              <w:rPr>
                <w:rFonts w:hint="eastAsia"/>
                <w:sz w:val="21"/>
                <w:szCs w:val="21"/>
              </w:rPr>
              <w:t>本项目</w:t>
            </w:r>
            <w:r>
              <w:rPr>
                <w:sz w:val="21"/>
                <w:szCs w:val="21"/>
              </w:rPr>
              <w:t>施工工地全面落实</w:t>
            </w:r>
            <w:r>
              <w:rPr>
                <w:rFonts w:hint="eastAsia"/>
                <w:sz w:val="21"/>
                <w:szCs w:val="21"/>
              </w:rPr>
              <w:t>“</w:t>
            </w:r>
            <w:r>
              <w:rPr>
                <w:sz w:val="21"/>
                <w:szCs w:val="21"/>
              </w:rPr>
              <w:t>六个百分之百</w:t>
            </w:r>
            <w:r>
              <w:rPr>
                <w:rFonts w:hint="eastAsia"/>
                <w:sz w:val="21"/>
                <w:szCs w:val="21"/>
              </w:rPr>
              <w:t>”</w:t>
            </w:r>
            <w:r>
              <w:rPr>
                <w:sz w:val="21"/>
                <w:szCs w:val="21"/>
              </w:rPr>
              <w:t>（施工工地周边围挡、物料堆放覆盖、出入车辆冲洗、施工现场地面硬化、拆迁工地湿法作业、渣土车辆密闭运输）</w:t>
            </w:r>
            <w:r>
              <w:rPr>
                <w:rFonts w:hint="eastAsia"/>
                <w:sz w:val="21"/>
                <w:szCs w:val="21"/>
              </w:rPr>
              <w:t>。</w:t>
            </w:r>
          </w:p>
        </w:tc>
        <w:tc>
          <w:tcPr>
            <w:tcW w:w="366" w:type="pct"/>
            <w:tcBorders>
              <w:top w:val="single" w:color="auto" w:sz="4" w:space="0"/>
              <w:left w:val="single" w:color="auto" w:sz="4" w:space="0"/>
              <w:bottom w:val="single" w:color="auto" w:sz="4" w:space="0"/>
              <w:right w:val="single" w:color="auto" w:sz="4" w:space="0"/>
            </w:tcBorders>
            <w:vAlign w:val="center"/>
          </w:tcPr>
          <w:p w14:paraId="39DD1469">
            <w:pPr>
              <w:spacing w:line="240" w:lineRule="auto"/>
              <w:ind w:firstLine="29" w:firstLineChars="14"/>
              <w:jc w:val="left"/>
              <w:rPr>
                <w:sz w:val="21"/>
                <w:szCs w:val="21"/>
              </w:rPr>
            </w:pPr>
            <w:r>
              <w:rPr>
                <w:rFonts w:hint="eastAsia"/>
                <w:sz w:val="21"/>
                <w:szCs w:val="21"/>
              </w:rPr>
              <w:t>符合</w:t>
            </w:r>
          </w:p>
        </w:tc>
      </w:tr>
      <w:tr w14:paraId="6975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pct"/>
            <w:vMerge w:val="continue"/>
            <w:tcBorders>
              <w:top w:val="single" w:color="auto" w:sz="4" w:space="0"/>
              <w:left w:val="single" w:color="auto" w:sz="4" w:space="0"/>
              <w:bottom w:val="single" w:color="auto" w:sz="4" w:space="0"/>
              <w:right w:val="single" w:color="auto" w:sz="4" w:space="0"/>
            </w:tcBorders>
            <w:vAlign w:val="center"/>
          </w:tcPr>
          <w:p w14:paraId="466FDA2F">
            <w:pPr>
              <w:widowControl/>
              <w:ind w:firstLine="420"/>
              <w:jc w:val="left"/>
              <w:rPr>
                <w:sz w:val="21"/>
                <w:szCs w:val="21"/>
              </w:rPr>
            </w:pPr>
          </w:p>
        </w:tc>
        <w:tc>
          <w:tcPr>
            <w:tcW w:w="353" w:type="pct"/>
            <w:vMerge w:val="continue"/>
            <w:tcBorders>
              <w:top w:val="single" w:color="auto" w:sz="4" w:space="0"/>
              <w:left w:val="single" w:color="auto" w:sz="4" w:space="0"/>
              <w:bottom w:val="single" w:color="auto" w:sz="4" w:space="0"/>
              <w:right w:val="single" w:color="auto" w:sz="4" w:space="0"/>
            </w:tcBorders>
            <w:vAlign w:val="center"/>
          </w:tcPr>
          <w:p w14:paraId="4C120A53">
            <w:pPr>
              <w:widowControl/>
              <w:ind w:firstLine="420"/>
              <w:jc w:val="left"/>
              <w:rPr>
                <w:sz w:val="21"/>
                <w:szCs w:val="21"/>
              </w:rPr>
            </w:pPr>
          </w:p>
        </w:tc>
        <w:tc>
          <w:tcPr>
            <w:tcW w:w="344" w:type="pct"/>
            <w:vMerge w:val="continue"/>
            <w:tcBorders>
              <w:top w:val="single" w:color="auto" w:sz="4" w:space="0"/>
              <w:left w:val="single" w:color="auto" w:sz="4" w:space="0"/>
              <w:bottom w:val="single" w:color="auto" w:sz="4" w:space="0"/>
              <w:right w:val="single" w:color="auto" w:sz="4" w:space="0"/>
            </w:tcBorders>
            <w:vAlign w:val="center"/>
          </w:tcPr>
          <w:p w14:paraId="6B22F667">
            <w:pPr>
              <w:widowControl/>
              <w:ind w:firstLine="420"/>
              <w:jc w:val="left"/>
              <w:rPr>
                <w:sz w:val="21"/>
                <w:szCs w:val="21"/>
              </w:rPr>
            </w:pPr>
          </w:p>
        </w:tc>
        <w:tc>
          <w:tcPr>
            <w:tcW w:w="395" w:type="pct"/>
            <w:tcBorders>
              <w:top w:val="single" w:color="auto" w:sz="4" w:space="0"/>
              <w:left w:val="single" w:color="auto" w:sz="4" w:space="0"/>
              <w:bottom w:val="single" w:color="auto" w:sz="4" w:space="0"/>
              <w:right w:val="single" w:color="auto" w:sz="4" w:space="0"/>
            </w:tcBorders>
            <w:vAlign w:val="center"/>
          </w:tcPr>
          <w:p w14:paraId="3753CEF8">
            <w:pPr>
              <w:ind w:firstLine="0" w:firstLineChars="0"/>
              <w:jc w:val="center"/>
              <w:rPr>
                <w:sz w:val="21"/>
                <w:szCs w:val="21"/>
              </w:rPr>
            </w:pPr>
            <w:r>
              <w:rPr>
                <w:sz w:val="21"/>
                <w:szCs w:val="21"/>
              </w:rPr>
              <w:t>环境风险防控</w:t>
            </w:r>
          </w:p>
        </w:tc>
        <w:tc>
          <w:tcPr>
            <w:tcW w:w="1009" w:type="pct"/>
            <w:tcBorders>
              <w:top w:val="single" w:color="auto" w:sz="4" w:space="0"/>
              <w:left w:val="single" w:color="auto" w:sz="4" w:space="0"/>
              <w:bottom w:val="single" w:color="auto" w:sz="4" w:space="0"/>
              <w:right w:val="single" w:color="auto" w:sz="4" w:space="0"/>
            </w:tcBorders>
            <w:vAlign w:val="center"/>
          </w:tcPr>
          <w:p w14:paraId="2537DC2F">
            <w:pPr>
              <w:spacing w:line="240" w:lineRule="auto"/>
              <w:ind w:firstLine="420"/>
              <w:jc w:val="left"/>
              <w:rPr>
                <w:sz w:val="21"/>
                <w:szCs w:val="21"/>
              </w:rPr>
            </w:pPr>
            <w:r>
              <w:rPr>
                <w:sz w:val="21"/>
                <w:szCs w:val="21"/>
              </w:rPr>
              <w:t>1、执行自治区总体准入要求中关于重点管控单元环境风险防控的准入要求（表2-3A6.3）</w:t>
            </w:r>
            <w:r>
              <w:rPr>
                <w:rFonts w:hint="eastAsia"/>
                <w:sz w:val="21"/>
                <w:szCs w:val="21"/>
              </w:rPr>
              <w:t>。</w:t>
            </w:r>
          </w:p>
        </w:tc>
        <w:tc>
          <w:tcPr>
            <w:tcW w:w="1866" w:type="pct"/>
            <w:tcBorders>
              <w:top w:val="single" w:color="auto" w:sz="4" w:space="0"/>
              <w:left w:val="single" w:color="auto" w:sz="4" w:space="0"/>
              <w:bottom w:val="single" w:color="auto" w:sz="4" w:space="0"/>
              <w:right w:val="single" w:color="auto" w:sz="4" w:space="0"/>
            </w:tcBorders>
            <w:vAlign w:val="center"/>
          </w:tcPr>
          <w:p w14:paraId="6B06B39D">
            <w:pPr>
              <w:spacing w:line="240" w:lineRule="auto"/>
              <w:ind w:firstLine="420"/>
              <w:jc w:val="left"/>
              <w:rPr>
                <w:bCs/>
                <w:sz w:val="21"/>
                <w:szCs w:val="21"/>
              </w:rPr>
            </w:pPr>
            <w:r>
              <w:rPr>
                <w:rFonts w:hint="eastAsia"/>
                <w:sz w:val="21"/>
                <w:szCs w:val="21"/>
              </w:rPr>
              <w:t>本项目为骆驼养殖建设项目，不属于工业企业项目，本项目已建立较为完善的应急管理体系，另外可通过及时修订突发环境事件应急预案的方式来提高企业的应急反应机制和能力。</w:t>
            </w:r>
          </w:p>
        </w:tc>
        <w:tc>
          <w:tcPr>
            <w:tcW w:w="366" w:type="pct"/>
            <w:tcBorders>
              <w:top w:val="single" w:color="auto" w:sz="4" w:space="0"/>
              <w:left w:val="single" w:color="auto" w:sz="4" w:space="0"/>
              <w:bottom w:val="single" w:color="auto" w:sz="4" w:space="0"/>
              <w:right w:val="single" w:color="auto" w:sz="4" w:space="0"/>
            </w:tcBorders>
            <w:vAlign w:val="center"/>
          </w:tcPr>
          <w:p w14:paraId="7B25853E">
            <w:pPr>
              <w:ind w:firstLine="170" w:firstLineChars="81"/>
              <w:jc w:val="left"/>
              <w:rPr>
                <w:bCs/>
                <w:sz w:val="21"/>
                <w:szCs w:val="21"/>
              </w:rPr>
            </w:pPr>
            <w:r>
              <w:rPr>
                <w:rFonts w:hint="eastAsia"/>
                <w:sz w:val="21"/>
                <w:szCs w:val="21"/>
              </w:rPr>
              <w:t>符合</w:t>
            </w:r>
          </w:p>
        </w:tc>
      </w:tr>
      <w:tr w14:paraId="37A2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pct"/>
            <w:vMerge w:val="continue"/>
            <w:tcBorders>
              <w:top w:val="single" w:color="auto" w:sz="4" w:space="0"/>
              <w:left w:val="single" w:color="auto" w:sz="4" w:space="0"/>
              <w:bottom w:val="single" w:color="auto" w:sz="4" w:space="0"/>
              <w:right w:val="single" w:color="auto" w:sz="4" w:space="0"/>
            </w:tcBorders>
            <w:vAlign w:val="center"/>
          </w:tcPr>
          <w:p w14:paraId="5FD880D5">
            <w:pPr>
              <w:widowControl/>
              <w:ind w:firstLine="420"/>
              <w:jc w:val="left"/>
              <w:rPr>
                <w:sz w:val="21"/>
                <w:szCs w:val="21"/>
              </w:rPr>
            </w:pPr>
          </w:p>
        </w:tc>
        <w:tc>
          <w:tcPr>
            <w:tcW w:w="353" w:type="pct"/>
            <w:vMerge w:val="continue"/>
            <w:tcBorders>
              <w:top w:val="single" w:color="auto" w:sz="4" w:space="0"/>
              <w:left w:val="single" w:color="auto" w:sz="4" w:space="0"/>
              <w:bottom w:val="single" w:color="auto" w:sz="4" w:space="0"/>
              <w:right w:val="single" w:color="auto" w:sz="4" w:space="0"/>
            </w:tcBorders>
            <w:vAlign w:val="center"/>
          </w:tcPr>
          <w:p w14:paraId="0FD35C39">
            <w:pPr>
              <w:widowControl/>
              <w:ind w:firstLine="420"/>
              <w:jc w:val="left"/>
              <w:rPr>
                <w:sz w:val="21"/>
                <w:szCs w:val="21"/>
              </w:rPr>
            </w:pPr>
          </w:p>
        </w:tc>
        <w:tc>
          <w:tcPr>
            <w:tcW w:w="344" w:type="pct"/>
            <w:vMerge w:val="continue"/>
            <w:tcBorders>
              <w:top w:val="single" w:color="auto" w:sz="4" w:space="0"/>
              <w:left w:val="single" w:color="auto" w:sz="4" w:space="0"/>
              <w:bottom w:val="single" w:color="auto" w:sz="4" w:space="0"/>
              <w:right w:val="single" w:color="auto" w:sz="4" w:space="0"/>
            </w:tcBorders>
            <w:vAlign w:val="center"/>
          </w:tcPr>
          <w:p w14:paraId="3A85BF50">
            <w:pPr>
              <w:widowControl/>
              <w:ind w:firstLine="420"/>
              <w:jc w:val="left"/>
              <w:rPr>
                <w:sz w:val="21"/>
                <w:szCs w:val="21"/>
              </w:rPr>
            </w:pPr>
          </w:p>
        </w:tc>
        <w:tc>
          <w:tcPr>
            <w:tcW w:w="395" w:type="pct"/>
            <w:tcBorders>
              <w:top w:val="single" w:color="auto" w:sz="4" w:space="0"/>
              <w:left w:val="single" w:color="auto" w:sz="4" w:space="0"/>
              <w:bottom w:val="single" w:color="auto" w:sz="4" w:space="0"/>
              <w:right w:val="single" w:color="auto" w:sz="4" w:space="0"/>
            </w:tcBorders>
            <w:vAlign w:val="center"/>
          </w:tcPr>
          <w:p w14:paraId="38093A47">
            <w:pPr>
              <w:ind w:firstLine="0" w:firstLineChars="0"/>
              <w:jc w:val="center"/>
              <w:rPr>
                <w:sz w:val="21"/>
                <w:szCs w:val="21"/>
              </w:rPr>
            </w:pPr>
            <w:r>
              <w:rPr>
                <w:sz w:val="21"/>
                <w:szCs w:val="21"/>
              </w:rPr>
              <w:t>资源利用效率</w:t>
            </w:r>
          </w:p>
        </w:tc>
        <w:tc>
          <w:tcPr>
            <w:tcW w:w="1009" w:type="pct"/>
            <w:tcBorders>
              <w:top w:val="single" w:color="auto" w:sz="4" w:space="0"/>
              <w:left w:val="single" w:color="auto" w:sz="4" w:space="0"/>
              <w:bottom w:val="single" w:color="auto" w:sz="4" w:space="0"/>
              <w:right w:val="single" w:color="auto" w:sz="4" w:space="0"/>
            </w:tcBorders>
            <w:vAlign w:val="center"/>
          </w:tcPr>
          <w:p w14:paraId="550D83F1">
            <w:pPr>
              <w:spacing w:line="240" w:lineRule="auto"/>
              <w:ind w:firstLine="420"/>
              <w:jc w:val="left"/>
              <w:rPr>
                <w:sz w:val="21"/>
                <w:szCs w:val="21"/>
              </w:rPr>
            </w:pPr>
            <w:r>
              <w:rPr>
                <w:sz w:val="21"/>
                <w:szCs w:val="21"/>
              </w:rPr>
              <w:t>1、执行自治区总体准入要求中关于重点管控单元资源利用要求的准入要求（表2-3A6.4）</w:t>
            </w:r>
            <w:r>
              <w:rPr>
                <w:rFonts w:hint="eastAsia"/>
                <w:sz w:val="21"/>
                <w:szCs w:val="21"/>
              </w:rPr>
              <w:t>。</w:t>
            </w:r>
          </w:p>
          <w:p w14:paraId="028B9FB4">
            <w:pPr>
              <w:spacing w:line="240" w:lineRule="auto"/>
              <w:ind w:firstLine="420"/>
              <w:jc w:val="left"/>
              <w:rPr>
                <w:sz w:val="21"/>
                <w:szCs w:val="21"/>
              </w:rPr>
            </w:pPr>
            <w:r>
              <w:rPr>
                <w:sz w:val="21"/>
                <w:szCs w:val="21"/>
              </w:rPr>
              <w:t>2、禁止销售、燃用原煤、粉煤、各种可燃废物等高污染燃料；禁止新建、扩建燃用高污染燃料的设施，已建设成的，应当在规定的期限内改用清洁能源；严格控制引进高载能项目</w:t>
            </w:r>
            <w:r>
              <w:rPr>
                <w:rFonts w:hint="eastAsia"/>
                <w:sz w:val="21"/>
                <w:szCs w:val="21"/>
              </w:rPr>
              <w:t>。</w:t>
            </w:r>
          </w:p>
        </w:tc>
        <w:tc>
          <w:tcPr>
            <w:tcW w:w="1866" w:type="pct"/>
            <w:tcBorders>
              <w:top w:val="single" w:color="auto" w:sz="4" w:space="0"/>
              <w:left w:val="single" w:color="auto" w:sz="4" w:space="0"/>
              <w:bottom w:val="single" w:color="auto" w:sz="4" w:space="0"/>
              <w:right w:val="single" w:color="auto" w:sz="4" w:space="0"/>
            </w:tcBorders>
            <w:vAlign w:val="center"/>
          </w:tcPr>
          <w:p w14:paraId="417A6620">
            <w:pPr>
              <w:spacing w:line="240" w:lineRule="auto"/>
              <w:ind w:firstLine="420"/>
              <w:rPr>
                <w:sz w:val="21"/>
                <w:szCs w:val="21"/>
              </w:rPr>
            </w:pPr>
            <w:r>
              <w:rPr>
                <w:rFonts w:hint="eastAsia"/>
                <w:sz w:val="21"/>
                <w:szCs w:val="21"/>
              </w:rPr>
              <w:t>（1）本项目为骆驼养殖项目，在运行过程中使用的资源主要为水、电和饲料等，不触及昌吉州资源利用上线。</w:t>
            </w:r>
          </w:p>
          <w:p w14:paraId="0FACBA23">
            <w:pPr>
              <w:spacing w:line="240" w:lineRule="auto"/>
              <w:ind w:firstLine="420"/>
              <w:rPr>
                <w:bCs/>
                <w:sz w:val="21"/>
                <w:szCs w:val="21"/>
              </w:rPr>
            </w:pPr>
            <w:r>
              <w:rPr>
                <w:rFonts w:hint="eastAsia"/>
                <w:sz w:val="21"/>
                <w:szCs w:val="21"/>
              </w:rPr>
              <w:t>（2）本项目不涉及原煤、粉煤等高污染燃料的销售和使用。</w:t>
            </w:r>
          </w:p>
        </w:tc>
        <w:tc>
          <w:tcPr>
            <w:tcW w:w="366" w:type="pct"/>
            <w:tcBorders>
              <w:top w:val="single" w:color="auto" w:sz="4" w:space="0"/>
              <w:left w:val="single" w:color="auto" w:sz="4" w:space="0"/>
              <w:bottom w:val="single" w:color="auto" w:sz="4" w:space="0"/>
              <w:right w:val="single" w:color="auto" w:sz="4" w:space="0"/>
            </w:tcBorders>
            <w:vAlign w:val="center"/>
          </w:tcPr>
          <w:p w14:paraId="706D9965">
            <w:pPr>
              <w:ind w:firstLine="29" w:firstLineChars="14"/>
              <w:jc w:val="center"/>
              <w:rPr>
                <w:bCs/>
                <w:sz w:val="21"/>
                <w:szCs w:val="21"/>
              </w:rPr>
            </w:pPr>
            <w:r>
              <w:rPr>
                <w:rFonts w:hint="eastAsia"/>
                <w:sz w:val="21"/>
                <w:szCs w:val="21"/>
              </w:rPr>
              <w:t>符合</w:t>
            </w:r>
          </w:p>
        </w:tc>
      </w:tr>
    </w:tbl>
    <w:p w14:paraId="76172B07">
      <w:pPr>
        <w:ind w:firstLine="480"/>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titlePg/>
          <w:docGrid w:type="lines" w:linePitch="326" w:charSpace="0"/>
        </w:sectPr>
      </w:pPr>
    </w:p>
    <w:p w14:paraId="7D59A1CF">
      <w:pPr>
        <w:pStyle w:val="5"/>
      </w:pPr>
      <w:bookmarkStart w:id="13" w:name="_Toc106663417"/>
      <w:r>
        <w:rPr>
          <w:rFonts w:hint="eastAsia"/>
        </w:rPr>
        <w:t>1.3.5选址合理性</w:t>
      </w:r>
      <w:bookmarkEnd w:id="13"/>
    </w:p>
    <w:p w14:paraId="72A17104">
      <w:pPr>
        <w:ind w:firstLine="0" w:firstLineChars="0"/>
        <w:rPr>
          <w:b/>
          <w:bCs/>
        </w:rPr>
      </w:pPr>
      <w:r>
        <w:rPr>
          <w:rFonts w:hint="eastAsia"/>
          <w:b/>
          <w:bCs/>
        </w:rPr>
        <w:t>1.3.5.1与《畜禽规模养殖污染防治条例》（国务院令第643号）、《畜禽养殖业污染防治技术规范》（HJ/T81-2001）、《畜禽养殖业污染防治技术政策》（环发[2010]151号）的符合性分析</w:t>
      </w:r>
    </w:p>
    <w:p w14:paraId="3679992B">
      <w:pPr>
        <w:ind w:firstLine="480"/>
      </w:pPr>
      <w:r>
        <w:rPr>
          <w:rFonts w:hint="eastAsia"/>
        </w:rPr>
        <w:t>本项目与《畜禽规模养殖污染防治条例》（国务院令第643号）、《畜禽养殖业污染防治技术规范》（HJ/T81-2001）、《畜禽养殖业污染防治技术政策》（环发[2010]151号）的符合性分析见表1.3-3。</w:t>
      </w:r>
    </w:p>
    <w:p w14:paraId="71F5E40E">
      <w:pPr>
        <w:pStyle w:val="11"/>
        <w:rPr>
          <w:sz w:val="24"/>
          <w:szCs w:val="22"/>
        </w:rPr>
      </w:pPr>
      <w:r>
        <w:rPr>
          <w:rFonts w:hint="eastAsia"/>
          <w:sz w:val="24"/>
          <w:szCs w:val="22"/>
        </w:rPr>
        <w:t>表1.3-3选址合理性分析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3344"/>
        <w:gridCol w:w="2597"/>
        <w:gridCol w:w="825"/>
      </w:tblGrid>
      <w:tr w14:paraId="1084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13ADA56">
            <w:pPr>
              <w:spacing w:line="240" w:lineRule="auto"/>
              <w:ind w:firstLine="0" w:firstLineChars="0"/>
              <w:jc w:val="center"/>
              <w:rPr>
                <w:sz w:val="21"/>
                <w:szCs w:val="21"/>
              </w:rPr>
            </w:pPr>
            <w:r>
              <w:rPr>
                <w:rFonts w:hint="eastAsia"/>
                <w:sz w:val="21"/>
                <w:szCs w:val="21"/>
              </w:rPr>
              <w:t>项目</w:t>
            </w:r>
          </w:p>
        </w:tc>
        <w:tc>
          <w:tcPr>
            <w:tcW w:w="2007" w:type="pct"/>
            <w:vAlign w:val="center"/>
          </w:tcPr>
          <w:p w14:paraId="49D6C26C">
            <w:pPr>
              <w:spacing w:line="240" w:lineRule="auto"/>
              <w:ind w:firstLine="0" w:firstLineChars="0"/>
              <w:jc w:val="center"/>
              <w:rPr>
                <w:sz w:val="21"/>
                <w:szCs w:val="21"/>
              </w:rPr>
            </w:pPr>
            <w:r>
              <w:rPr>
                <w:rFonts w:hint="eastAsia"/>
                <w:sz w:val="21"/>
                <w:szCs w:val="21"/>
              </w:rPr>
              <w:t>要求</w:t>
            </w:r>
          </w:p>
        </w:tc>
        <w:tc>
          <w:tcPr>
            <w:tcW w:w="1569" w:type="pct"/>
            <w:vAlign w:val="center"/>
          </w:tcPr>
          <w:p w14:paraId="4EED9761">
            <w:pPr>
              <w:spacing w:line="240" w:lineRule="auto"/>
              <w:ind w:firstLine="0" w:firstLineChars="0"/>
              <w:jc w:val="center"/>
              <w:rPr>
                <w:sz w:val="21"/>
                <w:szCs w:val="21"/>
              </w:rPr>
            </w:pPr>
            <w:r>
              <w:rPr>
                <w:rFonts w:hint="eastAsia"/>
                <w:sz w:val="21"/>
                <w:szCs w:val="21"/>
              </w:rPr>
              <w:t>符合性分析</w:t>
            </w:r>
          </w:p>
        </w:tc>
        <w:tc>
          <w:tcPr>
            <w:tcW w:w="529" w:type="pct"/>
            <w:vAlign w:val="center"/>
          </w:tcPr>
          <w:p w14:paraId="0BD549FF">
            <w:pPr>
              <w:spacing w:line="240" w:lineRule="auto"/>
              <w:ind w:firstLine="0" w:firstLineChars="0"/>
              <w:jc w:val="center"/>
              <w:rPr>
                <w:sz w:val="21"/>
                <w:szCs w:val="21"/>
              </w:rPr>
            </w:pPr>
            <w:r>
              <w:rPr>
                <w:rFonts w:hint="eastAsia"/>
                <w:sz w:val="21"/>
                <w:szCs w:val="21"/>
              </w:rPr>
              <w:t>符合性</w:t>
            </w:r>
          </w:p>
        </w:tc>
      </w:tr>
      <w:tr w14:paraId="21D0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41BED331">
            <w:pPr>
              <w:spacing w:line="240" w:lineRule="auto"/>
              <w:ind w:firstLine="0" w:firstLineChars="0"/>
              <w:jc w:val="center"/>
              <w:rPr>
                <w:sz w:val="21"/>
                <w:szCs w:val="21"/>
              </w:rPr>
            </w:pPr>
            <w:r>
              <w:rPr>
                <w:rFonts w:hint="eastAsia"/>
                <w:sz w:val="21"/>
                <w:szCs w:val="21"/>
              </w:rPr>
              <w:t>《畜禽规模养殖污染防治条例》（国务院令第643号）第二章第十一条</w:t>
            </w:r>
          </w:p>
        </w:tc>
        <w:tc>
          <w:tcPr>
            <w:tcW w:w="2007" w:type="pct"/>
            <w:vAlign w:val="center"/>
          </w:tcPr>
          <w:p w14:paraId="50B8E23B">
            <w:pPr>
              <w:spacing w:line="240" w:lineRule="auto"/>
              <w:ind w:firstLine="0" w:firstLineChars="0"/>
              <w:rPr>
                <w:sz w:val="21"/>
                <w:szCs w:val="21"/>
              </w:rPr>
            </w:pPr>
            <w:r>
              <w:rPr>
                <w:rFonts w:hint="eastAsia"/>
                <w:sz w:val="21"/>
                <w:szCs w:val="21"/>
              </w:rPr>
              <w:t>禁止在下列区域内建设畜禽养殖场、养殖小区：</w:t>
            </w:r>
          </w:p>
          <w:p w14:paraId="5FCBCCB2">
            <w:pPr>
              <w:spacing w:line="240" w:lineRule="auto"/>
              <w:ind w:firstLine="0" w:firstLineChars="0"/>
              <w:rPr>
                <w:sz w:val="21"/>
                <w:szCs w:val="21"/>
              </w:rPr>
            </w:pPr>
            <w:r>
              <w:rPr>
                <w:rFonts w:hint="eastAsia"/>
                <w:sz w:val="21"/>
                <w:szCs w:val="21"/>
              </w:rPr>
              <w:t>①饮用水水源保护区，风景名胜区；</w:t>
            </w:r>
          </w:p>
          <w:p w14:paraId="2878ABA5">
            <w:pPr>
              <w:spacing w:line="240" w:lineRule="auto"/>
              <w:ind w:firstLine="0" w:firstLineChars="0"/>
              <w:rPr>
                <w:sz w:val="21"/>
                <w:szCs w:val="21"/>
              </w:rPr>
            </w:pPr>
            <w:r>
              <w:rPr>
                <w:rFonts w:hint="eastAsia"/>
                <w:sz w:val="21"/>
                <w:szCs w:val="21"/>
              </w:rPr>
              <w:t>②自然保护区的核心区和缓冲区；</w:t>
            </w:r>
          </w:p>
          <w:p w14:paraId="385DB0C2">
            <w:pPr>
              <w:spacing w:line="240" w:lineRule="auto"/>
              <w:ind w:firstLine="0" w:firstLineChars="0"/>
              <w:rPr>
                <w:sz w:val="21"/>
                <w:szCs w:val="21"/>
              </w:rPr>
            </w:pPr>
            <w:r>
              <w:rPr>
                <w:rFonts w:hint="eastAsia"/>
                <w:sz w:val="21"/>
                <w:szCs w:val="21"/>
              </w:rPr>
              <w:t>③城镇居民区、文化教育科学研究区等人口集中区域；</w:t>
            </w:r>
          </w:p>
          <w:p w14:paraId="7D52D7D1">
            <w:pPr>
              <w:spacing w:line="240" w:lineRule="auto"/>
              <w:ind w:firstLine="0" w:firstLineChars="0"/>
              <w:rPr>
                <w:sz w:val="21"/>
                <w:szCs w:val="21"/>
              </w:rPr>
            </w:pPr>
            <w:r>
              <w:rPr>
                <w:rFonts w:hint="eastAsia"/>
                <w:sz w:val="21"/>
                <w:szCs w:val="21"/>
              </w:rPr>
              <w:t>④法律、法规规定的其他禁止养殖区域。</w:t>
            </w:r>
          </w:p>
        </w:tc>
        <w:tc>
          <w:tcPr>
            <w:tcW w:w="1569" w:type="pct"/>
            <w:vAlign w:val="center"/>
          </w:tcPr>
          <w:p w14:paraId="6E2E68DB">
            <w:pPr>
              <w:spacing w:line="240" w:lineRule="auto"/>
              <w:ind w:firstLine="0" w:firstLineChars="0"/>
              <w:rPr>
                <w:sz w:val="21"/>
                <w:szCs w:val="21"/>
              </w:rPr>
            </w:pPr>
            <w:r>
              <w:rPr>
                <w:rFonts w:hint="eastAsia"/>
                <w:sz w:val="21"/>
                <w:szCs w:val="21"/>
              </w:rPr>
              <w:t>本项目的选址不属于当地政府划定的“敏感区”和”禁养区”，不涉及自然保护区、风景名胜区等环境敏感区域。拟建本项目建设布局在设计阶段进行了合理规划，项目的建设符合《畜禽规模养殖污染防治条例》的相关规定。</w:t>
            </w:r>
          </w:p>
        </w:tc>
        <w:tc>
          <w:tcPr>
            <w:tcW w:w="529" w:type="pct"/>
            <w:vAlign w:val="center"/>
          </w:tcPr>
          <w:p w14:paraId="0579842F">
            <w:pPr>
              <w:spacing w:line="240" w:lineRule="auto"/>
              <w:ind w:firstLine="0" w:firstLineChars="0"/>
              <w:jc w:val="center"/>
              <w:rPr>
                <w:sz w:val="21"/>
                <w:szCs w:val="21"/>
              </w:rPr>
            </w:pPr>
            <w:r>
              <w:rPr>
                <w:rFonts w:hint="eastAsia"/>
                <w:sz w:val="21"/>
                <w:szCs w:val="21"/>
              </w:rPr>
              <w:t>符合</w:t>
            </w:r>
          </w:p>
        </w:tc>
      </w:tr>
      <w:tr w14:paraId="7952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611BFD56">
            <w:pPr>
              <w:spacing w:line="240" w:lineRule="auto"/>
              <w:ind w:firstLine="0" w:firstLineChars="0"/>
              <w:jc w:val="center"/>
              <w:rPr>
                <w:sz w:val="21"/>
                <w:szCs w:val="21"/>
              </w:rPr>
            </w:pPr>
            <w:r>
              <w:rPr>
                <w:rFonts w:hint="eastAsia"/>
                <w:sz w:val="21"/>
                <w:szCs w:val="21"/>
              </w:rPr>
              <w:t>《畜禽养殖业污染防治技术规范》（</w:t>
            </w:r>
            <w:r>
              <w:rPr>
                <w:sz w:val="21"/>
                <w:szCs w:val="21"/>
              </w:rPr>
              <w:t>HJ/T81-2001</w:t>
            </w:r>
            <w:r>
              <w:rPr>
                <w:rFonts w:hint="eastAsia"/>
                <w:sz w:val="21"/>
                <w:szCs w:val="21"/>
              </w:rPr>
              <w:t>）</w:t>
            </w:r>
          </w:p>
        </w:tc>
        <w:tc>
          <w:tcPr>
            <w:tcW w:w="2007" w:type="pct"/>
            <w:vAlign w:val="center"/>
          </w:tcPr>
          <w:p w14:paraId="09D2C3E8">
            <w:pPr>
              <w:spacing w:line="240" w:lineRule="auto"/>
              <w:ind w:firstLine="0" w:firstLineChars="0"/>
              <w:rPr>
                <w:sz w:val="21"/>
                <w:szCs w:val="21"/>
              </w:rPr>
            </w:pPr>
            <w:r>
              <w:rPr>
                <w:rFonts w:hint="eastAsia"/>
                <w:sz w:val="21"/>
                <w:szCs w:val="21"/>
              </w:rPr>
              <w:t>禁止在下列区域内建设畜禽养殖场：a.生活饮用水水源保护区，风景名胜区、自然保护区的核心区和缓冲区；b.城市和城镇居民区，包括文教科研区、医疗区、商业区、工业区、游览区等人口集中地区；c.县级人民政府依法划定的禁养区域；d.国家或地方法律、法规规定需特殊保护的其他区域。</w:t>
            </w:r>
          </w:p>
          <w:p w14:paraId="75B251D3">
            <w:pPr>
              <w:spacing w:line="240" w:lineRule="auto"/>
              <w:ind w:firstLine="0" w:firstLineChars="0"/>
              <w:rPr>
                <w:sz w:val="21"/>
                <w:szCs w:val="21"/>
              </w:rPr>
            </w:pPr>
            <w:r>
              <w:rPr>
                <w:rFonts w:hint="eastAsia"/>
                <w:sz w:val="21"/>
                <w:szCs w:val="21"/>
              </w:rPr>
              <w:t>新建改建、扩建的畜禽养殖场选址应避开以上禁建区域。在禁建区域附近建设的，应设在禁建区域常年主导风向的下风向或侧风向处，场界与禁建区域边界的最小距离不得小于500m。</w:t>
            </w:r>
          </w:p>
        </w:tc>
        <w:tc>
          <w:tcPr>
            <w:tcW w:w="1569" w:type="pct"/>
            <w:vAlign w:val="center"/>
          </w:tcPr>
          <w:p w14:paraId="54FA14D8">
            <w:pPr>
              <w:spacing w:line="240" w:lineRule="auto"/>
              <w:ind w:firstLine="0" w:firstLineChars="0"/>
              <w:rPr>
                <w:sz w:val="21"/>
                <w:szCs w:val="21"/>
              </w:rPr>
            </w:pPr>
            <w:r>
              <w:rPr>
                <w:rFonts w:hint="eastAsia"/>
                <w:sz w:val="21"/>
                <w:szCs w:val="21"/>
              </w:rPr>
              <w:t>项目位于昌吉木垒县雀仁乡正格勒得村，项目区四周均为农田（种植经济作物）。项目远离居民区，远离人员流动较大的道路和村庄；项目周边有足够田地，便于养殖废水处理后就近施肥，粪便经处理后还田，有利于该项目污水资源化利用，实现种养结合，发展生态农业。</w:t>
            </w:r>
          </w:p>
        </w:tc>
        <w:tc>
          <w:tcPr>
            <w:tcW w:w="529" w:type="pct"/>
            <w:vAlign w:val="center"/>
          </w:tcPr>
          <w:p w14:paraId="18FE92CA">
            <w:pPr>
              <w:spacing w:line="240" w:lineRule="auto"/>
              <w:ind w:firstLine="0" w:firstLineChars="0"/>
              <w:jc w:val="center"/>
              <w:rPr>
                <w:sz w:val="21"/>
                <w:szCs w:val="21"/>
              </w:rPr>
            </w:pPr>
            <w:r>
              <w:rPr>
                <w:rFonts w:hint="eastAsia"/>
                <w:sz w:val="21"/>
                <w:szCs w:val="21"/>
              </w:rPr>
              <w:t>符合</w:t>
            </w:r>
          </w:p>
        </w:tc>
      </w:tr>
      <w:tr w14:paraId="2A55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5BDF9119">
            <w:pPr>
              <w:spacing w:line="240" w:lineRule="auto"/>
              <w:ind w:firstLine="0" w:firstLineChars="0"/>
              <w:jc w:val="center"/>
              <w:rPr>
                <w:sz w:val="21"/>
                <w:szCs w:val="21"/>
              </w:rPr>
            </w:pPr>
            <w:r>
              <w:rPr>
                <w:rFonts w:hint="eastAsia"/>
                <w:sz w:val="21"/>
                <w:szCs w:val="21"/>
              </w:rPr>
              <w:t>《畜禽养殖业污染防治技术政策》（环发[2010]151号）</w:t>
            </w:r>
          </w:p>
        </w:tc>
        <w:tc>
          <w:tcPr>
            <w:tcW w:w="2007" w:type="pct"/>
            <w:vAlign w:val="center"/>
          </w:tcPr>
          <w:p w14:paraId="2ACE5E0D">
            <w:pPr>
              <w:spacing w:line="240" w:lineRule="auto"/>
              <w:ind w:firstLine="0" w:firstLineChars="0"/>
              <w:rPr>
                <w:sz w:val="21"/>
                <w:szCs w:val="21"/>
              </w:rPr>
            </w:pPr>
            <w:r>
              <w:rPr>
                <w:rFonts w:hint="eastAsia"/>
                <w:sz w:val="21"/>
                <w:szCs w:val="21"/>
              </w:rPr>
              <w:t>畜禽养殖污染防治应遵循以下技术原则：”全面规划、合理布局，贯彻执行当地人民政府颁布的畜禽养殖区划，严格遵守”禁养区”和”限养区”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p>
        </w:tc>
        <w:tc>
          <w:tcPr>
            <w:tcW w:w="1569" w:type="pct"/>
            <w:vAlign w:val="center"/>
          </w:tcPr>
          <w:p w14:paraId="49FAD6C3">
            <w:pPr>
              <w:spacing w:line="240" w:lineRule="auto"/>
              <w:ind w:firstLine="0" w:firstLineChars="0"/>
              <w:rPr>
                <w:sz w:val="21"/>
                <w:szCs w:val="21"/>
              </w:rPr>
            </w:pPr>
            <w:r>
              <w:rPr>
                <w:rFonts w:hint="eastAsia"/>
                <w:sz w:val="21"/>
                <w:szCs w:val="21"/>
              </w:rPr>
              <w:t>本项目的建设布局在设计阶段进行了合理规划和布局，处于最近的保护目标常年主导风向的侧风向，不涉及饮用水水源保护区等环境敏感区域；本项目不属于当地政府所划定的“禁养区”范围。</w:t>
            </w:r>
          </w:p>
        </w:tc>
        <w:tc>
          <w:tcPr>
            <w:tcW w:w="529" w:type="pct"/>
            <w:vAlign w:val="center"/>
          </w:tcPr>
          <w:p w14:paraId="370DDFF7">
            <w:pPr>
              <w:spacing w:line="240" w:lineRule="auto"/>
              <w:ind w:firstLine="0" w:firstLineChars="0"/>
              <w:jc w:val="center"/>
              <w:rPr>
                <w:sz w:val="21"/>
                <w:szCs w:val="21"/>
              </w:rPr>
            </w:pPr>
            <w:r>
              <w:rPr>
                <w:rFonts w:hint="eastAsia"/>
                <w:sz w:val="21"/>
                <w:szCs w:val="21"/>
              </w:rPr>
              <w:t>符合</w:t>
            </w:r>
          </w:p>
        </w:tc>
      </w:tr>
    </w:tbl>
    <w:p w14:paraId="3AAC3D30">
      <w:pPr>
        <w:pStyle w:val="4"/>
      </w:pPr>
      <w:bookmarkStart w:id="14" w:name="_Toc89619321"/>
      <w:r>
        <w:rPr>
          <w:rFonts w:hint="eastAsia"/>
        </w:rPr>
        <w:t>1.4关注的主要环境问题</w:t>
      </w:r>
      <w:bookmarkEnd w:id="14"/>
    </w:p>
    <w:p w14:paraId="7CB4285C">
      <w:pPr>
        <w:ind w:firstLine="480"/>
      </w:pPr>
      <w:r>
        <w:t>本项目为养殖类项目，本次评价主要关注的环境问题是建设项目投入营运后主要污染物的产生、控制和对周边环境的影响</w:t>
      </w:r>
      <w:r>
        <w:rPr>
          <w:rFonts w:hint="eastAsia"/>
        </w:rPr>
        <w:t>。</w:t>
      </w:r>
      <w:r>
        <w:t>本项目关注的环境问题是：</w:t>
      </w:r>
    </w:p>
    <w:p w14:paraId="267D4E08">
      <w:pPr>
        <w:ind w:firstLine="480"/>
      </w:pPr>
      <w:r>
        <w:rPr>
          <w:rFonts w:hint="eastAsia"/>
        </w:rPr>
        <w:t>（</w:t>
      </w:r>
      <w:r>
        <w:t>1</w:t>
      </w:r>
      <w:r>
        <w:rPr>
          <w:rFonts w:hint="eastAsia"/>
        </w:rPr>
        <w:t>）</w:t>
      </w:r>
      <w:r>
        <w:t>大气：本项目运营期大气环境影响主要为圈舍产生的臭气对周围环境的影响，主要特征污染物有NH</w:t>
      </w:r>
      <w:r>
        <w:rPr>
          <w:vertAlign w:val="subscript"/>
        </w:rPr>
        <w:t>3</w:t>
      </w:r>
      <w:r>
        <w:t>、H</w:t>
      </w:r>
      <w:r>
        <w:rPr>
          <w:vertAlign w:val="subscript"/>
        </w:rPr>
        <w:t>2</w:t>
      </w:r>
      <w:r>
        <w:t>S，环评中重点关注运营期养殖圈舍产生的NH</w:t>
      </w:r>
      <w:r>
        <w:rPr>
          <w:vertAlign w:val="subscript"/>
        </w:rPr>
        <w:t>3</w:t>
      </w:r>
      <w:r>
        <w:t>、H</w:t>
      </w:r>
      <w:r>
        <w:rPr>
          <w:vertAlign w:val="subscript"/>
        </w:rPr>
        <w:t>2</w:t>
      </w:r>
      <w:r>
        <w:t>S的排放情况，分析本项目建成后，运营期对项目区的影响程度</w:t>
      </w:r>
      <w:r>
        <w:rPr>
          <w:rFonts w:hint="eastAsia"/>
        </w:rPr>
        <w:t>。</w:t>
      </w:r>
    </w:p>
    <w:p w14:paraId="30273F15">
      <w:pPr>
        <w:ind w:firstLine="480"/>
      </w:pPr>
      <w:r>
        <w:rPr>
          <w:rFonts w:hint="eastAsia"/>
        </w:rPr>
        <w:t>（</w:t>
      </w:r>
      <w:r>
        <w:t>2</w:t>
      </w:r>
      <w:r>
        <w:rPr>
          <w:rFonts w:hint="eastAsia"/>
        </w:rPr>
        <w:t>）</w:t>
      </w:r>
      <w:r>
        <w:t>水环境：运营期污水排放去向及对周边水环境的影响；</w:t>
      </w:r>
    </w:p>
    <w:p w14:paraId="6CABC89E">
      <w:pPr>
        <w:ind w:firstLine="480"/>
      </w:pPr>
      <w:r>
        <w:rPr>
          <w:rFonts w:hint="eastAsia"/>
        </w:rPr>
        <w:t>（</w:t>
      </w:r>
      <w:r>
        <w:t>4</w:t>
      </w:r>
      <w:r>
        <w:rPr>
          <w:rFonts w:hint="eastAsia"/>
        </w:rPr>
        <w:t>）</w:t>
      </w:r>
      <w:r>
        <w:t>固体废物：运营期粪污、病死</w:t>
      </w:r>
      <w:r>
        <w:rPr>
          <w:rFonts w:hint="eastAsia"/>
        </w:rPr>
        <w:t>骆驼</w:t>
      </w:r>
      <w:r>
        <w:t>、医疗废物等固体废弃物的处置合理性及其对周边环境的影响</w:t>
      </w:r>
      <w:r>
        <w:rPr>
          <w:rFonts w:hint="eastAsia"/>
        </w:rPr>
        <w:t>。</w:t>
      </w:r>
    </w:p>
    <w:p w14:paraId="153C33E3">
      <w:pPr>
        <w:pStyle w:val="4"/>
      </w:pPr>
      <w:bookmarkStart w:id="15" w:name="_Toc89619322"/>
      <w:r>
        <w:rPr>
          <w:rFonts w:hint="eastAsia"/>
        </w:rPr>
        <w:t>1.5环评报告书的主要结论</w:t>
      </w:r>
      <w:bookmarkEnd w:id="15"/>
    </w:p>
    <w:p w14:paraId="419F40E4">
      <w:pPr>
        <w:ind w:firstLine="480"/>
      </w:pPr>
      <w:r>
        <w:t>本项目为养殖类项目，属于《</w:t>
      </w:r>
      <w:r>
        <w:rPr>
          <w:rFonts w:hint="eastAsia"/>
        </w:rPr>
        <w:t>产业结构调整指导目录（2024年本）</w:t>
      </w:r>
      <w:r>
        <w:t>》中的鼓励类项目，符合国家产业政策要求</w:t>
      </w:r>
      <w:r>
        <w:rPr>
          <w:rFonts w:hint="eastAsia"/>
        </w:rPr>
        <w:t>。</w:t>
      </w:r>
      <w:r>
        <w:t>本工程建成投产后，废水不乱排、固废合理处置，粪污收集</w:t>
      </w:r>
      <w:r>
        <w:rPr>
          <w:rFonts w:hint="eastAsia"/>
        </w:rPr>
        <w:t>处理后还田</w:t>
      </w:r>
      <w:r>
        <w:t>，把污染物转变为经济优势和产品优势，有利于</w:t>
      </w:r>
      <w:r>
        <w:rPr>
          <w:rFonts w:hint="eastAsia"/>
        </w:rPr>
        <w:t>木垒县</w:t>
      </w:r>
      <w:r>
        <w:t>发展经济的同时，还促进了地方养殖业的蓬勃发展，为社会稳定和解决</w:t>
      </w:r>
      <w:r>
        <w:rPr>
          <w:rFonts w:hint="eastAsia"/>
        </w:rPr>
        <w:t>“</w:t>
      </w:r>
      <w:r>
        <w:t>三农</w:t>
      </w:r>
      <w:r>
        <w:rPr>
          <w:rFonts w:hint="eastAsia"/>
        </w:rPr>
        <w:t>”</w:t>
      </w:r>
      <w:r>
        <w:t>问题做出良好贡献</w:t>
      </w:r>
      <w:r>
        <w:rPr>
          <w:rFonts w:hint="eastAsia"/>
        </w:rPr>
        <w:t>。</w:t>
      </w:r>
      <w:r>
        <w:t>本工程具有很好的环境效益和社会效益，场区布置合理，工程主要采取的环境保护措施较为可行，污染物能够实现达标排放，饲养工艺先进，总体清洁水平良好，通过采取报告书中提出的各项环境保护措施，项目对环境的影响可降低到当地环境能够容许的程度，不会对周围环境产生明显影响和环境质量功能的改变</w:t>
      </w:r>
      <w:r>
        <w:rPr>
          <w:rFonts w:hint="eastAsia"/>
        </w:rPr>
        <w:t>。</w:t>
      </w:r>
    </w:p>
    <w:p w14:paraId="158931DD">
      <w:pPr>
        <w:ind w:firstLine="480"/>
      </w:pPr>
      <w:r>
        <w:t>综上所述，本项目符合国家的产业政策导向，选址合理</w:t>
      </w:r>
      <w:r>
        <w:rPr>
          <w:rFonts w:hint="eastAsia"/>
        </w:rPr>
        <w:t>。</w:t>
      </w:r>
      <w:r>
        <w:t>只要有效实施本环评报告所提出的有关防治措施，保证废弃物资源化利用，对周围环境影响较小</w:t>
      </w:r>
      <w:r>
        <w:rPr>
          <w:rFonts w:hint="eastAsia"/>
        </w:rPr>
        <w:t>。</w:t>
      </w:r>
      <w:r>
        <w:t>因此，从环保角度来讲，本建设项目实施是可行的</w:t>
      </w:r>
      <w:r>
        <w:rPr>
          <w:rFonts w:hint="eastAsia"/>
        </w:rPr>
        <w:t>。</w:t>
      </w:r>
    </w:p>
    <w:p w14:paraId="4B4AA641">
      <w:pPr>
        <w:ind w:firstLine="480"/>
      </w:pPr>
    </w:p>
    <w:p w14:paraId="1AF7212B">
      <w:pPr>
        <w:ind w:firstLine="480"/>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26" w:charSpace="0"/>
        </w:sectPr>
      </w:pPr>
    </w:p>
    <w:p w14:paraId="609F880B">
      <w:pPr>
        <w:pStyle w:val="3"/>
      </w:pPr>
      <w:bookmarkStart w:id="16" w:name="_Toc71394703"/>
      <w:bookmarkStart w:id="17" w:name="_Toc89619323"/>
      <w:r>
        <w:rPr>
          <w:rFonts w:hint="eastAsia"/>
        </w:rPr>
        <w:t>2、总论</w:t>
      </w:r>
      <w:bookmarkEnd w:id="16"/>
      <w:bookmarkEnd w:id="17"/>
    </w:p>
    <w:p w14:paraId="633301AF">
      <w:pPr>
        <w:pStyle w:val="4"/>
      </w:pPr>
      <w:bookmarkStart w:id="18" w:name="_Toc89619324"/>
      <w:bookmarkStart w:id="19" w:name="_Toc71394704"/>
      <w:r>
        <w:rPr>
          <w:rFonts w:hint="eastAsia"/>
        </w:rPr>
        <w:t>2.1编制依据</w:t>
      </w:r>
      <w:bookmarkEnd w:id="18"/>
      <w:bookmarkEnd w:id="19"/>
    </w:p>
    <w:p w14:paraId="36D481CC">
      <w:pPr>
        <w:pStyle w:val="5"/>
      </w:pPr>
      <w:bookmarkStart w:id="20" w:name="_Toc106663422"/>
      <w:r>
        <w:rPr>
          <w:rFonts w:hint="eastAsia"/>
        </w:rPr>
        <w:t>2.1.1国家法律、法规</w:t>
      </w:r>
      <w:bookmarkEnd w:id="20"/>
    </w:p>
    <w:p w14:paraId="1184462E">
      <w:pPr>
        <w:ind w:firstLine="480"/>
      </w:pPr>
      <w:r>
        <w:rPr>
          <w:rFonts w:hint="eastAsia"/>
        </w:rPr>
        <w:t>（1）《中华人民共和国环境保护法》（2015.01.01）；</w:t>
      </w:r>
    </w:p>
    <w:p w14:paraId="1A8508BD">
      <w:pPr>
        <w:ind w:firstLine="480"/>
      </w:pPr>
      <w:r>
        <w:rPr>
          <w:rFonts w:hint="eastAsia"/>
        </w:rPr>
        <w:t>（2）《中华人民共和国环境影响评价法》（2018.12.29）；</w:t>
      </w:r>
    </w:p>
    <w:p w14:paraId="7CACECB5">
      <w:pPr>
        <w:ind w:firstLine="480"/>
      </w:pPr>
      <w:r>
        <w:rPr>
          <w:rFonts w:hint="eastAsia"/>
        </w:rPr>
        <w:t>（3）《中华人民共和国大气污染防治法》（2018.12.29修正）；</w:t>
      </w:r>
    </w:p>
    <w:p w14:paraId="1101E8D9">
      <w:pPr>
        <w:ind w:firstLine="480"/>
      </w:pPr>
      <w:r>
        <w:rPr>
          <w:rFonts w:hint="eastAsia"/>
        </w:rPr>
        <w:t>（4）《中华人民共和国水污染防治法》（2018.01.01）；</w:t>
      </w:r>
    </w:p>
    <w:p w14:paraId="114E8183">
      <w:pPr>
        <w:ind w:firstLine="480"/>
      </w:pPr>
      <w:r>
        <w:rPr>
          <w:rFonts w:hint="eastAsia"/>
        </w:rPr>
        <w:t>（5）《中华人民共和国环境噪声污染防治法》（2021.12.24）；</w:t>
      </w:r>
    </w:p>
    <w:p w14:paraId="0BCB264E">
      <w:pPr>
        <w:ind w:firstLine="480"/>
      </w:pPr>
      <w:r>
        <w:rPr>
          <w:rFonts w:hint="eastAsia"/>
        </w:rPr>
        <w:t>（6）《中华人民共和国固体废物污染环境防治法》（2020.4.29）；</w:t>
      </w:r>
    </w:p>
    <w:p w14:paraId="0B893C28">
      <w:pPr>
        <w:ind w:firstLine="480"/>
      </w:pPr>
      <w:r>
        <w:rPr>
          <w:rFonts w:hint="eastAsia"/>
        </w:rPr>
        <w:t>（7）《中华人民共和国土壤污染防治法》（2019.01.01）；</w:t>
      </w:r>
    </w:p>
    <w:p w14:paraId="2AD57864">
      <w:pPr>
        <w:ind w:firstLine="480"/>
      </w:pPr>
      <w:r>
        <w:rPr>
          <w:rFonts w:hint="eastAsia"/>
        </w:rPr>
        <w:t>（8）《中华人民共和国水法（2016年修订）》（2016.09.01）；</w:t>
      </w:r>
    </w:p>
    <w:p w14:paraId="5A784E19">
      <w:pPr>
        <w:ind w:firstLine="480"/>
      </w:pPr>
      <w:r>
        <w:rPr>
          <w:rFonts w:hint="eastAsia"/>
        </w:rPr>
        <w:t>（9）《中华人民共和国水土保持法（2010年修订）》（2011.03.01）；</w:t>
      </w:r>
    </w:p>
    <w:p w14:paraId="5458F0A5">
      <w:pPr>
        <w:ind w:firstLine="480"/>
      </w:pPr>
      <w:r>
        <w:rPr>
          <w:rFonts w:hint="eastAsia"/>
        </w:rPr>
        <w:t>（10）《中华人民共和国清洁生产促进法》（2012.07.01）；</w:t>
      </w:r>
    </w:p>
    <w:p w14:paraId="7314C26E">
      <w:pPr>
        <w:ind w:firstLine="480"/>
      </w:pPr>
      <w:r>
        <w:rPr>
          <w:rFonts w:hint="eastAsia"/>
        </w:rPr>
        <w:t>（11）《中华人民共和国节约能源法》（2018年10月修订）；</w:t>
      </w:r>
    </w:p>
    <w:p w14:paraId="7E73E3A7">
      <w:pPr>
        <w:ind w:firstLine="480"/>
      </w:pPr>
      <w:r>
        <w:rPr>
          <w:rFonts w:hint="eastAsia"/>
        </w:rPr>
        <w:t>（12）《中华人民共和国循环经济促进法》（2018年10月修订）；</w:t>
      </w:r>
    </w:p>
    <w:p w14:paraId="3EF17AE0">
      <w:pPr>
        <w:ind w:firstLine="480"/>
      </w:pPr>
      <w:r>
        <w:rPr>
          <w:rFonts w:hint="eastAsia"/>
        </w:rPr>
        <w:t>（13）《建设项目环境保护管理条例》（国务院令第682号，2017.10.1）；</w:t>
      </w:r>
    </w:p>
    <w:p w14:paraId="5103AAEE">
      <w:pPr>
        <w:ind w:firstLine="480"/>
      </w:pPr>
      <w:r>
        <w:rPr>
          <w:rFonts w:hint="eastAsia"/>
        </w:rPr>
        <w:t>（14）《中华人民共和国畜牧法（修订）》（2015年4月24日）；</w:t>
      </w:r>
    </w:p>
    <w:p w14:paraId="14C15836">
      <w:pPr>
        <w:ind w:firstLine="480"/>
      </w:pPr>
      <w:r>
        <w:rPr>
          <w:rFonts w:hint="eastAsia"/>
        </w:rPr>
        <w:t>（15）《中华人民共和国动物防疫法（修订）》（2013年6月29日）；</w:t>
      </w:r>
    </w:p>
    <w:p w14:paraId="5861CABC">
      <w:pPr>
        <w:ind w:firstLine="480"/>
      </w:pPr>
      <w:r>
        <w:rPr>
          <w:rFonts w:hint="eastAsia"/>
        </w:rPr>
        <w:t>（16）《畜禽规模养殖污染防治条例》（2018年8月23日修订）。</w:t>
      </w:r>
    </w:p>
    <w:p w14:paraId="3AAB7433">
      <w:pPr>
        <w:pStyle w:val="5"/>
      </w:pPr>
      <w:bookmarkStart w:id="21" w:name="_Toc106663423"/>
      <w:r>
        <w:rPr>
          <w:rFonts w:hint="eastAsia"/>
        </w:rPr>
        <w:t>2.1.2部门规章</w:t>
      </w:r>
      <w:bookmarkEnd w:id="21"/>
    </w:p>
    <w:p w14:paraId="5E95A390">
      <w:pPr>
        <w:ind w:firstLine="480"/>
      </w:pPr>
      <w:r>
        <w:rPr>
          <w:rFonts w:hint="eastAsia"/>
        </w:rPr>
        <w:t>（1）《建设项目环境影响评价分类管理名录》（2021年版）；</w:t>
      </w:r>
    </w:p>
    <w:p w14:paraId="2DB0BFC1">
      <w:pPr>
        <w:ind w:firstLine="480"/>
      </w:pPr>
      <w:r>
        <w:rPr>
          <w:rFonts w:hint="eastAsia"/>
        </w:rPr>
        <w:t>（2）《关于进一步明确畜禽粪污还田利用要求强化养殖污染监管的通知》农办牧〔2020〕23号农业农村部办公厅生态环境部办公厅；</w:t>
      </w:r>
    </w:p>
    <w:p w14:paraId="70B90CED">
      <w:pPr>
        <w:ind w:firstLine="480"/>
      </w:pPr>
      <w:r>
        <w:rPr>
          <w:rFonts w:hint="eastAsia"/>
        </w:rPr>
        <w:t>（3）关于印发《企业事业单位突发环境事件应急预案备案管理办法（试行）》的通知（环发〔2015〕4号，2015.1.8）；</w:t>
      </w:r>
    </w:p>
    <w:p w14:paraId="0631DAAF">
      <w:pPr>
        <w:ind w:firstLine="480"/>
      </w:pPr>
      <w:r>
        <w:rPr>
          <w:rFonts w:hint="eastAsia"/>
        </w:rPr>
        <w:t>（4）《资源综合利用目录（2003年修订）》（发改环资〔2004〕73号，2004.01.12）；</w:t>
      </w:r>
    </w:p>
    <w:p w14:paraId="419F2558">
      <w:pPr>
        <w:ind w:firstLine="480"/>
      </w:pPr>
      <w:r>
        <w:rPr>
          <w:rFonts w:hint="eastAsia"/>
        </w:rPr>
        <w:t>（5）《产业结构调整指导目录（2024年本）》；</w:t>
      </w:r>
    </w:p>
    <w:p w14:paraId="11687C89">
      <w:pPr>
        <w:ind w:firstLine="480"/>
      </w:pPr>
      <w:r>
        <w:rPr>
          <w:rFonts w:hint="eastAsia"/>
        </w:rPr>
        <w:t>（6）关于发布实施《限制用地项目目录（2012年本）》和《禁止用地项目目录（2012年本）》的通知（国土资源部与国家发改委联合发布，2012.02.23）；</w:t>
      </w:r>
    </w:p>
    <w:p w14:paraId="707E45E5">
      <w:pPr>
        <w:ind w:firstLine="480"/>
      </w:pPr>
      <w:r>
        <w:rPr>
          <w:rFonts w:hint="eastAsia"/>
        </w:rPr>
        <w:t>（7）《关于进一步加强环境影响评价管理防范环境风险的通知》（环发〔2012〕77号，2012.07.03）；</w:t>
      </w:r>
    </w:p>
    <w:p w14:paraId="374C4FE3">
      <w:pPr>
        <w:ind w:firstLine="480"/>
      </w:pPr>
      <w:r>
        <w:rPr>
          <w:rFonts w:hint="eastAsia"/>
        </w:rPr>
        <w:t>（8）《关于切实加强风险防范严格环境影响评价管理的通知》（环发〔2012〕98号，2012.08.07）；</w:t>
      </w:r>
    </w:p>
    <w:p w14:paraId="05A18E50">
      <w:pPr>
        <w:ind w:firstLine="480"/>
      </w:pPr>
      <w:r>
        <w:rPr>
          <w:rFonts w:hint="eastAsia"/>
        </w:rPr>
        <w:t>（9）《国务院关于印发大气污染防治行动计划的通知》（国发〔2013〕37号，2013.09.10）；</w:t>
      </w:r>
    </w:p>
    <w:p w14:paraId="21DD342F">
      <w:pPr>
        <w:ind w:firstLine="480"/>
      </w:pPr>
      <w:r>
        <w:rPr>
          <w:rFonts w:hint="eastAsia"/>
        </w:rPr>
        <w:t>（10）《环境保护公众参与办法》（环境保护部第35号令，2015.09.01）；</w:t>
      </w:r>
    </w:p>
    <w:p w14:paraId="3E27AD7D">
      <w:pPr>
        <w:ind w:firstLine="480"/>
      </w:pPr>
      <w:r>
        <w:rPr>
          <w:rFonts w:hint="eastAsia"/>
        </w:rPr>
        <w:t>（11）《关于加强西部地区环境影响评价工作的通知》（环发〔2011〕150号，2011.12.29）；</w:t>
      </w:r>
    </w:p>
    <w:p w14:paraId="13377A04">
      <w:pPr>
        <w:ind w:firstLine="480"/>
      </w:pPr>
      <w:r>
        <w:rPr>
          <w:rFonts w:hint="eastAsia"/>
        </w:rPr>
        <w:t>（12）《国务院关于印发水污染防治行动计划的通知》（国发〔2015〕17号，2015.04.02）；</w:t>
      </w:r>
    </w:p>
    <w:p w14:paraId="5250AA9E">
      <w:pPr>
        <w:ind w:firstLine="480"/>
      </w:pPr>
      <w:r>
        <w:rPr>
          <w:rFonts w:hint="eastAsia"/>
        </w:rPr>
        <w:t>（13）《国务院办公厅关于加快推进畜禽养殖废弃物资源化利用的意见》（2017年6月）；</w:t>
      </w:r>
    </w:p>
    <w:p w14:paraId="7BAE4DF4">
      <w:pPr>
        <w:ind w:firstLine="480"/>
      </w:pPr>
      <w:r>
        <w:rPr>
          <w:rFonts w:hint="eastAsia"/>
        </w:rPr>
        <w:t>（14）《关于在畜禽养殖废弃物资源化利用过程中加强环境监管的通知》（2017年9月6日）；</w:t>
      </w:r>
    </w:p>
    <w:p w14:paraId="68F192AF">
      <w:pPr>
        <w:ind w:firstLine="480"/>
      </w:pPr>
      <w:r>
        <w:rPr>
          <w:rFonts w:hint="eastAsia"/>
        </w:rPr>
        <w:t>（15）《畜禽养殖禁养区划定技术指南》（2016年10月）；</w:t>
      </w:r>
    </w:p>
    <w:p w14:paraId="169525F5">
      <w:pPr>
        <w:ind w:firstLine="480"/>
      </w:pPr>
      <w:r>
        <w:rPr>
          <w:rFonts w:hint="eastAsia"/>
        </w:rPr>
        <w:t>（16）《关于落实大气污染防治行动计划严格环境影响评价准入的通知》（环办〔2014〕30号，2014.03.25）；</w:t>
      </w:r>
    </w:p>
    <w:p w14:paraId="72DDEE6F">
      <w:pPr>
        <w:ind w:firstLine="480"/>
      </w:pPr>
      <w:r>
        <w:rPr>
          <w:rFonts w:hint="eastAsia"/>
        </w:rPr>
        <w:t>（17）《国务院关于印发土壤污染防治行动计划的通知》（国发〔2016〕31号，2016.5.28）；</w:t>
      </w:r>
    </w:p>
    <w:p w14:paraId="47110EA3">
      <w:pPr>
        <w:ind w:firstLine="480"/>
      </w:pPr>
      <w:r>
        <w:rPr>
          <w:rFonts w:hint="eastAsia"/>
        </w:rPr>
        <w:t>（18）《关于做好畜禽规模养殖项目环境影响评价管理工作的通知》（环办环评[2018]31号）（2018年10月12日）；</w:t>
      </w:r>
    </w:p>
    <w:p w14:paraId="746B55DC">
      <w:pPr>
        <w:ind w:firstLine="480"/>
      </w:pPr>
      <w:r>
        <w:rPr>
          <w:rFonts w:hint="eastAsia"/>
        </w:rPr>
        <w:t>（19）《国家突发公共事件总体应急预案》（2006.01）；</w:t>
      </w:r>
    </w:p>
    <w:p w14:paraId="54C9C02C">
      <w:pPr>
        <w:ind w:firstLine="480"/>
      </w:pPr>
      <w:r>
        <w:rPr>
          <w:rFonts w:hint="eastAsia"/>
        </w:rPr>
        <w:t>（20）《关于病害动物无害化处理有关意见的复函》（环办函［2014］789号）（2014年6月）；</w:t>
      </w:r>
    </w:p>
    <w:p w14:paraId="5ADE3D83">
      <w:pPr>
        <w:ind w:firstLine="480"/>
      </w:pPr>
      <w:r>
        <w:rPr>
          <w:rFonts w:hint="eastAsia"/>
        </w:rPr>
        <w:t>（21）《关于病死及病害动物无害化处理技术规范》（农医发［2017］25号）（2017年7月3日）；</w:t>
      </w:r>
    </w:p>
    <w:p w14:paraId="1AEAA927">
      <w:pPr>
        <w:ind w:firstLine="480"/>
      </w:pPr>
      <w:r>
        <w:rPr>
          <w:rFonts w:hint="eastAsia"/>
        </w:rPr>
        <w:t>（22）《国家危险废物名录》（2021年版）；</w:t>
      </w:r>
    </w:p>
    <w:p w14:paraId="3767F97C">
      <w:pPr>
        <w:ind w:firstLine="480"/>
      </w:pPr>
      <w:r>
        <w:rPr>
          <w:rFonts w:hint="eastAsia"/>
        </w:rPr>
        <w:t>（23）《关于印发&lt;关于强化畜禽养殖废弃物综合治理的指导意见&gt;的通知》，（新畜牧字［2016］50号）；</w:t>
      </w:r>
    </w:p>
    <w:p w14:paraId="2ADAEC5B">
      <w:pPr>
        <w:ind w:firstLine="480"/>
      </w:pPr>
      <w:r>
        <w:rPr>
          <w:rFonts w:hint="eastAsia"/>
        </w:rPr>
        <w:t>（24）《建设项目环境影响评价信息公开机制方案》（环发〔2015〕162号）；</w:t>
      </w:r>
    </w:p>
    <w:p w14:paraId="2BAA1E86">
      <w:pPr>
        <w:ind w:firstLine="480"/>
      </w:pPr>
      <w:r>
        <w:rPr>
          <w:rFonts w:hint="eastAsia"/>
        </w:rPr>
        <w:t>（25）《控制污染物排放许可制实施方案》（国办发〔2016〕81号，2016.11.10）；</w:t>
      </w:r>
    </w:p>
    <w:p w14:paraId="3861CEC0">
      <w:pPr>
        <w:ind w:firstLine="480"/>
      </w:pPr>
      <w:r>
        <w:rPr>
          <w:rFonts w:hint="eastAsia"/>
        </w:rPr>
        <w:t>（26）《排污许可证管理暂行规定》（环水体〔2016〕186号，2016.12.23）；</w:t>
      </w:r>
    </w:p>
    <w:p w14:paraId="1B456DF3">
      <w:pPr>
        <w:ind w:firstLine="480"/>
      </w:pPr>
      <w:r>
        <w:rPr>
          <w:rFonts w:hint="eastAsia"/>
        </w:rPr>
        <w:t>（27）原国家环境保护总局第5号文《危险废物转移联单管理办法》（1999.6）。</w:t>
      </w:r>
    </w:p>
    <w:p w14:paraId="5197C0B8">
      <w:pPr>
        <w:pStyle w:val="5"/>
      </w:pPr>
      <w:bookmarkStart w:id="22" w:name="_Toc106663424"/>
      <w:r>
        <w:rPr>
          <w:rFonts w:hint="eastAsia"/>
        </w:rPr>
        <w:t>2.1.3地方法规及政策</w:t>
      </w:r>
      <w:bookmarkEnd w:id="22"/>
    </w:p>
    <w:p w14:paraId="45C92A96">
      <w:pPr>
        <w:ind w:firstLine="480"/>
      </w:pPr>
      <w:r>
        <w:rPr>
          <w:rFonts w:hint="eastAsia"/>
        </w:rPr>
        <w:t>（1）《新疆维吾尔自治区环境保护条例》（2019.01.01）；</w:t>
      </w:r>
    </w:p>
    <w:p w14:paraId="51738ADE">
      <w:pPr>
        <w:ind w:firstLine="480"/>
      </w:pPr>
      <w:r>
        <w:rPr>
          <w:rFonts w:hint="eastAsia"/>
        </w:rPr>
        <w:t>（2）《新疆维吾尔自治区危险废物污染环境防治办法》（第11届人大第9次会议，2010.05.01）；</w:t>
      </w:r>
    </w:p>
    <w:p w14:paraId="58A34056">
      <w:pPr>
        <w:ind w:firstLine="480"/>
      </w:pPr>
      <w:r>
        <w:rPr>
          <w:rFonts w:hint="eastAsia"/>
        </w:rPr>
        <w:t>（3）《认真贯彻落实国务院关于做好建设节约型社会近期重点工作通知的实施意见》（新政发〔2005〕87号，2005.10.20）；</w:t>
      </w:r>
    </w:p>
    <w:p w14:paraId="09E80D58">
      <w:pPr>
        <w:ind w:firstLine="480"/>
      </w:pPr>
      <w:r>
        <w:rPr>
          <w:rFonts w:hint="eastAsia"/>
        </w:rPr>
        <w:t>（4）转发贯彻落实《全国生态环境保护纲要》实施意见的通知（自治区人民政府办公厅，2009.09.30）；</w:t>
      </w:r>
    </w:p>
    <w:p w14:paraId="2654A43D">
      <w:pPr>
        <w:ind w:firstLine="480"/>
      </w:pPr>
      <w:r>
        <w:rPr>
          <w:rFonts w:hint="eastAsia"/>
        </w:rPr>
        <w:t>（5）《关于印发新疆维吾尔自治区工业和生活用水定额的通知》（新政办发〔2007〕105号，2007.06.06）；</w:t>
      </w:r>
    </w:p>
    <w:p w14:paraId="182D85A4">
      <w:pPr>
        <w:ind w:firstLine="480"/>
      </w:pPr>
      <w:r>
        <w:rPr>
          <w:rFonts w:hint="eastAsia"/>
        </w:rPr>
        <w:t>（6）《新疆维吾尔自治区畜禽养殖场、养殖小区备案管理办法》，新政办发〔2011〕55号，2011年4月29日；</w:t>
      </w:r>
    </w:p>
    <w:p w14:paraId="256C9103">
      <w:pPr>
        <w:ind w:firstLine="480"/>
      </w:pPr>
      <w:r>
        <w:rPr>
          <w:rFonts w:hint="eastAsia"/>
        </w:rPr>
        <w:t>（7）《关于印发新疆维吾尔自治区水污染防治工作方案的通知》（新政发〔2016〕21号，2016.2.4）；</w:t>
      </w:r>
    </w:p>
    <w:p w14:paraId="5103EEEA">
      <w:pPr>
        <w:ind w:firstLine="480"/>
      </w:pPr>
      <w:r>
        <w:rPr>
          <w:rFonts w:hint="eastAsia"/>
        </w:rPr>
        <w:t>（8）《关于印发新疆维吾尔自治区土壤污染防治工作方案的通知》（新政发〔2017〕25号，2017.3.1）；</w:t>
      </w:r>
    </w:p>
    <w:p w14:paraId="1EF16425">
      <w:pPr>
        <w:ind w:firstLine="480"/>
      </w:pPr>
      <w:r>
        <w:rPr>
          <w:rFonts w:hint="eastAsia"/>
        </w:rPr>
        <w:t>（9）《新疆维吾尔自治区人民政府关于全疆水土流失重点预防保护区、重点监督区、重点治理区划分的公告》（2000年10月31）；</w:t>
      </w:r>
    </w:p>
    <w:p w14:paraId="2D9BB0D1">
      <w:pPr>
        <w:ind w:firstLine="480"/>
      </w:pPr>
      <w:r>
        <w:rPr>
          <w:rFonts w:hint="eastAsia"/>
        </w:rPr>
        <w:t>（10）《新疆维吾尔自治区重点行业环境准入条件（修订）》（2017.1）；</w:t>
      </w:r>
    </w:p>
    <w:p w14:paraId="48DAFF71">
      <w:pPr>
        <w:ind w:firstLine="480"/>
      </w:pPr>
      <w:r>
        <w:rPr>
          <w:rFonts w:hint="eastAsia"/>
        </w:rPr>
        <w:t>（11）《关于重点区域执行大气污染物特别排放限值的公告》（新疆环保厅公告2016年第45号）。</w:t>
      </w:r>
    </w:p>
    <w:p w14:paraId="148670C3">
      <w:pPr>
        <w:ind w:firstLine="480"/>
      </w:pPr>
      <w:r>
        <w:rPr>
          <w:rFonts w:hint="eastAsia"/>
        </w:rPr>
        <w:t>（12）《新疆维吾尔自治区突发环境事件应急预案编制导则（试行）》（新环发〔2014〕234号，2014.6.12）；</w:t>
      </w:r>
    </w:p>
    <w:p w14:paraId="04A0B319">
      <w:pPr>
        <w:ind w:firstLine="480"/>
      </w:pPr>
      <w:r>
        <w:rPr>
          <w:rFonts w:hint="eastAsia"/>
        </w:rPr>
        <w:t>（13）《关于印发自治区&lt;建设项目主要污染物总量指标确认办法（试行）&gt;的通知》（新疆环保厅，新环总量发〔2011〕86号，2011.3.8）；</w:t>
      </w:r>
    </w:p>
    <w:p w14:paraId="240379C9">
      <w:pPr>
        <w:pStyle w:val="5"/>
      </w:pPr>
      <w:bookmarkStart w:id="23" w:name="_Toc106663425"/>
      <w:r>
        <w:rPr>
          <w:rFonts w:hint="eastAsia"/>
        </w:rPr>
        <w:t>2.1.4相关规划</w:t>
      </w:r>
      <w:bookmarkEnd w:id="23"/>
    </w:p>
    <w:p w14:paraId="3463D43C">
      <w:pPr>
        <w:ind w:firstLine="480"/>
      </w:pPr>
      <w:r>
        <w:rPr>
          <w:rFonts w:hint="eastAsia"/>
        </w:rPr>
        <w:t>（1）《全国地下水污染防治规划（2011-2020）》；</w:t>
      </w:r>
    </w:p>
    <w:p w14:paraId="74D1CED2">
      <w:pPr>
        <w:ind w:firstLine="480"/>
      </w:pPr>
      <w:r>
        <w:rPr>
          <w:rFonts w:hint="eastAsia"/>
        </w:rPr>
        <w:t>（2）《新疆环境功能区划》；</w:t>
      </w:r>
    </w:p>
    <w:p w14:paraId="2FF84401">
      <w:pPr>
        <w:ind w:firstLine="480"/>
      </w:pPr>
      <w:r>
        <w:rPr>
          <w:rFonts w:hint="eastAsia"/>
        </w:rPr>
        <w:t>（3）《新疆生态功能区划》；</w:t>
      </w:r>
    </w:p>
    <w:p w14:paraId="62559BA0">
      <w:pPr>
        <w:ind w:firstLine="480"/>
      </w:pPr>
      <w:r>
        <w:rPr>
          <w:rFonts w:hint="eastAsia"/>
        </w:rPr>
        <w:t>（4）《新疆水环境功能区划》；</w:t>
      </w:r>
    </w:p>
    <w:p w14:paraId="09402AFC">
      <w:pPr>
        <w:ind w:firstLine="480"/>
      </w:pPr>
      <w:r>
        <w:rPr>
          <w:rFonts w:hint="eastAsia"/>
        </w:rPr>
        <w:t>（5）《新疆维吾尔自治区环境保护”十四五”规划》；</w:t>
      </w:r>
    </w:p>
    <w:p w14:paraId="7DBDC190">
      <w:pPr>
        <w:pStyle w:val="5"/>
      </w:pPr>
      <w:bookmarkStart w:id="24" w:name="_Toc106663426"/>
      <w:r>
        <w:rPr>
          <w:rFonts w:hint="eastAsia"/>
        </w:rPr>
        <w:t>2.1.5环评编制要求</w:t>
      </w:r>
      <w:bookmarkEnd w:id="24"/>
    </w:p>
    <w:p w14:paraId="73B79E1B">
      <w:pPr>
        <w:ind w:firstLine="480"/>
      </w:pPr>
      <w:r>
        <w:rPr>
          <w:rFonts w:hint="eastAsia"/>
        </w:rPr>
        <w:t>（1）《关于加强西部地区环境影响评价工作的通知》（环发〔2011〕150号，2011.12.29）；</w:t>
      </w:r>
    </w:p>
    <w:p w14:paraId="6639681E">
      <w:pPr>
        <w:ind w:firstLine="480"/>
      </w:pPr>
      <w:r>
        <w:rPr>
          <w:rFonts w:hint="eastAsia"/>
        </w:rPr>
        <w:t>（2）《环境影响评价公众参与办法（生态部令第4号）》（2018.7.16）；</w:t>
      </w:r>
    </w:p>
    <w:p w14:paraId="435C3FE8">
      <w:pPr>
        <w:ind w:firstLine="480"/>
      </w:pPr>
      <w:r>
        <w:rPr>
          <w:rFonts w:hint="eastAsia"/>
        </w:rPr>
        <w:t>（3）《关于进一步加强环境影响评价管理防范环境风险的通知》（环发〔2012〕77号，2012.7.3）；</w:t>
      </w:r>
    </w:p>
    <w:p w14:paraId="450C8E88">
      <w:pPr>
        <w:ind w:firstLine="480"/>
      </w:pPr>
      <w:r>
        <w:rPr>
          <w:rFonts w:hint="eastAsia"/>
        </w:rPr>
        <w:t>（4）《关于切实加强风险防范严格环境影响评价管理的通知》（环发〔2012〕98号，2012.8.7）；</w:t>
      </w:r>
    </w:p>
    <w:p w14:paraId="0DC4DCCA">
      <w:pPr>
        <w:ind w:firstLine="480"/>
      </w:pPr>
      <w:r>
        <w:rPr>
          <w:rFonts w:hint="eastAsia"/>
        </w:rPr>
        <w:t>（5）《关于切实加强环境影响评价监督管理工作的通知》（环办〔2013〕104号，2013.11.15）。</w:t>
      </w:r>
    </w:p>
    <w:p w14:paraId="5456DBA4">
      <w:pPr>
        <w:pStyle w:val="5"/>
      </w:pPr>
      <w:bookmarkStart w:id="25" w:name="_Toc106663427"/>
      <w:r>
        <w:rPr>
          <w:rFonts w:hint="eastAsia"/>
        </w:rPr>
        <w:t>2.1.6技术导则</w:t>
      </w:r>
      <w:bookmarkEnd w:id="25"/>
    </w:p>
    <w:p w14:paraId="23350D81">
      <w:pPr>
        <w:ind w:firstLine="480"/>
      </w:pPr>
      <w:r>
        <w:rPr>
          <w:rFonts w:hint="eastAsia"/>
        </w:rPr>
        <w:t>（1）《建设项目环境影响评价技术导则总纲》（HJ2.1-2016）；</w:t>
      </w:r>
    </w:p>
    <w:p w14:paraId="4553C90E">
      <w:pPr>
        <w:ind w:firstLine="480"/>
      </w:pPr>
      <w:r>
        <w:rPr>
          <w:rFonts w:hint="eastAsia"/>
        </w:rPr>
        <w:t>（2）《环境影响评价技术导则地表水环境》（HJ2.3-2018）；</w:t>
      </w:r>
    </w:p>
    <w:p w14:paraId="3A550AF5">
      <w:pPr>
        <w:ind w:firstLine="480"/>
      </w:pPr>
      <w:r>
        <w:rPr>
          <w:rFonts w:hint="eastAsia"/>
        </w:rPr>
        <w:t>（3）《环境影响评价技术导则大气环境》（HJ2.2-2018）；</w:t>
      </w:r>
    </w:p>
    <w:p w14:paraId="6B922FEB">
      <w:pPr>
        <w:ind w:firstLine="480"/>
      </w:pPr>
      <w:r>
        <w:rPr>
          <w:rFonts w:hint="eastAsia"/>
        </w:rPr>
        <w:t>（4）《环境影响评价技术导则声环境》（HJ2.4-2021）；</w:t>
      </w:r>
    </w:p>
    <w:p w14:paraId="62453F2F">
      <w:pPr>
        <w:ind w:firstLine="480"/>
      </w:pPr>
      <w:r>
        <w:rPr>
          <w:rFonts w:hint="eastAsia"/>
        </w:rPr>
        <w:t>（5）《环境影响评价技术导则地下水环境》（HJ610-2016）；</w:t>
      </w:r>
    </w:p>
    <w:p w14:paraId="1595CECF">
      <w:pPr>
        <w:ind w:firstLine="480"/>
      </w:pPr>
      <w:r>
        <w:rPr>
          <w:rFonts w:hint="eastAsia"/>
        </w:rPr>
        <w:t>（6）《环境影响评价技术导则生态影响》（HJ19-2022）；</w:t>
      </w:r>
    </w:p>
    <w:p w14:paraId="2F2BA1C8">
      <w:pPr>
        <w:ind w:firstLine="480"/>
      </w:pPr>
      <w:r>
        <w:rPr>
          <w:rFonts w:hint="eastAsia"/>
        </w:rPr>
        <w:t>（7）《环境影响评价技术导则土壤环境（试行）》（HJ964-2018）；</w:t>
      </w:r>
    </w:p>
    <w:p w14:paraId="37EA538B">
      <w:pPr>
        <w:ind w:firstLine="480"/>
      </w:pPr>
      <w:r>
        <w:rPr>
          <w:rFonts w:hint="eastAsia"/>
        </w:rPr>
        <w:t>（8）《建设项目环境风险评价技术导则》（HJ169-2018）</w:t>
      </w:r>
    </w:p>
    <w:p w14:paraId="3393C5D3">
      <w:pPr>
        <w:ind w:firstLine="480"/>
      </w:pPr>
      <w:r>
        <w:rPr>
          <w:rFonts w:hint="eastAsia"/>
        </w:rPr>
        <w:t>（9）《建设项目危险废物环境影响评价指南》（环境保护部公告2017年第43号）；</w:t>
      </w:r>
    </w:p>
    <w:p w14:paraId="471910AF">
      <w:pPr>
        <w:ind w:firstLine="480"/>
      </w:pPr>
      <w:r>
        <w:rPr>
          <w:rFonts w:hint="eastAsia"/>
        </w:rPr>
        <w:t>（10）《畜禽粪污土地承载力测算技术指南》（农办牧〔2018〕1号）；</w:t>
      </w:r>
    </w:p>
    <w:p w14:paraId="27A1EC08">
      <w:pPr>
        <w:ind w:firstLine="480"/>
      </w:pPr>
      <w:r>
        <w:rPr>
          <w:rFonts w:hint="eastAsia"/>
        </w:rPr>
        <w:t>（11）《畜禽粪便无害化处理技术规范》（GB/T36195-2018）；</w:t>
      </w:r>
    </w:p>
    <w:p w14:paraId="09E8BC50">
      <w:pPr>
        <w:ind w:firstLine="480"/>
      </w:pPr>
      <w:r>
        <w:rPr>
          <w:rFonts w:hint="eastAsia"/>
        </w:rPr>
        <w:t>（12）《畜禽养殖业污染治理工程技术规范》（HJ497-2009）；</w:t>
      </w:r>
    </w:p>
    <w:p w14:paraId="408CEE87">
      <w:pPr>
        <w:ind w:firstLine="480"/>
      </w:pPr>
      <w:r>
        <w:rPr>
          <w:rFonts w:hint="eastAsia"/>
        </w:rPr>
        <w:t>（13）《畜禽养殖业污染防治技术规范》（HJ/T81-2001）；</w:t>
      </w:r>
    </w:p>
    <w:p w14:paraId="79A783FC">
      <w:pPr>
        <w:ind w:firstLine="480"/>
      </w:pPr>
      <w:r>
        <w:rPr>
          <w:rFonts w:hint="eastAsia"/>
        </w:rPr>
        <w:t>（14）《规模畜禽养殖场污染防治最佳可行技术指南（试行）》（HJ-BAT-10）；</w:t>
      </w:r>
    </w:p>
    <w:p w14:paraId="2A7F5DAC">
      <w:pPr>
        <w:ind w:firstLine="480"/>
      </w:pPr>
      <w:r>
        <w:rPr>
          <w:rFonts w:hint="eastAsia"/>
        </w:rPr>
        <w:t>（15）《农业固体废物污染控制技术导则》（HJ588-2010）；</w:t>
      </w:r>
    </w:p>
    <w:p w14:paraId="73396486">
      <w:pPr>
        <w:ind w:firstLine="480"/>
      </w:pPr>
      <w:r>
        <w:rPr>
          <w:rFonts w:hint="eastAsia"/>
        </w:rPr>
        <w:t>（16）《排污单位自行监测技术指南总则》（HJ819-2017）；</w:t>
      </w:r>
    </w:p>
    <w:p w14:paraId="7BD26F19">
      <w:pPr>
        <w:ind w:firstLine="480"/>
      </w:pPr>
      <w:r>
        <w:rPr>
          <w:rFonts w:hint="eastAsia"/>
        </w:rPr>
        <w:t>（17）《重点排污单位名录管理规定（试行）》（环办监测[2017]86号）；</w:t>
      </w:r>
    </w:p>
    <w:p w14:paraId="52FD0D30">
      <w:pPr>
        <w:ind w:firstLine="480"/>
      </w:pPr>
      <w:r>
        <w:rPr>
          <w:rFonts w:hint="eastAsia"/>
        </w:rPr>
        <w:t>（18）《关于畜禽养殖业选址问题的回复》（环保部部长信箱，2018.2.26）；</w:t>
      </w:r>
    </w:p>
    <w:p w14:paraId="50EFD50F">
      <w:pPr>
        <w:ind w:firstLine="480"/>
      </w:pPr>
      <w:r>
        <w:rPr>
          <w:rFonts w:hint="eastAsia"/>
        </w:rPr>
        <w:t>（19）《村镇规划卫生标准》（GB18055-2012）。</w:t>
      </w:r>
    </w:p>
    <w:p w14:paraId="1BCD8C80">
      <w:pPr>
        <w:pStyle w:val="5"/>
      </w:pPr>
      <w:bookmarkStart w:id="26" w:name="_Toc106663428"/>
      <w:r>
        <w:rPr>
          <w:rFonts w:hint="eastAsia"/>
        </w:rPr>
        <w:t>2.1.7项目有关文件</w:t>
      </w:r>
      <w:bookmarkEnd w:id="26"/>
    </w:p>
    <w:p w14:paraId="3793BB21">
      <w:pPr>
        <w:ind w:firstLine="480"/>
      </w:pPr>
      <w:r>
        <w:rPr>
          <w:rFonts w:hint="eastAsia"/>
        </w:rPr>
        <w:t>（1）木垒县雀仁乡正格勒得村2024年养殖小区建设项目可行性研究报告。</w:t>
      </w:r>
    </w:p>
    <w:p w14:paraId="397EB668">
      <w:pPr>
        <w:pStyle w:val="4"/>
      </w:pPr>
      <w:bookmarkStart w:id="27" w:name="_Toc89619325"/>
      <w:bookmarkStart w:id="28" w:name="_Toc71394705"/>
      <w:r>
        <w:rPr>
          <w:rFonts w:hint="eastAsia"/>
        </w:rPr>
        <w:t>2.2评价目的和原则</w:t>
      </w:r>
      <w:bookmarkEnd w:id="27"/>
      <w:bookmarkEnd w:id="28"/>
    </w:p>
    <w:p w14:paraId="4D289051">
      <w:pPr>
        <w:pStyle w:val="5"/>
      </w:pPr>
      <w:bookmarkStart w:id="29" w:name="_Toc106663430"/>
      <w:r>
        <w:rPr>
          <w:rFonts w:hint="eastAsia"/>
        </w:rPr>
        <w:t>2.2.1评价目的</w:t>
      </w:r>
      <w:bookmarkEnd w:id="29"/>
    </w:p>
    <w:p w14:paraId="283559C8">
      <w:pPr>
        <w:ind w:firstLine="480"/>
      </w:pPr>
      <w:r>
        <w:rPr>
          <w:rFonts w:hint="eastAsia"/>
        </w:rPr>
        <w:t>（1）通过调查、收集资料与实测，了解本项目评价范围内的社会环境、自然环境和环境质量现状；</w:t>
      </w:r>
    </w:p>
    <w:p w14:paraId="21C205C8">
      <w:pPr>
        <w:ind w:firstLine="480"/>
      </w:pPr>
      <w:r>
        <w:rPr>
          <w:rFonts w:hint="eastAsia"/>
        </w:rPr>
        <w:t>（2）通过工程分析，明确本项目的主要污染源、污染物种类、排放强度，并对污染物达标排放进行分析；</w:t>
      </w:r>
    </w:p>
    <w:p w14:paraId="2B647F02">
      <w:pPr>
        <w:ind w:firstLine="480"/>
      </w:pPr>
      <w:r>
        <w:rPr>
          <w:rFonts w:hint="eastAsia"/>
        </w:rPr>
        <w:t>（3）论证本项目采取的环境保护措施的可行性及合理性，并针对存在的问题，提出预防或者减轻不良环境影响的对策和措施；</w:t>
      </w:r>
    </w:p>
    <w:p w14:paraId="49692FCA">
      <w:pPr>
        <w:ind w:firstLine="480"/>
      </w:pPr>
      <w:r>
        <w:rPr>
          <w:rFonts w:hint="eastAsia"/>
        </w:rPr>
        <w:t>（4）论证项目与产业政策的符合性、与当地建设规划的相容性、资源利用可行性以及环境可行性；</w:t>
      </w:r>
    </w:p>
    <w:p w14:paraId="635B3DD5">
      <w:pPr>
        <w:ind w:firstLine="480"/>
      </w:pPr>
      <w:r>
        <w:rPr>
          <w:rFonts w:hint="eastAsia"/>
        </w:rPr>
        <w:t>（5）分析本项目可能存在的事故隐患，预测可能产生的环境风险程度，提出具体的环境风险防范措施。</w:t>
      </w:r>
    </w:p>
    <w:p w14:paraId="3E601255">
      <w:pPr>
        <w:ind w:firstLine="480"/>
      </w:pPr>
      <w:r>
        <w:rPr>
          <w:rFonts w:hint="eastAsia"/>
        </w:rPr>
        <w:t>通过上述评价，论证项目在环境方面的可行性，给出环境影响评价结论，为环境保护主管部门提供决策依据。</w:t>
      </w:r>
    </w:p>
    <w:p w14:paraId="06AC2DAF">
      <w:pPr>
        <w:pStyle w:val="5"/>
      </w:pPr>
      <w:bookmarkStart w:id="30" w:name="_Toc106663431"/>
      <w:r>
        <w:rPr>
          <w:rFonts w:hint="eastAsia"/>
        </w:rPr>
        <w:t>2.2.2评价原则</w:t>
      </w:r>
      <w:bookmarkEnd w:id="30"/>
    </w:p>
    <w:p w14:paraId="16614E25">
      <w:pPr>
        <w:ind w:firstLine="480"/>
      </w:pPr>
      <w:r>
        <w:rPr>
          <w:rFonts w:hint="eastAsia"/>
        </w:rPr>
        <w:t>突出环境影响评价的源头预防作用，坚持保护和改善环境质量。</w:t>
      </w:r>
    </w:p>
    <w:p w14:paraId="2DFFA46E">
      <w:pPr>
        <w:ind w:firstLine="480"/>
      </w:pPr>
      <w:r>
        <w:rPr>
          <w:rFonts w:hint="eastAsia"/>
        </w:rPr>
        <w:t>（1）依法评价</w:t>
      </w:r>
    </w:p>
    <w:p w14:paraId="4353D246">
      <w:pPr>
        <w:ind w:firstLine="480"/>
      </w:pPr>
      <w:r>
        <w:rPr>
          <w:rFonts w:hint="eastAsia"/>
        </w:rPr>
        <w:t>贯彻执行我国环境保护相关法律法规、标准、政策和规划等，优化项目建设，服务环境管理。</w:t>
      </w:r>
    </w:p>
    <w:p w14:paraId="01B697C2">
      <w:pPr>
        <w:ind w:firstLine="480"/>
      </w:pPr>
      <w:r>
        <w:rPr>
          <w:rFonts w:hint="eastAsia"/>
        </w:rPr>
        <w:t>（2）科学评价</w:t>
      </w:r>
    </w:p>
    <w:p w14:paraId="54E89629">
      <w:pPr>
        <w:ind w:firstLine="480"/>
      </w:pPr>
      <w:r>
        <w:rPr>
          <w:rFonts w:hint="eastAsia"/>
        </w:rPr>
        <w:t>规范环境影响评价方法，科学分析项目建设对环境质量的影响。</w:t>
      </w:r>
    </w:p>
    <w:p w14:paraId="79D594EF">
      <w:pPr>
        <w:ind w:firstLine="480"/>
      </w:pPr>
      <w:r>
        <w:rPr>
          <w:rFonts w:hint="eastAsia"/>
        </w:rPr>
        <w:t>（3）突出重点</w:t>
      </w:r>
    </w:p>
    <w:p w14:paraId="11BF9734">
      <w:pPr>
        <w:ind w:firstLine="480"/>
      </w:pPr>
      <w:r>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p>
    <w:p w14:paraId="7E185B76">
      <w:pPr>
        <w:pStyle w:val="4"/>
      </w:pPr>
      <w:bookmarkStart w:id="31" w:name="_Toc89619326"/>
      <w:bookmarkStart w:id="32" w:name="_Toc71394706"/>
      <w:r>
        <w:rPr>
          <w:rFonts w:hint="eastAsia"/>
        </w:rPr>
        <w:t>2.3评价内容及评价重点</w:t>
      </w:r>
      <w:bookmarkEnd w:id="31"/>
      <w:bookmarkEnd w:id="32"/>
    </w:p>
    <w:p w14:paraId="0779B934">
      <w:pPr>
        <w:pStyle w:val="5"/>
      </w:pPr>
      <w:bookmarkStart w:id="33" w:name="_Toc106663433"/>
      <w:r>
        <w:rPr>
          <w:rFonts w:hint="eastAsia"/>
        </w:rPr>
        <w:t>2.3.1评价内容</w:t>
      </w:r>
      <w:bookmarkEnd w:id="33"/>
    </w:p>
    <w:p w14:paraId="63C2B2C4">
      <w:pPr>
        <w:ind w:firstLine="480"/>
      </w:pPr>
      <w:r>
        <w:rPr>
          <w:rFonts w:hint="eastAsia"/>
        </w:rPr>
        <w:t>本次评价的主要内容包括以下几个方面：</w:t>
      </w:r>
    </w:p>
    <w:p w14:paraId="3F50EFDB">
      <w:pPr>
        <w:ind w:firstLine="480"/>
      </w:pPr>
      <w:r>
        <w:rPr>
          <w:rFonts w:hint="eastAsia"/>
        </w:rPr>
        <w:t>（1）通过对项目厂址及周围环境的综合现状调查和现场监测，了解和掌握项目区环境现状；</w:t>
      </w:r>
    </w:p>
    <w:p w14:paraId="1F0E788E">
      <w:pPr>
        <w:ind w:firstLine="480"/>
      </w:pPr>
      <w:r>
        <w:rPr>
          <w:rFonts w:hint="eastAsia"/>
        </w:rPr>
        <w:t>（2）分析本次工程”三废”排放特征，产生的污染物能否实现达标排放或妥善处理；</w:t>
      </w:r>
    </w:p>
    <w:p w14:paraId="0933AAD1">
      <w:pPr>
        <w:ind w:firstLine="480"/>
      </w:pPr>
      <w:r>
        <w:rPr>
          <w:rFonts w:hint="eastAsia"/>
        </w:rPr>
        <w:t>（3）分析本工程运行中存在的环境风险，提出有关风险防治措施及风险防范预案；</w:t>
      </w:r>
    </w:p>
    <w:p w14:paraId="1E2CD57E">
      <w:pPr>
        <w:ind w:firstLine="480"/>
      </w:pPr>
      <w:r>
        <w:rPr>
          <w:rFonts w:hint="eastAsia"/>
        </w:rPr>
        <w:t>（4）对该建设项目的污染控制措施的可行性和合理性进行评估，并提出防止或减轻污染的对策建议。</w:t>
      </w:r>
    </w:p>
    <w:p w14:paraId="3906F3C7">
      <w:pPr>
        <w:pStyle w:val="5"/>
      </w:pPr>
      <w:bookmarkStart w:id="34" w:name="_Toc106663434"/>
      <w:r>
        <w:rPr>
          <w:rFonts w:hint="eastAsia"/>
        </w:rPr>
        <w:t>2.3.2评价重点</w:t>
      </w:r>
      <w:bookmarkEnd w:id="34"/>
    </w:p>
    <w:p w14:paraId="5AC2EB30">
      <w:pPr>
        <w:ind w:firstLine="480"/>
      </w:pPr>
      <w:r>
        <w:rPr>
          <w:rFonts w:hint="eastAsia"/>
        </w:rPr>
        <w:t>（1）工程分析</w:t>
      </w:r>
    </w:p>
    <w:p w14:paraId="02C57EBC">
      <w:pPr>
        <w:ind w:firstLine="480"/>
      </w:pPr>
      <w:r>
        <w:rPr>
          <w:rFonts w:hint="eastAsia"/>
        </w:rPr>
        <w:t>结合工艺过程，对物料、水等进行平衡计算，并根据企业实际运行情况，分析生产过程中</w:t>
      </w:r>
      <w:r>
        <w:rPr>
          <w:rFonts w:hint="eastAsia"/>
          <w:sz w:val="21"/>
          <w:szCs w:val="21"/>
        </w:rPr>
        <w:t>“</w:t>
      </w:r>
      <w:r>
        <w:rPr>
          <w:rFonts w:hint="eastAsia"/>
        </w:rPr>
        <w:t>三废”及噪声排放情况。</w:t>
      </w:r>
    </w:p>
    <w:p w14:paraId="6D9BB428">
      <w:pPr>
        <w:ind w:firstLine="480"/>
      </w:pPr>
      <w:r>
        <w:rPr>
          <w:rFonts w:hint="eastAsia"/>
        </w:rPr>
        <w:t>（2）污染防治措施分析推荐</w:t>
      </w:r>
    </w:p>
    <w:p w14:paraId="095B55C7">
      <w:pPr>
        <w:ind w:firstLine="480"/>
      </w:pPr>
      <w:r>
        <w:rPr>
          <w:rFonts w:hint="eastAsia"/>
        </w:rPr>
        <w:t>根据工程</w:t>
      </w:r>
      <w:r>
        <w:rPr>
          <w:rFonts w:hint="eastAsia"/>
          <w:sz w:val="21"/>
          <w:szCs w:val="21"/>
        </w:rPr>
        <w:t>“</w:t>
      </w:r>
      <w:r>
        <w:rPr>
          <w:rFonts w:hint="eastAsia"/>
        </w:rPr>
        <w:t>三废”及噪声排放特点，结合相似企业实际治理经验，对设计的治理措施可行性进行分析，并提出推荐方案，确保本项目各污染物达标排放。</w:t>
      </w:r>
    </w:p>
    <w:p w14:paraId="0FF6656C">
      <w:pPr>
        <w:ind w:firstLine="480"/>
      </w:pPr>
      <w:r>
        <w:rPr>
          <w:rFonts w:hint="eastAsia"/>
        </w:rPr>
        <w:t>（3）环境影响预测及评价</w:t>
      </w:r>
    </w:p>
    <w:p w14:paraId="7A9DA790">
      <w:pPr>
        <w:ind w:firstLine="480"/>
      </w:pPr>
      <w:r>
        <w:rPr>
          <w:rFonts w:hint="eastAsia"/>
        </w:rPr>
        <w:t>结合生产过程</w:t>
      </w:r>
      <w:r>
        <w:rPr>
          <w:rFonts w:hint="eastAsia"/>
          <w:sz w:val="21"/>
          <w:szCs w:val="21"/>
        </w:rPr>
        <w:t>“</w:t>
      </w:r>
      <w:r>
        <w:rPr>
          <w:rFonts w:hint="eastAsia"/>
        </w:rPr>
        <w:t>三废”及噪声排放特点以及评价范围内环境概况，分析预测本项目大气污染物对大气环境的影响程度和范围；项目用水的保证性以及排放的生产生活污水对区域水环境的影响；固体废物处理处置对区域环境的影响；预测和评价厂界噪声是否满足《工业企业厂界环境噪声排放标准》，评价项目噪声排放对声环境敏感区的影响。</w:t>
      </w:r>
    </w:p>
    <w:p w14:paraId="0D323C85">
      <w:pPr>
        <w:ind w:firstLine="480"/>
      </w:pPr>
      <w:r>
        <w:rPr>
          <w:rFonts w:hint="eastAsia"/>
        </w:rPr>
        <w:t>（4）环境风险评价</w:t>
      </w:r>
    </w:p>
    <w:p w14:paraId="5B4881DF">
      <w:pPr>
        <w:ind w:firstLine="480"/>
      </w:pPr>
      <w:r>
        <w:rPr>
          <w:rFonts w:hint="eastAsia"/>
        </w:rPr>
        <w:t>结合生产工艺特点，分析确定本项目风险因素，预测风险发生时对环境造成的危害，提出环境风险防范措施，并编制应急预案。</w:t>
      </w:r>
    </w:p>
    <w:p w14:paraId="07AB33C3">
      <w:pPr>
        <w:ind w:firstLine="480"/>
      </w:pPr>
      <w:r>
        <w:rPr>
          <w:rFonts w:hint="eastAsia"/>
        </w:rPr>
        <w:t>（5）清洁生产分析</w:t>
      </w:r>
    </w:p>
    <w:p w14:paraId="4DED7AF5">
      <w:pPr>
        <w:ind w:firstLine="480"/>
      </w:pPr>
      <w:r>
        <w:rPr>
          <w:rFonts w:hint="eastAsia"/>
        </w:rPr>
        <w:t>从工艺装备先进性、资源能源利用、污染物产生、废物综合利用、产品指标、环境管理等方面分析，并与国内其他企业进行对比，评述项目清洁生产水平。</w:t>
      </w:r>
    </w:p>
    <w:p w14:paraId="2A92EEE8">
      <w:pPr>
        <w:pStyle w:val="4"/>
      </w:pPr>
      <w:bookmarkStart w:id="35" w:name="_Toc89619327"/>
      <w:bookmarkStart w:id="36" w:name="_Toc71394707"/>
      <w:r>
        <w:rPr>
          <w:rFonts w:hint="eastAsia"/>
        </w:rPr>
        <w:t>2.4评价因子识别与筛选</w:t>
      </w:r>
      <w:bookmarkEnd w:id="35"/>
      <w:bookmarkEnd w:id="36"/>
    </w:p>
    <w:p w14:paraId="61E41551">
      <w:pPr>
        <w:ind w:firstLine="480"/>
      </w:pPr>
      <w:r>
        <w:rPr>
          <w:rFonts w:hint="eastAsia"/>
        </w:rPr>
        <w:t>根据工程的特征、阶段和所处区域的环境特征，全面分析判别本项目建设对环境可能产生影响的因素、影响途径，初步估算影响程度。通过筛选确定本次评价重点和评价因子。</w:t>
      </w:r>
    </w:p>
    <w:p w14:paraId="0612B8DE">
      <w:pPr>
        <w:pStyle w:val="5"/>
      </w:pPr>
      <w:bookmarkStart w:id="37" w:name="_Toc106663436"/>
      <w:r>
        <w:rPr>
          <w:rFonts w:hint="eastAsia"/>
        </w:rPr>
        <w:t>2.4.1影响因素识别</w:t>
      </w:r>
      <w:bookmarkEnd w:id="37"/>
    </w:p>
    <w:p w14:paraId="174ADA78">
      <w:pPr>
        <w:ind w:firstLine="480"/>
      </w:pPr>
      <w:r>
        <w:rPr>
          <w:rFonts w:hint="eastAsia"/>
        </w:rPr>
        <w:t>根据项目的排污特点及所处环境特征，环境影响因子的识别见表2.4-1。</w:t>
      </w:r>
    </w:p>
    <w:p w14:paraId="2DABDB74">
      <w:pPr>
        <w:pStyle w:val="11"/>
      </w:pPr>
      <w:r>
        <w:rPr>
          <w:rFonts w:hint="eastAsia"/>
        </w:rPr>
        <w:t>表2.4-1环境影响因子识别表</w:t>
      </w:r>
    </w:p>
    <w:tbl>
      <w:tblPr>
        <w:tblStyle w:val="3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463"/>
        <w:gridCol w:w="641"/>
        <w:gridCol w:w="17"/>
        <w:gridCol w:w="971"/>
        <w:gridCol w:w="847"/>
        <w:gridCol w:w="815"/>
        <w:gridCol w:w="872"/>
        <w:gridCol w:w="902"/>
        <w:gridCol w:w="879"/>
        <w:gridCol w:w="980"/>
        <w:gridCol w:w="968"/>
        <w:gridCol w:w="62"/>
      </w:tblGrid>
      <w:tr w14:paraId="7B563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275" w:type="pct"/>
            <w:vMerge w:val="restart"/>
            <w:tcBorders>
              <w:right w:val="single" w:color="auto" w:sz="4" w:space="0"/>
              <w:tl2br w:val="nil"/>
              <w:tr2bl w:val="nil"/>
            </w:tcBorders>
            <w:vAlign w:val="center"/>
          </w:tcPr>
          <w:p w14:paraId="350EAAE9">
            <w:pPr>
              <w:snapToGrid w:val="0"/>
              <w:spacing w:line="240" w:lineRule="auto"/>
              <w:ind w:firstLine="0" w:firstLineChars="0"/>
              <w:jc w:val="center"/>
              <w:rPr>
                <w:sz w:val="21"/>
                <w:szCs w:val="21"/>
              </w:rPr>
            </w:pPr>
            <w:r>
              <w:rPr>
                <w:rFonts w:hint="eastAsia"/>
                <w:sz w:val="21"/>
                <w:szCs w:val="21"/>
              </w:rPr>
              <w:t>阶段</w:t>
            </w:r>
          </w:p>
        </w:tc>
        <w:tc>
          <w:tcPr>
            <w:tcW w:w="968" w:type="pct"/>
            <w:gridSpan w:val="3"/>
            <w:vMerge w:val="restart"/>
            <w:tcBorders>
              <w:left w:val="single" w:color="auto" w:sz="4" w:space="0"/>
              <w:tl2br w:val="nil"/>
              <w:tr2bl w:val="nil"/>
            </w:tcBorders>
            <w:vAlign w:val="center"/>
          </w:tcPr>
          <w:p w14:paraId="0EBF8836">
            <w:pPr>
              <w:snapToGrid w:val="0"/>
              <w:spacing w:line="240" w:lineRule="auto"/>
              <w:ind w:firstLine="0" w:firstLineChars="0"/>
              <w:jc w:val="center"/>
              <w:rPr>
                <w:sz w:val="21"/>
                <w:szCs w:val="21"/>
              </w:rPr>
            </w:pPr>
            <w:r>
              <w:rPr>
                <w:rFonts w:hint="eastAsia"/>
                <w:sz w:val="21"/>
                <w:szCs w:val="21"/>
              </w:rPr>
              <w:t>污染因素</w:t>
            </w:r>
          </w:p>
        </w:tc>
        <w:tc>
          <w:tcPr>
            <w:tcW w:w="3756" w:type="pct"/>
            <w:gridSpan w:val="8"/>
            <w:tcBorders>
              <w:right w:val="single" w:color="auto" w:sz="4" w:space="0"/>
              <w:tl2br w:val="nil"/>
              <w:tr2bl w:val="nil"/>
            </w:tcBorders>
            <w:vAlign w:val="center"/>
          </w:tcPr>
          <w:p w14:paraId="64D931BE">
            <w:pPr>
              <w:snapToGrid w:val="0"/>
              <w:spacing w:line="240" w:lineRule="auto"/>
              <w:ind w:firstLine="0" w:firstLineChars="0"/>
              <w:jc w:val="center"/>
              <w:rPr>
                <w:sz w:val="21"/>
                <w:szCs w:val="21"/>
              </w:rPr>
            </w:pPr>
            <w:r>
              <w:rPr>
                <w:rFonts w:hint="eastAsia"/>
                <w:sz w:val="21"/>
                <w:szCs w:val="21"/>
              </w:rPr>
              <w:t>环境要素</w:t>
            </w:r>
          </w:p>
        </w:tc>
      </w:tr>
      <w:tr w14:paraId="3C1AA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418" w:hRule="atLeast"/>
          <w:jc w:val="center"/>
        </w:trPr>
        <w:tc>
          <w:tcPr>
            <w:tcW w:w="275" w:type="pct"/>
            <w:vMerge w:val="continue"/>
            <w:tcBorders>
              <w:right w:val="single" w:color="auto" w:sz="4" w:space="0"/>
              <w:tl2br w:val="nil"/>
              <w:tr2bl w:val="nil"/>
            </w:tcBorders>
            <w:vAlign w:val="center"/>
          </w:tcPr>
          <w:p w14:paraId="350AF0B0">
            <w:pPr>
              <w:snapToGrid w:val="0"/>
              <w:spacing w:line="240" w:lineRule="auto"/>
              <w:ind w:firstLine="0" w:firstLineChars="0"/>
              <w:jc w:val="center"/>
              <w:rPr>
                <w:b/>
                <w:bCs/>
                <w:sz w:val="21"/>
                <w:szCs w:val="21"/>
              </w:rPr>
            </w:pPr>
          </w:p>
        </w:tc>
        <w:tc>
          <w:tcPr>
            <w:tcW w:w="968" w:type="pct"/>
            <w:gridSpan w:val="3"/>
            <w:vMerge w:val="continue"/>
            <w:tcBorders>
              <w:left w:val="single" w:color="auto" w:sz="4" w:space="0"/>
              <w:tl2br w:val="nil"/>
              <w:tr2bl w:val="nil"/>
            </w:tcBorders>
            <w:vAlign w:val="center"/>
          </w:tcPr>
          <w:p w14:paraId="7FC0577E">
            <w:pPr>
              <w:snapToGrid w:val="0"/>
              <w:spacing w:line="240" w:lineRule="auto"/>
              <w:ind w:firstLine="0" w:firstLineChars="0"/>
              <w:jc w:val="center"/>
              <w:rPr>
                <w:b/>
                <w:bCs/>
                <w:sz w:val="21"/>
                <w:szCs w:val="21"/>
              </w:rPr>
            </w:pPr>
          </w:p>
        </w:tc>
        <w:tc>
          <w:tcPr>
            <w:tcW w:w="503" w:type="pct"/>
            <w:tcBorders>
              <w:tl2br w:val="nil"/>
              <w:tr2bl w:val="nil"/>
            </w:tcBorders>
            <w:vAlign w:val="center"/>
          </w:tcPr>
          <w:p w14:paraId="10E96886">
            <w:pPr>
              <w:snapToGrid w:val="0"/>
              <w:spacing w:line="240" w:lineRule="auto"/>
              <w:ind w:firstLine="0" w:firstLineChars="0"/>
              <w:jc w:val="center"/>
              <w:rPr>
                <w:sz w:val="21"/>
                <w:szCs w:val="21"/>
              </w:rPr>
            </w:pPr>
            <w:r>
              <w:rPr>
                <w:rFonts w:hint="eastAsia"/>
                <w:sz w:val="21"/>
                <w:szCs w:val="21"/>
              </w:rPr>
              <w:t>大气</w:t>
            </w:r>
          </w:p>
        </w:tc>
        <w:tc>
          <w:tcPr>
            <w:tcW w:w="484" w:type="pct"/>
            <w:tcBorders>
              <w:tl2br w:val="nil"/>
              <w:tr2bl w:val="nil"/>
            </w:tcBorders>
            <w:vAlign w:val="center"/>
          </w:tcPr>
          <w:p w14:paraId="655B97F2">
            <w:pPr>
              <w:snapToGrid w:val="0"/>
              <w:spacing w:line="240" w:lineRule="auto"/>
              <w:ind w:firstLine="0" w:firstLineChars="0"/>
              <w:jc w:val="center"/>
              <w:rPr>
                <w:sz w:val="21"/>
                <w:szCs w:val="21"/>
              </w:rPr>
            </w:pPr>
            <w:r>
              <w:rPr>
                <w:rFonts w:hint="eastAsia"/>
                <w:sz w:val="21"/>
                <w:szCs w:val="21"/>
              </w:rPr>
              <w:t>地表水</w:t>
            </w:r>
          </w:p>
        </w:tc>
        <w:tc>
          <w:tcPr>
            <w:tcW w:w="518" w:type="pct"/>
            <w:tcBorders>
              <w:tl2br w:val="nil"/>
              <w:tr2bl w:val="nil"/>
            </w:tcBorders>
            <w:vAlign w:val="center"/>
          </w:tcPr>
          <w:p w14:paraId="05E112C2">
            <w:pPr>
              <w:snapToGrid w:val="0"/>
              <w:spacing w:line="240" w:lineRule="auto"/>
              <w:ind w:firstLine="0" w:firstLineChars="0"/>
              <w:jc w:val="center"/>
              <w:rPr>
                <w:sz w:val="21"/>
                <w:szCs w:val="21"/>
              </w:rPr>
            </w:pPr>
            <w:r>
              <w:rPr>
                <w:rFonts w:hint="eastAsia"/>
                <w:sz w:val="21"/>
                <w:szCs w:val="21"/>
              </w:rPr>
              <w:t>地下水</w:t>
            </w:r>
          </w:p>
        </w:tc>
        <w:tc>
          <w:tcPr>
            <w:tcW w:w="536" w:type="pct"/>
            <w:tcBorders>
              <w:tl2br w:val="nil"/>
              <w:tr2bl w:val="nil"/>
            </w:tcBorders>
            <w:vAlign w:val="center"/>
          </w:tcPr>
          <w:p w14:paraId="269948E9">
            <w:pPr>
              <w:snapToGrid w:val="0"/>
              <w:spacing w:line="240" w:lineRule="auto"/>
              <w:ind w:firstLine="0" w:firstLineChars="0"/>
              <w:jc w:val="center"/>
              <w:rPr>
                <w:sz w:val="21"/>
                <w:szCs w:val="21"/>
              </w:rPr>
            </w:pPr>
            <w:r>
              <w:rPr>
                <w:rFonts w:hint="eastAsia"/>
                <w:sz w:val="21"/>
                <w:szCs w:val="21"/>
              </w:rPr>
              <w:t>噪声</w:t>
            </w:r>
          </w:p>
        </w:tc>
        <w:tc>
          <w:tcPr>
            <w:tcW w:w="522" w:type="pct"/>
            <w:tcBorders>
              <w:tl2br w:val="nil"/>
              <w:tr2bl w:val="nil"/>
            </w:tcBorders>
            <w:vAlign w:val="center"/>
          </w:tcPr>
          <w:p w14:paraId="618EE178">
            <w:pPr>
              <w:snapToGrid w:val="0"/>
              <w:spacing w:line="240" w:lineRule="auto"/>
              <w:ind w:firstLine="0" w:firstLineChars="0"/>
              <w:jc w:val="center"/>
              <w:rPr>
                <w:sz w:val="21"/>
                <w:szCs w:val="21"/>
              </w:rPr>
            </w:pPr>
            <w:r>
              <w:rPr>
                <w:rFonts w:hint="eastAsia"/>
                <w:sz w:val="21"/>
                <w:szCs w:val="21"/>
              </w:rPr>
              <w:t>生态</w:t>
            </w:r>
          </w:p>
        </w:tc>
        <w:tc>
          <w:tcPr>
            <w:tcW w:w="582" w:type="pct"/>
            <w:tcBorders>
              <w:right w:val="single" w:color="auto" w:sz="4" w:space="0"/>
              <w:tl2br w:val="nil"/>
              <w:tr2bl w:val="nil"/>
            </w:tcBorders>
            <w:vAlign w:val="center"/>
          </w:tcPr>
          <w:p w14:paraId="416C95BB">
            <w:pPr>
              <w:snapToGrid w:val="0"/>
              <w:spacing w:line="240" w:lineRule="auto"/>
              <w:ind w:firstLine="0" w:firstLineChars="0"/>
              <w:jc w:val="center"/>
              <w:rPr>
                <w:sz w:val="21"/>
                <w:szCs w:val="21"/>
              </w:rPr>
            </w:pPr>
            <w:r>
              <w:rPr>
                <w:rFonts w:hint="eastAsia"/>
                <w:sz w:val="21"/>
                <w:szCs w:val="21"/>
              </w:rPr>
              <w:t>土壤</w:t>
            </w:r>
          </w:p>
        </w:tc>
        <w:tc>
          <w:tcPr>
            <w:tcW w:w="573" w:type="pct"/>
            <w:tcBorders>
              <w:right w:val="single" w:color="auto" w:sz="4" w:space="0"/>
              <w:tl2br w:val="nil"/>
              <w:tr2bl w:val="nil"/>
            </w:tcBorders>
            <w:vAlign w:val="center"/>
          </w:tcPr>
          <w:p w14:paraId="7DB8F84D">
            <w:pPr>
              <w:snapToGrid w:val="0"/>
              <w:spacing w:line="240" w:lineRule="auto"/>
              <w:ind w:firstLine="0" w:firstLineChars="0"/>
              <w:jc w:val="center"/>
              <w:rPr>
                <w:sz w:val="21"/>
                <w:szCs w:val="21"/>
              </w:rPr>
            </w:pPr>
            <w:r>
              <w:rPr>
                <w:rFonts w:hint="eastAsia"/>
                <w:sz w:val="21"/>
                <w:szCs w:val="21"/>
              </w:rPr>
              <w:t>居民生活</w:t>
            </w:r>
          </w:p>
        </w:tc>
      </w:tr>
      <w:tr w14:paraId="5B510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36" w:type="pct"/>
          <w:trHeight w:val="20" w:hRule="atLeast"/>
          <w:jc w:val="center"/>
        </w:trPr>
        <w:tc>
          <w:tcPr>
            <w:tcW w:w="275" w:type="pct"/>
            <w:vMerge w:val="restart"/>
            <w:tcBorders>
              <w:right w:val="single" w:color="auto" w:sz="4" w:space="0"/>
              <w:tl2br w:val="nil"/>
              <w:tr2bl w:val="nil"/>
            </w:tcBorders>
            <w:vAlign w:val="center"/>
          </w:tcPr>
          <w:p w14:paraId="664D98C3">
            <w:pPr>
              <w:snapToGrid w:val="0"/>
              <w:spacing w:line="240" w:lineRule="auto"/>
              <w:ind w:firstLine="0" w:firstLineChars="0"/>
              <w:jc w:val="center"/>
              <w:rPr>
                <w:sz w:val="21"/>
                <w:szCs w:val="21"/>
              </w:rPr>
            </w:pPr>
            <w:r>
              <w:rPr>
                <w:sz w:val="21"/>
                <w:szCs w:val="21"/>
              </w:rPr>
              <w:t>施工期</w:t>
            </w:r>
          </w:p>
        </w:tc>
        <w:tc>
          <w:tcPr>
            <w:tcW w:w="381" w:type="pct"/>
            <w:vMerge w:val="restart"/>
            <w:tcBorders>
              <w:left w:val="single" w:color="auto" w:sz="4" w:space="0"/>
              <w:right w:val="single" w:color="auto" w:sz="4" w:space="0"/>
              <w:tl2br w:val="nil"/>
              <w:tr2bl w:val="nil"/>
            </w:tcBorders>
            <w:vAlign w:val="center"/>
          </w:tcPr>
          <w:p w14:paraId="49EA686D">
            <w:pPr>
              <w:snapToGrid w:val="0"/>
              <w:spacing w:line="240" w:lineRule="auto"/>
              <w:ind w:firstLine="0" w:firstLineChars="0"/>
              <w:jc w:val="center"/>
              <w:rPr>
                <w:sz w:val="21"/>
                <w:szCs w:val="21"/>
              </w:rPr>
            </w:pPr>
            <w:r>
              <w:rPr>
                <w:rFonts w:hint="eastAsia"/>
                <w:sz w:val="21"/>
                <w:szCs w:val="21"/>
              </w:rPr>
              <w:t>场区</w:t>
            </w:r>
          </w:p>
        </w:tc>
        <w:tc>
          <w:tcPr>
            <w:tcW w:w="587" w:type="pct"/>
            <w:gridSpan w:val="2"/>
            <w:tcBorders>
              <w:left w:val="single" w:color="auto" w:sz="4" w:space="0"/>
              <w:tl2br w:val="nil"/>
              <w:tr2bl w:val="nil"/>
            </w:tcBorders>
            <w:vAlign w:val="center"/>
          </w:tcPr>
          <w:p w14:paraId="40B4F38A">
            <w:pPr>
              <w:snapToGrid w:val="0"/>
              <w:spacing w:line="240" w:lineRule="auto"/>
              <w:ind w:firstLine="0" w:firstLineChars="0"/>
              <w:jc w:val="center"/>
              <w:rPr>
                <w:sz w:val="21"/>
                <w:szCs w:val="21"/>
              </w:rPr>
            </w:pPr>
            <w:r>
              <w:rPr>
                <w:rFonts w:hint="eastAsia"/>
                <w:sz w:val="21"/>
                <w:szCs w:val="21"/>
              </w:rPr>
              <w:t>扬尘</w:t>
            </w:r>
          </w:p>
        </w:tc>
        <w:tc>
          <w:tcPr>
            <w:tcW w:w="503" w:type="pct"/>
            <w:tcBorders>
              <w:tl2br w:val="nil"/>
              <w:tr2bl w:val="nil"/>
            </w:tcBorders>
            <w:vAlign w:val="center"/>
          </w:tcPr>
          <w:p w14:paraId="78EFDC15">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21590</wp:posOffset>
                      </wp:positionV>
                      <wp:extent cx="95250" cy="95250"/>
                      <wp:effectExtent l="2540" t="7620" r="6985" b="1905"/>
                      <wp:wrapNone/>
                      <wp:docPr id="333" name="菱形 333"/>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6.5pt;margin-top:1.7pt;height:7.5pt;width:7.5pt;z-index:251661312;mso-width-relative:page;mso-height-relative:page;" fillcolor="#000000" filled="t" stroked="f" coordsize="21600,21600" o:gfxdata="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1lwNYAAAAGAQAADwAA&#10;AAAAAAABACAAAAAiAAAAZHJzL2Rvd25yZXYueG1sUEsBAhQAFAAAAAgAh07iQHYpbacYAgAAKgQA&#10;AA4AAAAAAAAAAQAgAAAAJQEAAGRycy9lMm9Eb2MueG1sUEsFBgAAAAAGAAYAWQEAAK8FAAAAAA==&#10;">
                      <v:fill on="t" focussize="0,0"/>
                      <v:stroke on="f"/>
                      <v:imagedata o:title=""/>
                      <o:lock v:ext="edit" aspectratio="f"/>
                    </v:shape>
                  </w:pict>
                </mc:Fallback>
              </mc:AlternateContent>
            </w:r>
            <w:r>
              <w:rPr>
                <w:rFonts w:hint="eastAsia"/>
                <w:sz w:val="21"/>
                <w:szCs w:val="21"/>
              </w:rPr>
              <w:t>S</w:t>
            </w:r>
          </w:p>
        </w:tc>
        <w:tc>
          <w:tcPr>
            <w:tcW w:w="484" w:type="pct"/>
            <w:tcBorders>
              <w:tl2br w:val="nil"/>
              <w:tr2bl w:val="nil"/>
            </w:tcBorders>
            <w:vAlign w:val="center"/>
          </w:tcPr>
          <w:p w14:paraId="24DB0180">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2336" behindDoc="0" locked="0" layoutInCell="1" allowOverlap="1">
                      <wp:simplePos x="0" y="0"/>
                      <wp:positionH relativeFrom="column">
                        <wp:posOffset>144780</wp:posOffset>
                      </wp:positionH>
                      <wp:positionV relativeFrom="paragraph">
                        <wp:posOffset>50800</wp:posOffset>
                      </wp:positionV>
                      <wp:extent cx="75565" cy="75565"/>
                      <wp:effectExtent l="12065" t="8255" r="7620" b="11430"/>
                      <wp:wrapNone/>
                      <wp:docPr id="332" name="椭圆 33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4pt;height:5.95pt;width:5.95pt;z-index:251662336;mso-width-relative:page;mso-height-relative:page;" fillcolor="#FFFFFF" filled="t" stroked="t" coordsize="21600,21600" o:gfxdata="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NXa8bWAAAABgEAAA8AAAAAAAAAAQAgAAAAIgAAAGRycy9kb3ducmV2Lnht&#10;bFBLAQIUABQAAAAIAIdO4kCgPQxfNAIAAHEEAAAOAAAAAAAAAAEAIAAAACUBAABkcnMvZTJvRG9j&#10;LnhtbFBLBQYAAAAABgAGAFkBAADL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00D54653">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31750</wp:posOffset>
                      </wp:positionV>
                      <wp:extent cx="75565" cy="75565"/>
                      <wp:effectExtent l="11430" t="8255" r="8255" b="11430"/>
                      <wp:wrapNone/>
                      <wp:docPr id="331" name="椭圆 33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2.5pt;height:5.95pt;width:5.95pt;z-index:251663360;mso-width-relative:page;mso-height-relative:page;" fillcolor="#FFFFFF" filled="t" stroked="t" coordsize="21600,21600" o:gfxdata="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WZrHdUAAAAGAQAADwAAAAAAAAABACAAAAAiAAAAZHJzL2Rvd25yZXYueG1s&#10;UEsBAhQAFAAAAAgAh07iQIyibYA0AgAAcQQAAA4AAAAAAAAAAQAgAAAAJAEAAGRycy9lMm9Eb2Mu&#10;eG1sUEsFBgAAAAAGAAYAWQEAAMo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10F781D2">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4384" behindDoc="0" locked="0" layoutInCell="1" allowOverlap="1">
                      <wp:simplePos x="0" y="0"/>
                      <wp:positionH relativeFrom="column">
                        <wp:posOffset>177165</wp:posOffset>
                      </wp:positionH>
                      <wp:positionV relativeFrom="paragraph">
                        <wp:posOffset>31750</wp:posOffset>
                      </wp:positionV>
                      <wp:extent cx="75565" cy="75565"/>
                      <wp:effectExtent l="11430" t="8255" r="8255" b="11430"/>
                      <wp:wrapNone/>
                      <wp:docPr id="330" name="椭圆 33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95pt;margin-top:2.5pt;height:5.95pt;width:5.95pt;z-index:251664384;mso-width-relative:page;mso-height-relative:page;" fillcolor="#FFFFFF" filled="t" stroked="t" coordsize="21600,21600" o:gfxdata="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xPpc1QAAAAYBAAAPAAAAAAAAAAEAIAAAACIAAABkcnMvZG93bnJldi54bWxQ&#10;SwECFAAUAAAACACHTuJAVypifDMCAABxBAAADgAAAAAAAAABACAAAAAkAQAAZHJzL2Uyb0RvYy54&#10;bWxQSwUGAAAAAAYABgBZAQAAyQU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023C1A74">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6608" behindDoc="0" locked="0" layoutInCell="1" allowOverlap="1">
                      <wp:simplePos x="0" y="0"/>
                      <wp:positionH relativeFrom="column">
                        <wp:posOffset>109855</wp:posOffset>
                      </wp:positionH>
                      <wp:positionV relativeFrom="paragraph">
                        <wp:posOffset>31750</wp:posOffset>
                      </wp:positionV>
                      <wp:extent cx="76200" cy="85725"/>
                      <wp:effectExtent l="12700" t="17780" r="15875" b="10795"/>
                      <wp:wrapNone/>
                      <wp:docPr id="329" name="等腰三角形 32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65pt;margin-top:2.5pt;height:6.75pt;width:6pt;z-index:251716608;mso-width-relative:page;mso-height-relative:page;" filled="f" stroked="t" coordsize="21600,21600" o:gfxdata="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GseFXWAAAA&#10;BgEAAA8AAAAAAAAAAQAgAAAAIgAAAGRycy9kb3ducmV2LnhtbFBLAQIUABQAAAAIAIdO4kBeV2Bv&#10;WAIAAIsEAAAOAAAAAAAAAAEAIAAAACUBAABkcnMvZTJvRG9jLnhtbFBLBQYAAAAABgAGAFkBAADv&#10;BQAAAAA=&#10;" adj="10800">
                      <v:fill on="f" focussize="0,0"/>
                      <v:stroke weight="0.5pt" color="#000000" miterlimit="8" joinstyle="miter"/>
                      <v:imagedata o:title=""/>
                      <o:lock v:ext="edit" aspectratio="f"/>
                    </v:shape>
                  </w:pict>
                </mc:Fallback>
              </mc:AlternateContent>
            </w:r>
            <w:r>
              <w:rPr>
                <w:rFonts w:hint="eastAsia"/>
                <w:sz w:val="21"/>
                <w:szCs w:val="21"/>
              </w:rPr>
              <w:t>S</w:t>
            </w:r>
          </w:p>
        </w:tc>
        <w:tc>
          <w:tcPr>
            <w:tcW w:w="582" w:type="pct"/>
            <w:tcBorders>
              <w:tl2br w:val="nil"/>
              <w:tr2bl w:val="nil"/>
            </w:tcBorders>
            <w:vAlign w:val="center"/>
          </w:tcPr>
          <w:p w14:paraId="56CF85DB">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5408" behindDoc="0" locked="0" layoutInCell="1" allowOverlap="1">
                      <wp:simplePos x="0" y="0"/>
                      <wp:positionH relativeFrom="column">
                        <wp:posOffset>206375</wp:posOffset>
                      </wp:positionH>
                      <wp:positionV relativeFrom="paragraph">
                        <wp:posOffset>31750</wp:posOffset>
                      </wp:positionV>
                      <wp:extent cx="75565" cy="75565"/>
                      <wp:effectExtent l="10160" t="8255" r="9525" b="11430"/>
                      <wp:wrapNone/>
                      <wp:docPr id="328" name="椭圆 32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5pt;margin-top:2.5pt;height:5.95pt;width:5.95pt;z-index:251665408;mso-width-relative:page;mso-height-relative:page;" fillcolor="#FFFFFF" filled="t" stroked="t" coordsize="21600,21600" o:gfxdata="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K95TdYAAAAGAQAADwAAAAAAAAABACAAAAAiAAAAZHJzL2Rvd25yZXYueG1s&#10;UEsBAhQAFAAAAAgAh07iQF9xJ+AzAgAAcQQAAA4AAAAAAAAAAQAgAAAAJQEAAGRycy9lMm9Eb2Mu&#10;eG1sUEsFBgAAAAAGAAYAWQEAAMoFA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724EFD1C">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8416" behindDoc="0" locked="0" layoutInCell="1" allowOverlap="1">
                      <wp:simplePos x="0" y="0"/>
                      <wp:positionH relativeFrom="column">
                        <wp:posOffset>137795</wp:posOffset>
                      </wp:positionH>
                      <wp:positionV relativeFrom="paragraph">
                        <wp:posOffset>12700</wp:posOffset>
                      </wp:positionV>
                      <wp:extent cx="76200" cy="85725"/>
                      <wp:effectExtent l="1905" t="8255" r="7620" b="1270"/>
                      <wp:wrapNone/>
                      <wp:docPr id="298" name="等腰三角形 29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1pt;height:6.75pt;width:6pt;z-index:251708416;mso-width-relative:page;mso-height-relative:page;" fillcolor="#000000" filled="t" stroked="f" coordsize="21600,21600" o:gfxdata="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CoE50wAAAAYBAAAPAAAAAAAAAAEAIAAAACIAAABk&#10;cnMvZG93bnJldi54bWxQSwECFAAUAAAACACHTuJASgaMvUQCAABgBAAADgAAAAAAAAABACAAAAAi&#10;AQAAZHJzL2Uyb0RvYy54bWxQSwUGAAAAAAYABgBZAQAA2AUAAAAA&#10;" adj="10800">
                      <v:fill on="t" focussize="0,0"/>
                      <v:stroke on="f"/>
                      <v:imagedata o:title=""/>
                      <o:lock v:ext="edit" aspectratio="f"/>
                    </v:shape>
                  </w:pict>
                </mc:Fallback>
              </mc:AlternateContent>
            </w:r>
            <w:r>
              <w:rPr>
                <w:rFonts w:hint="eastAsia"/>
                <w:sz w:val="21"/>
                <w:szCs w:val="21"/>
              </w:rPr>
              <w:t>S</w:t>
            </w:r>
          </w:p>
        </w:tc>
      </w:tr>
      <w:tr w14:paraId="077AA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4F57FD48">
            <w:pPr>
              <w:snapToGrid w:val="0"/>
              <w:spacing w:line="240" w:lineRule="auto"/>
              <w:ind w:firstLine="0" w:firstLineChars="0"/>
              <w:jc w:val="center"/>
              <w:rPr>
                <w:sz w:val="21"/>
                <w:szCs w:val="21"/>
              </w:rPr>
            </w:pPr>
          </w:p>
        </w:tc>
        <w:tc>
          <w:tcPr>
            <w:tcW w:w="381" w:type="pct"/>
            <w:vMerge w:val="continue"/>
            <w:tcBorders>
              <w:left w:val="single" w:color="auto" w:sz="4" w:space="0"/>
              <w:right w:val="single" w:color="auto" w:sz="4" w:space="0"/>
              <w:tl2br w:val="nil"/>
              <w:tr2bl w:val="nil"/>
            </w:tcBorders>
            <w:vAlign w:val="center"/>
          </w:tcPr>
          <w:p w14:paraId="7D9C9B01">
            <w:pPr>
              <w:snapToGrid w:val="0"/>
              <w:spacing w:line="240" w:lineRule="auto"/>
              <w:ind w:firstLine="0" w:firstLineChars="0"/>
              <w:jc w:val="center"/>
              <w:rPr>
                <w:sz w:val="21"/>
                <w:szCs w:val="21"/>
              </w:rPr>
            </w:pPr>
          </w:p>
        </w:tc>
        <w:tc>
          <w:tcPr>
            <w:tcW w:w="587" w:type="pct"/>
            <w:gridSpan w:val="2"/>
            <w:tcBorders>
              <w:left w:val="single" w:color="auto" w:sz="4" w:space="0"/>
              <w:tl2br w:val="nil"/>
              <w:tr2bl w:val="nil"/>
            </w:tcBorders>
            <w:vAlign w:val="center"/>
          </w:tcPr>
          <w:p w14:paraId="7BF36C1F">
            <w:pPr>
              <w:snapToGrid w:val="0"/>
              <w:spacing w:line="240" w:lineRule="auto"/>
              <w:ind w:firstLine="0" w:firstLineChars="0"/>
              <w:jc w:val="center"/>
              <w:rPr>
                <w:sz w:val="21"/>
                <w:szCs w:val="21"/>
              </w:rPr>
            </w:pPr>
            <w:r>
              <w:rPr>
                <w:rFonts w:hint="eastAsia"/>
                <w:sz w:val="21"/>
                <w:szCs w:val="21"/>
              </w:rPr>
              <w:t>施工废水</w:t>
            </w:r>
          </w:p>
        </w:tc>
        <w:tc>
          <w:tcPr>
            <w:tcW w:w="503" w:type="pct"/>
            <w:tcBorders>
              <w:tl2br w:val="nil"/>
              <w:tr2bl w:val="nil"/>
            </w:tcBorders>
            <w:vAlign w:val="center"/>
          </w:tcPr>
          <w:p w14:paraId="4487DDB8">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7456" behindDoc="0" locked="0" layoutInCell="1" allowOverlap="1">
                      <wp:simplePos x="0" y="0"/>
                      <wp:positionH relativeFrom="column">
                        <wp:posOffset>149860</wp:posOffset>
                      </wp:positionH>
                      <wp:positionV relativeFrom="paragraph">
                        <wp:posOffset>52705</wp:posOffset>
                      </wp:positionV>
                      <wp:extent cx="75565" cy="75565"/>
                      <wp:effectExtent l="12700" t="8255" r="6985" b="11430"/>
                      <wp:wrapNone/>
                      <wp:docPr id="297" name="椭圆 29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8pt;margin-top:4.15pt;height:5.95pt;width:5.95pt;z-index:251667456;mso-width-relative:page;mso-height-relative:page;" fillcolor="#FFFFFF" filled="t" stroked="t" coordsize="21600,21600" o:gfxdata="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SCv4bUAAAABgEAAA8AAAAAAAAAAQAgAAAAIgAAAGRycy9kb3ducmV2LnhtbFBL&#10;AQIUABQAAAAIAIdO4kBUXmLIMwIAAHEEAAAOAAAAAAAAAAEAIAAAACMBAABkcnMvZTJvRG9jLnht&#10;bFBLBQYAAAAABgAGAFkBAADIBQAAAAA=&#10;">
                      <v:fill on="t" focussize="0,0"/>
                      <v:stroke color="#000000" joinstyle="round"/>
                      <v:imagedata o:title=""/>
                      <o:lock v:ext="edit" aspectratio="f"/>
                    </v:shape>
                  </w:pict>
                </mc:Fallback>
              </mc:AlternateContent>
            </w:r>
          </w:p>
        </w:tc>
        <w:tc>
          <w:tcPr>
            <w:tcW w:w="484" w:type="pct"/>
            <w:tcBorders>
              <w:tl2br w:val="nil"/>
              <w:tr2bl w:val="nil"/>
            </w:tcBorders>
            <w:vAlign w:val="center"/>
          </w:tcPr>
          <w:p w14:paraId="2B51AA72">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9504" behindDoc="0" locked="0" layoutInCell="1" allowOverlap="1">
                      <wp:simplePos x="0" y="0"/>
                      <wp:positionH relativeFrom="column">
                        <wp:posOffset>135255</wp:posOffset>
                      </wp:positionH>
                      <wp:positionV relativeFrom="paragraph">
                        <wp:posOffset>43180</wp:posOffset>
                      </wp:positionV>
                      <wp:extent cx="75565" cy="75565"/>
                      <wp:effectExtent l="12065" t="8255" r="7620" b="11430"/>
                      <wp:wrapNone/>
                      <wp:docPr id="296" name="椭圆 29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0.65pt;margin-top:3.4pt;height:5.95pt;width:5.95pt;z-index:251669504;mso-width-relative:page;mso-height-relative:page;" fillcolor="#FFFFFF" filled="t" stroked="t" coordsize="21600,21600" o:gfxdata="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ugS31QAAAAYBAAAPAAAAAAAAAAEAIAAAACIAAABkcnMvZG93bnJldi54bWxQ&#10;SwECFAAUAAAACACHTuJAj9ZtNDMCAABx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77049FA4">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5344" behindDoc="0" locked="0" layoutInCell="1" allowOverlap="1">
                      <wp:simplePos x="0" y="0"/>
                      <wp:positionH relativeFrom="column">
                        <wp:posOffset>113665</wp:posOffset>
                      </wp:positionH>
                      <wp:positionV relativeFrom="paragraph">
                        <wp:posOffset>5080</wp:posOffset>
                      </wp:positionV>
                      <wp:extent cx="76200" cy="85725"/>
                      <wp:effectExtent l="3175" t="8255" r="6350" b="1270"/>
                      <wp:wrapNone/>
                      <wp:docPr id="295" name="等腰三角形 295"/>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5pt;margin-top:0.4pt;height:6.75pt;width:6pt;z-index:251705344;mso-width-relative:page;mso-height-relative:page;" fillcolor="#000000" filled="t" stroked="f" coordsize="21600,21600" o:gfxdata="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BRr0QAAAAUBAAAPAAAAAAAAAAEAIAAAACIAAABkcnMv&#10;ZG93bnJldi54bWxQSwECFAAUAAAACACHTuJA/kynZ0MCAABgBAAADgAAAAAAAAABACAAAAAgAQAA&#10;ZHJzL2Uyb0RvYy54bWxQSwUGAAAAAAYABgBZAQAA1QUAAAAA&#10;" adj="10800">
                      <v:fill on="t" focussize="0,0"/>
                      <v:stroke on="f"/>
                      <v:imagedata o:title=""/>
                      <o:lock v:ext="edit" aspectratio="f"/>
                    </v:shape>
                  </w:pict>
                </mc:Fallback>
              </mc:AlternateContent>
            </w:r>
            <w:r>
              <w:rPr>
                <w:rFonts w:hint="eastAsia"/>
                <w:sz w:val="21"/>
                <w:szCs w:val="21"/>
              </w:rPr>
              <w:t>S</w:t>
            </w:r>
          </w:p>
        </w:tc>
        <w:tc>
          <w:tcPr>
            <w:tcW w:w="536" w:type="pct"/>
            <w:tcBorders>
              <w:tl2br w:val="nil"/>
              <w:tr2bl w:val="nil"/>
            </w:tcBorders>
            <w:vAlign w:val="center"/>
          </w:tcPr>
          <w:p w14:paraId="076D5AAE">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2816" behindDoc="0" locked="0" layoutInCell="1" allowOverlap="1">
                      <wp:simplePos x="0" y="0"/>
                      <wp:positionH relativeFrom="column">
                        <wp:posOffset>167640</wp:posOffset>
                      </wp:positionH>
                      <wp:positionV relativeFrom="paragraph">
                        <wp:posOffset>43180</wp:posOffset>
                      </wp:positionV>
                      <wp:extent cx="75565" cy="75565"/>
                      <wp:effectExtent l="11430" t="8255" r="8255" b="11430"/>
                      <wp:wrapNone/>
                      <wp:docPr id="294" name="椭圆 29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2pt;margin-top:3.4pt;height:5.95pt;width:5.95pt;z-index:251682816;mso-width-relative:page;mso-height-relative:page;" fillcolor="#FFFFFF" filled="t" stroked="t" coordsize="21600,21600" o:gfxdata="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Gr0J1QAAAAYBAAAPAAAAAAAAAAEAIAAAACIAAABkcnMvZG93bnJldi54bWxQ&#10;SwECFAAUAAAACACHTuJAeMEDFzMCAABxBAAADgAAAAAAAAABACAAAAAkAQAAZHJzL2Uyb0RvYy54&#10;bWxQSwUGAAAAAAYABgBZAQAAyQU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093C81AF">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7632" behindDoc="0" locked="0" layoutInCell="1" allowOverlap="1">
                      <wp:simplePos x="0" y="0"/>
                      <wp:positionH relativeFrom="column">
                        <wp:posOffset>109855</wp:posOffset>
                      </wp:positionH>
                      <wp:positionV relativeFrom="paragraph">
                        <wp:posOffset>5080</wp:posOffset>
                      </wp:positionV>
                      <wp:extent cx="76200" cy="85725"/>
                      <wp:effectExtent l="12700" t="17780" r="15875" b="10795"/>
                      <wp:wrapNone/>
                      <wp:docPr id="293" name="等腰三角形 293"/>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65pt;margin-top:0.4pt;height:6.75pt;width:6pt;z-index:251717632;mso-width-relative:page;mso-height-relative:page;" filled="f" stroked="t" coordsize="21600,21600" o:gfxdata="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ckL0C1AAAAAUB&#10;AAAPAAAAAAAAAAEAIAAAACIAAABkcnMvZG93bnJldi54bWxQSwECFAAUAAAACACHTuJAbWvhjlgC&#10;AACLBAAADgAAAAAAAAABACAAAAAjAQAAZHJzL2Uyb0RvYy54bWxQSwUGAAAAAAYABgBZAQAA7QUA&#10;AAAA&#10;" adj="10800">
                      <v:fill on="f" focussize="0,0"/>
                      <v:stroke weight="0.5pt" color="#000000" miterlimit="8" joinstyle="miter"/>
                      <v:imagedata o:title=""/>
                      <o:lock v:ext="edit" aspectratio="f"/>
                    </v:shape>
                  </w:pict>
                </mc:Fallback>
              </mc:AlternateContent>
            </w:r>
            <w:r>
              <w:rPr>
                <w:rFonts w:hint="eastAsia"/>
                <w:sz w:val="21"/>
                <w:szCs w:val="21"/>
              </w:rPr>
              <w:t>S</w:t>
            </w:r>
          </w:p>
        </w:tc>
        <w:tc>
          <w:tcPr>
            <w:tcW w:w="582" w:type="pct"/>
            <w:tcBorders>
              <w:tl2br w:val="nil"/>
              <w:tr2bl w:val="nil"/>
            </w:tcBorders>
            <w:vAlign w:val="center"/>
          </w:tcPr>
          <w:p w14:paraId="7147BA16">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21728" behindDoc="0" locked="0" layoutInCell="1" allowOverlap="1">
                      <wp:simplePos x="0" y="0"/>
                      <wp:positionH relativeFrom="column">
                        <wp:posOffset>151130</wp:posOffset>
                      </wp:positionH>
                      <wp:positionV relativeFrom="paragraph">
                        <wp:posOffset>14605</wp:posOffset>
                      </wp:positionV>
                      <wp:extent cx="76200" cy="85725"/>
                      <wp:effectExtent l="21590" t="17780" r="16510" b="10795"/>
                      <wp:wrapNone/>
                      <wp:docPr id="292" name="等腰三角形 29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1.9pt;margin-top:1.15pt;height:6.75pt;width:6pt;z-index:251721728;mso-width-relative:page;mso-height-relative:page;" filled="f" stroked="t" coordsize="21600,21600" o:gfxdata="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M+6S1AAAAAYB&#10;AAAPAAAAAAAAAAEAIAAAACIAAABkcnMvZG93bnJldi54bWxQSwECFAAUAAAACACHTuJA7EYVl1gC&#10;AACLBAAADgAAAAAAAAABACAAAAAjAQAAZHJzL2Uyb0RvYy54bWxQSwUGAAAAAAYABgBZAQAA7QUA&#10;AAAA&#10;" adj="10800">
                      <v:fill on="f" focussize="0,0"/>
                      <v:stroke weight="0.5pt" color="#000000" miterlimit="8" joinstyle="miter"/>
                      <v:imagedata o:title=""/>
                      <o:lock v:ext="edit" aspectratio="f"/>
                    </v:shape>
                  </w:pict>
                </mc:Fallback>
              </mc:AlternateContent>
            </w:r>
            <w:r>
              <w:rPr>
                <w:rFonts w:hint="eastAsia"/>
                <w:sz w:val="21"/>
                <w:szCs w:val="21"/>
              </w:rPr>
              <w:t>S</w:t>
            </w:r>
          </w:p>
        </w:tc>
        <w:tc>
          <w:tcPr>
            <w:tcW w:w="573" w:type="pct"/>
            <w:tcBorders>
              <w:tl2br w:val="nil"/>
              <w:tr2bl w:val="nil"/>
            </w:tcBorders>
            <w:vAlign w:val="center"/>
          </w:tcPr>
          <w:p w14:paraId="67BAE1F0">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6432" behindDoc="0" locked="0" layoutInCell="1" allowOverlap="1">
                      <wp:simplePos x="0" y="0"/>
                      <wp:positionH relativeFrom="column">
                        <wp:posOffset>212090</wp:posOffset>
                      </wp:positionH>
                      <wp:positionV relativeFrom="paragraph">
                        <wp:posOffset>43180</wp:posOffset>
                      </wp:positionV>
                      <wp:extent cx="75565" cy="75565"/>
                      <wp:effectExtent l="9525" t="8255" r="10160" b="11430"/>
                      <wp:wrapNone/>
                      <wp:docPr id="291" name="椭圆 29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7pt;margin-top:3.4pt;height:5.95pt;width:5.95pt;z-index:251666432;mso-width-relative:page;mso-height-relative:page;" fillcolor="#FFFFFF" filled="t" stroked="t" coordsize="21600,21600" o:gfxdata="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4RNb1QAAAAYBAAAPAAAAAAAAAAEAIAAAACIAAABkcnMvZG93bnJldi54bWxQ&#10;SwECFAAUAAAACACHTuJATWbQrTMCAABxBAAADgAAAAAAAAABACAAAAAkAQAAZHJzL2Uyb0RvYy54&#10;bWxQSwUGAAAAAAYABgBZAQAAyQUAAAAA&#10;">
                      <v:fill on="t" focussize="0,0"/>
                      <v:stroke color="#000000" joinstyle="round"/>
                      <v:imagedata o:title=""/>
                      <o:lock v:ext="edit" aspectratio="f"/>
                    </v:shape>
                  </w:pict>
                </mc:Fallback>
              </mc:AlternateContent>
            </w:r>
          </w:p>
        </w:tc>
      </w:tr>
      <w:tr w14:paraId="4B9EE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36" w:type="pct"/>
          <w:trHeight w:val="20" w:hRule="atLeast"/>
          <w:jc w:val="center"/>
        </w:trPr>
        <w:tc>
          <w:tcPr>
            <w:tcW w:w="275" w:type="pct"/>
            <w:vMerge w:val="continue"/>
            <w:tcBorders>
              <w:tl2br w:val="nil"/>
              <w:tr2bl w:val="nil"/>
            </w:tcBorders>
            <w:vAlign w:val="center"/>
          </w:tcPr>
          <w:p w14:paraId="08A97A8A">
            <w:pPr>
              <w:snapToGrid w:val="0"/>
              <w:spacing w:line="240" w:lineRule="auto"/>
              <w:ind w:firstLine="0" w:firstLineChars="0"/>
              <w:jc w:val="center"/>
              <w:rPr>
                <w:sz w:val="21"/>
                <w:szCs w:val="21"/>
              </w:rPr>
            </w:pPr>
          </w:p>
        </w:tc>
        <w:tc>
          <w:tcPr>
            <w:tcW w:w="381" w:type="pct"/>
            <w:vMerge w:val="continue"/>
            <w:tcBorders>
              <w:left w:val="single" w:color="auto" w:sz="4" w:space="0"/>
              <w:right w:val="single" w:color="auto" w:sz="4" w:space="0"/>
              <w:tl2br w:val="nil"/>
              <w:tr2bl w:val="nil"/>
            </w:tcBorders>
            <w:vAlign w:val="center"/>
          </w:tcPr>
          <w:p w14:paraId="68CEB69B">
            <w:pPr>
              <w:snapToGrid w:val="0"/>
              <w:spacing w:line="240" w:lineRule="auto"/>
              <w:ind w:firstLine="0" w:firstLineChars="0"/>
              <w:jc w:val="center"/>
              <w:rPr>
                <w:sz w:val="21"/>
                <w:szCs w:val="21"/>
              </w:rPr>
            </w:pPr>
          </w:p>
        </w:tc>
        <w:tc>
          <w:tcPr>
            <w:tcW w:w="587" w:type="pct"/>
            <w:gridSpan w:val="2"/>
            <w:tcBorders>
              <w:left w:val="single" w:color="auto" w:sz="4" w:space="0"/>
              <w:tl2br w:val="nil"/>
              <w:tr2bl w:val="nil"/>
            </w:tcBorders>
            <w:vAlign w:val="center"/>
          </w:tcPr>
          <w:p w14:paraId="5D40342B">
            <w:pPr>
              <w:snapToGrid w:val="0"/>
              <w:spacing w:line="240" w:lineRule="auto"/>
              <w:ind w:firstLine="0" w:firstLineChars="0"/>
              <w:jc w:val="center"/>
              <w:rPr>
                <w:sz w:val="21"/>
                <w:szCs w:val="21"/>
              </w:rPr>
            </w:pPr>
            <w:r>
              <w:rPr>
                <w:rFonts w:hint="eastAsia"/>
                <w:sz w:val="21"/>
                <w:szCs w:val="21"/>
              </w:rPr>
              <w:t>施工噪声</w:t>
            </w:r>
          </w:p>
        </w:tc>
        <w:tc>
          <w:tcPr>
            <w:tcW w:w="503" w:type="pct"/>
            <w:tcBorders>
              <w:tl2br w:val="nil"/>
              <w:tr2bl w:val="nil"/>
            </w:tcBorders>
            <w:vAlign w:val="center"/>
          </w:tcPr>
          <w:p w14:paraId="031E49FD">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68480" behindDoc="0" locked="0" layoutInCell="1" allowOverlap="1">
                      <wp:simplePos x="0" y="0"/>
                      <wp:positionH relativeFrom="column">
                        <wp:posOffset>149860</wp:posOffset>
                      </wp:positionH>
                      <wp:positionV relativeFrom="paragraph">
                        <wp:posOffset>44450</wp:posOffset>
                      </wp:positionV>
                      <wp:extent cx="75565" cy="75565"/>
                      <wp:effectExtent l="12700" t="7620" r="6985" b="12065"/>
                      <wp:wrapNone/>
                      <wp:docPr id="290" name="椭圆 29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8pt;margin-top:3.5pt;height:5.95pt;width:5.95pt;z-index:251668480;mso-width-relative:page;mso-height-relative:page;" fillcolor="#FFFFFF" filled="t" stroked="t" coordsize="21600,21600" o:gfxdata="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4U5t1QAAAAYBAAAPAAAAAAAAAAEAIAAAACIAAABkcnMvZG93bnJldi54bWxQ&#10;SwECFAAUAAAACACHTuJAlu7fUTMCAABxBAAADgAAAAAAAAABACAAAAAkAQAAZHJzL2Uyb0RvYy54&#10;bWxQSwUGAAAAAAYABgBZAQAAyQUAAAAA&#10;">
                      <v:fill on="t" focussize="0,0"/>
                      <v:stroke color="#000000" joinstyle="round"/>
                      <v:imagedata o:title=""/>
                      <o:lock v:ext="edit" aspectratio="f"/>
                    </v:shape>
                  </w:pict>
                </mc:Fallback>
              </mc:AlternateContent>
            </w:r>
          </w:p>
        </w:tc>
        <w:tc>
          <w:tcPr>
            <w:tcW w:w="484" w:type="pct"/>
            <w:tcBorders>
              <w:tl2br w:val="nil"/>
              <w:tr2bl w:val="nil"/>
            </w:tcBorders>
            <w:vAlign w:val="center"/>
          </w:tcPr>
          <w:p w14:paraId="3C0925C2">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0528" behindDoc="0" locked="0" layoutInCell="1" allowOverlap="1">
                      <wp:simplePos x="0" y="0"/>
                      <wp:positionH relativeFrom="column">
                        <wp:posOffset>154305</wp:posOffset>
                      </wp:positionH>
                      <wp:positionV relativeFrom="paragraph">
                        <wp:posOffset>44450</wp:posOffset>
                      </wp:positionV>
                      <wp:extent cx="75565" cy="75565"/>
                      <wp:effectExtent l="12065" t="7620" r="7620" b="12065"/>
                      <wp:wrapNone/>
                      <wp:docPr id="289" name="椭圆 28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15pt;margin-top:3.5pt;height:5.95pt;width:5.95pt;z-index:251670528;mso-width-relative:page;mso-height-relative:page;" fillcolor="#FFFFFF" filled="t" stroked="t" coordsize="21600,21600" o:gfxdata="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wP71QAAAAYBAAAPAAAAAAAAAAEAIAAAACIAAABkcnMvZG93bnJldi54bWxQ&#10;SwECFAAUAAAACACHTuJART2VMTMCAABx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45FA5BD2">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7696" behindDoc="0" locked="0" layoutInCell="1" allowOverlap="1">
                      <wp:simplePos x="0" y="0"/>
                      <wp:positionH relativeFrom="column">
                        <wp:posOffset>169545</wp:posOffset>
                      </wp:positionH>
                      <wp:positionV relativeFrom="paragraph">
                        <wp:posOffset>53975</wp:posOffset>
                      </wp:positionV>
                      <wp:extent cx="75565" cy="75565"/>
                      <wp:effectExtent l="11430" t="7620" r="8255" b="12065"/>
                      <wp:wrapNone/>
                      <wp:docPr id="288" name="椭圆 28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4.25pt;height:5.95pt;width:5.95pt;z-index:251677696;mso-width-relative:page;mso-height-relative:page;" fillcolor="#FFFFFF" filled="t" stroked="t" coordsize="21600,21600" o:gfxdata="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6Q+U/UAAAABgEAAA8AAAAAAAAAAQAgAAAAIgAAAGRycy9kb3ducmV2LnhtbFBL&#10;AQIUABQAAAAIAIdO4kCetZrNMwIAAHEEAAAOAAAAAAAAAAEAIAAAACMBAABkcnMvZTJvRG9jLnht&#10;bFBLBQYAAAAABgAGAFkBAADIBQ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30A157B0">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9200" behindDoc="0" locked="0" layoutInCell="1" allowOverlap="1">
                      <wp:simplePos x="0" y="0"/>
                      <wp:positionH relativeFrom="column">
                        <wp:posOffset>121285</wp:posOffset>
                      </wp:positionH>
                      <wp:positionV relativeFrom="paragraph">
                        <wp:posOffset>24765</wp:posOffset>
                      </wp:positionV>
                      <wp:extent cx="95250" cy="95250"/>
                      <wp:effectExtent l="3175" t="6985" r="6350" b="2540"/>
                      <wp:wrapNone/>
                      <wp:docPr id="95" name="菱形 95"/>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9.55pt;margin-top:1.95pt;height:7.5pt;width:7.5pt;z-index:251699200;mso-width-relative:page;mso-height-relative:page;" fillcolor="#000000" filled="t" stroked="f" coordsize="21600,21600" o:gfxdata="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mS7gbVAAAABgEAAA8AAAAA&#10;AAAAAQAgAAAAIgAAAGRycy9kb3ducmV2LnhtbFBLAQIUABQAAAAIAIdO4kDNLABKFwIAACgEAAAO&#10;AAAAAAAAAAEAIAAAACQBAABkcnMvZTJvRG9jLnhtbFBLBQYAAAAABgAGAFkBAACtBQAAAAA=&#10;">
                      <v:fill on="t" focussize="0,0"/>
                      <v:stroke on="f"/>
                      <v:imagedata o:title=""/>
                      <o:lock v:ext="edit" aspectratio="f"/>
                    </v:shape>
                  </w:pict>
                </mc:Fallback>
              </mc:AlternateContent>
            </w:r>
            <w:r>
              <w:rPr>
                <w:rFonts w:hint="eastAsia"/>
                <w:sz w:val="21"/>
                <w:szCs w:val="21"/>
              </w:rPr>
              <w:t>S</w:t>
            </w:r>
          </w:p>
        </w:tc>
        <w:tc>
          <w:tcPr>
            <w:tcW w:w="522" w:type="pct"/>
            <w:tcBorders>
              <w:tl2br w:val="nil"/>
              <w:tr2bl w:val="nil"/>
            </w:tcBorders>
            <w:vAlign w:val="center"/>
          </w:tcPr>
          <w:p w14:paraId="38ADD0F5">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8656" behindDoc="0" locked="0" layoutInCell="1" allowOverlap="1">
                      <wp:simplePos x="0" y="0"/>
                      <wp:positionH relativeFrom="column">
                        <wp:posOffset>100330</wp:posOffset>
                      </wp:positionH>
                      <wp:positionV relativeFrom="paragraph">
                        <wp:posOffset>25400</wp:posOffset>
                      </wp:positionV>
                      <wp:extent cx="76200" cy="85725"/>
                      <wp:effectExtent l="12700" t="17145" r="15875" b="11430"/>
                      <wp:wrapNone/>
                      <wp:docPr id="94" name="等腰三角形 9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9pt;margin-top:2pt;height:6.75pt;width:6pt;z-index:251718656;mso-width-relative:page;mso-height-relative:page;" filled="f" stroked="t" coordsize="21600,21600" o:gfxdata="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oRxV61QAAAAYB&#10;AAAPAAAAAAAAAAEAIAAAACIAAABkcnMvZG93bnJldi54bWxQSwECFAAUAAAACACHTuJASOFYU1cC&#10;AACJBAAADgAAAAAAAAABACAAAAAkAQAAZHJzL2Uyb0RvYy54bWxQSwUGAAAAAAYABgBZAQAA7QUA&#10;AAAA&#10;" adj="10800">
                      <v:fill on="f" focussize="0,0"/>
                      <v:stroke weight="0.5pt" color="#000000" miterlimit="8" joinstyle="miter"/>
                      <v:imagedata o:title=""/>
                      <o:lock v:ext="edit" aspectratio="f"/>
                    </v:shape>
                  </w:pict>
                </mc:Fallback>
              </mc:AlternateContent>
            </w:r>
            <w:r>
              <w:rPr>
                <w:rFonts w:hint="eastAsia"/>
                <w:sz w:val="21"/>
                <w:szCs w:val="21"/>
              </w:rPr>
              <w:t>S</w:t>
            </w:r>
          </w:p>
        </w:tc>
        <w:tc>
          <w:tcPr>
            <w:tcW w:w="582" w:type="pct"/>
            <w:tcBorders>
              <w:tl2br w:val="nil"/>
              <w:tr2bl w:val="nil"/>
            </w:tcBorders>
            <w:vAlign w:val="center"/>
          </w:tcPr>
          <w:p w14:paraId="7F360E8F">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2032" behindDoc="0" locked="0" layoutInCell="1" allowOverlap="1">
                      <wp:simplePos x="0" y="0"/>
                      <wp:positionH relativeFrom="column">
                        <wp:posOffset>234950</wp:posOffset>
                      </wp:positionH>
                      <wp:positionV relativeFrom="paragraph">
                        <wp:posOffset>34925</wp:posOffset>
                      </wp:positionV>
                      <wp:extent cx="75565" cy="75565"/>
                      <wp:effectExtent l="10160" t="7620" r="9525" b="12065"/>
                      <wp:wrapNone/>
                      <wp:docPr id="93" name="椭圆 93"/>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8.5pt;margin-top:2.75pt;height:5.95pt;width:5.95pt;z-index:251692032;mso-width-relative:page;mso-height-relative:page;" fillcolor="#FFFFFF" filled="t" stroked="t" coordsize="21600,21600" o:gfxdata="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TGdW1gAAAAYBAAAPAAAAAAAAAAEAIAAAACIAAABkcnMvZG93bnJldi54bWxQ&#10;SwECFAAUAAAACACHTuJAdg0vnzICAABvBAAADgAAAAAAAAABACAAAAAlAQAAZHJzL2Uyb0RvYy54&#10;bWxQSwUGAAAAAAYABgBZAQAAyQU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57D96FB2">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22752" behindDoc="0" locked="0" layoutInCell="1" allowOverlap="1">
                      <wp:simplePos x="0" y="0"/>
                      <wp:positionH relativeFrom="column">
                        <wp:posOffset>137795</wp:posOffset>
                      </wp:positionH>
                      <wp:positionV relativeFrom="paragraph">
                        <wp:posOffset>25400</wp:posOffset>
                      </wp:positionV>
                      <wp:extent cx="76200" cy="85725"/>
                      <wp:effectExtent l="20955" t="17145" r="17145" b="11430"/>
                      <wp:wrapNone/>
                      <wp:docPr id="92" name="等腰三角形 9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2pt;height:6.75pt;width:6pt;z-index:251722752;mso-width-relative:page;mso-height-relative:page;" filled="f" stroked="t" coordsize="21600,21600" o:gfxdata="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yQFu1QAAAAYB&#10;AAAPAAAAAAAAAAEAIAAAACIAAABkcnMvZG93bnJldi54bWxQSwECFAAUAAAACACHTuJAj2rgolcC&#10;AACJBAAADgAAAAAAAAABACAAAAAkAQAAZHJzL2Uyb0RvYy54bWxQSwUGAAAAAAYABgBZAQAA7QUA&#10;AAAA&#10;" adj="10800">
                      <v:fill on="f" focussize="0,0"/>
                      <v:stroke weight="0.5pt" color="#000000" miterlimit="8" joinstyle="miter"/>
                      <v:imagedata o:title=""/>
                      <o:lock v:ext="edit" aspectratio="f"/>
                    </v:shape>
                  </w:pict>
                </mc:Fallback>
              </mc:AlternateContent>
            </w:r>
            <w:r>
              <w:rPr>
                <w:rFonts w:hint="eastAsia"/>
                <w:sz w:val="21"/>
                <w:szCs w:val="21"/>
              </w:rPr>
              <w:t>S</w:t>
            </w:r>
          </w:p>
        </w:tc>
      </w:tr>
      <w:tr w14:paraId="631C4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2935EE16">
            <w:pPr>
              <w:snapToGrid w:val="0"/>
              <w:spacing w:line="240" w:lineRule="auto"/>
              <w:ind w:firstLine="0" w:firstLineChars="0"/>
              <w:jc w:val="center"/>
              <w:rPr>
                <w:sz w:val="21"/>
                <w:szCs w:val="21"/>
              </w:rPr>
            </w:pPr>
          </w:p>
        </w:tc>
        <w:tc>
          <w:tcPr>
            <w:tcW w:w="968" w:type="pct"/>
            <w:gridSpan w:val="3"/>
            <w:tcBorders>
              <w:tl2br w:val="nil"/>
              <w:tr2bl w:val="nil"/>
            </w:tcBorders>
            <w:vAlign w:val="center"/>
          </w:tcPr>
          <w:p w14:paraId="14FB94CA">
            <w:pPr>
              <w:snapToGrid w:val="0"/>
              <w:spacing w:line="240" w:lineRule="auto"/>
              <w:ind w:firstLine="0" w:firstLineChars="0"/>
              <w:jc w:val="center"/>
              <w:rPr>
                <w:sz w:val="21"/>
                <w:szCs w:val="21"/>
              </w:rPr>
            </w:pPr>
            <w:r>
              <w:rPr>
                <w:rFonts w:hint="eastAsia"/>
                <w:sz w:val="21"/>
                <w:szCs w:val="21"/>
              </w:rPr>
              <w:t>车辆运输</w:t>
            </w:r>
          </w:p>
        </w:tc>
        <w:tc>
          <w:tcPr>
            <w:tcW w:w="503" w:type="pct"/>
            <w:tcBorders>
              <w:tl2br w:val="nil"/>
              <w:tr2bl w:val="nil"/>
            </w:tcBorders>
            <w:vAlign w:val="center"/>
          </w:tcPr>
          <w:p w14:paraId="1287D836">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1248" behindDoc="0" locked="0" layoutInCell="1" allowOverlap="1">
                      <wp:simplePos x="0" y="0"/>
                      <wp:positionH relativeFrom="column">
                        <wp:posOffset>93980</wp:posOffset>
                      </wp:positionH>
                      <wp:positionV relativeFrom="paragraph">
                        <wp:posOffset>17780</wp:posOffset>
                      </wp:positionV>
                      <wp:extent cx="76200" cy="85725"/>
                      <wp:effectExtent l="4445" t="8255" r="5080" b="1270"/>
                      <wp:wrapNone/>
                      <wp:docPr id="91" name="等腰三角形 9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4pt;margin-top:1.4pt;height:6.75pt;width:6pt;z-index:251701248;mso-width-relative:page;mso-height-relative:page;" fillcolor="#000000" filled="t" stroked="f" coordsize="21600,21600" o:gfxdata="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hoA5PRAAAABgEAAA8AAAAAAAAAAQAgAAAAIgAAAGRycy9k&#10;b3ducmV2LnhtbFBLAQIUABQAAAAIAIdO4kAXIAcqQgIAAF4EAAAOAAAAAAAAAAEAIAAAACABAABk&#10;cnMvZTJvRG9jLnhtbFBLBQYAAAAABgAGAFkBAADUBQAAAAA=&#10;" adj="10800">
                      <v:fill on="t" focussize="0,0"/>
                      <v:stroke on="f"/>
                      <v:imagedata o:title=""/>
                      <o:lock v:ext="edit" aspectratio="f"/>
                    </v:shape>
                  </w:pict>
                </mc:Fallback>
              </mc:AlternateContent>
            </w:r>
            <w:r>
              <w:rPr>
                <w:rFonts w:hint="eastAsia"/>
                <w:sz w:val="21"/>
                <w:szCs w:val="21"/>
              </w:rPr>
              <w:t>S</w:t>
            </w:r>
          </w:p>
        </w:tc>
        <w:tc>
          <w:tcPr>
            <w:tcW w:w="484" w:type="pct"/>
            <w:tcBorders>
              <w:tl2br w:val="nil"/>
              <w:tr2bl w:val="nil"/>
            </w:tcBorders>
            <w:vAlign w:val="center"/>
          </w:tcPr>
          <w:p w14:paraId="007E4665">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1552" behindDoc="0" locked="0" layoutInCell="1" allowOverlap="1">
                      <wp:simplePos x="0" y="0"/>
                      <wp:positionH relativeFrom="column">
                        <wp:posOffset>125730</wp:posOffset>
                      </wp:positionH>
                      <wp:positionV relativeFrom="paragraph">
                        <wp:posOffset>46355</wp:posOffset>
                      </wp:positionV>
                      <wp:extent cx="75565" cy="75565"/>
                      <wp:effectExtent l="12065" t="8255" r="7620" b="11430"/>
                      <wp:wrapNone/>
                      <wp:docPr id="90" name="椭圆 9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9pt;margin-top:3.65pt;height:5.95pt;width:5.95pt;z-index:251671552;mso-width-relative:page;mso-height-relative:page;" fillcolor="#FFFFFF" filled="t" stroked="t" coordsize="21600,21600" o:gfxdata="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iHfS7TAAAABgEAAA8AAAAAAAAAAQAgAAAAIgAAAGRycy9kb3ducmV2LnhtbFBLAQIU&#10;ABQAAAAIAIdO4kAVE6poMQIAAG8EAAAOAAAAAAAAAAEAIAAAACIBAABkcnMvZTJvRG9jLnhtbFBL&#10;BQYAAAAABgAGAFkBAADF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075F3BB4">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8720" behindDoc="0" locked="0" layoutInCell="1" allowOverlap="1">
                      <wp:simplePos x="0" y="0"/>
                      <wp:positionH relativeFrom="column">
                        <wp:posOffset>169545</wp:posOffset>
                      </wp:positionH>
                      <wp:positionV relativeFrom="paragraph">
                        <wp:posOffset>65405</wp:posOffset>
                      </wp:positionV>
                      <wp:extent cx="75565" cy="75565"/>
                      <wp:effectExtent l="11430" t="8255" r="8255" b="11430"/>
                      <wp:wrapNone/>
                      <wp:docPr id="89" name="椭圆 8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5.15pt;height:5.95pt;width:5.95pt;z-index:251678720;mso-width-relative:page;mso-height-relative:page;" fillcolor="#FFFFFF" filled="t" stroked="t" coordsize="21600,21600" o:gfxdata="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RwmyNQAAAAHAQAADwAAAAAAAAABACAAAAAiAAAAZHJzL2Rvd25yZXYueG1sUEsB&#10;AhQAFAAAAAgAh07iQKvRmY8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6B8225E8">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6368" behindDoc="0" locked="0" layoutInCell="1" allowOverlap="1">
                      <wp:simplePos x="0" y="0"/>
                      <wp:positionH relativeFrom="column">
                        <wp:posOffset>130810</wp:posOffset>
                      </wp:positionH>
                      <wp:positionV relativeFrom="paragraph">
                        <wp:posOffset>17780</wp:posOffset>
                      </wp:positionV>
                      <wp:extent cx="76200" cy="85725"/>
                      <wp:effectExtent l="3175" t="8255" r="6350" b="1270"/>
                      <wp:wrapNone/>
                      <wp:docPr id="88" name="等腰三角形 8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3pt;margin-top:1.4pt;height:6.75pt;width:6pt;z-index:251706368;mso-width-relative:page;mso-height-relative:page;" fillcolor="#000000" filled="t" stroked="f" coordsize="21600,21600" o:gfxdata="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3miSNMAAAAGAQAADwAAAAAAAAABACAAAAAiAAAAZHJz&#10;L2Rvd25yZXYueG1sUEsBAhQAFAAAAAgAh07iQAL3U+hCAgAAXgQAAA4AAAAAAAAAAQAgAAAAIgEA&#10;AGRycy9lMm9Eb2MueG1sUEsFBgAAAAAGAAYAWQEAANYFAAAAAA==&#10;" adj="10800">
                      <v:fill on="t" focussize="0,0"/>
                      <v:stroke on="f"/>
                      <v:imagedata o:title=""/>
                      <o:lock v:ext="edit" aspectratio="f"/>
                    </v:shape>
                  </w:pict>
                </mc:Fallback>
              </mc:AlternateContent>
            </w:r>
            <w:r>
              <w:rPr>
                <w:rFonts w:hint="eastAsia"/>
                <w:sz w:val="21"/>
                <w:szCs w:val="21"/>
              </w:rPr>
              <w:t>S</w:t>
            </w:r>
          </w:p>
        </w:tc>
        <w:tc>
          <w:tcPr>
            <w:tcW w:w="522" w:type="pct"/>
            <w:tcBorders>
              <w:tl2br w:val="nil"/>
              <w:tr2bl w:val="nil"/>
            </w:tcBorders>
            <w:vAlign w:val="center"/>
          </w:tcPr>
          <w:p w14:paraId="7AF51F7D">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6912" behindDoc="0" locked="0" layoutInCell="1" allowOverlap="1">
                      <wp:simplePos x="0" y="0"/>
                      <wp:positionH relativeFrom="column">
                        <wp:posOffset>184785</wp:posOffset>
                      </wp:positionH>
                      <wp:positionV relativeFrom="paragraph">
                        <wp:posOffset>46355</wp:posOffset>
                      </wp:positionV>
                      <wp:extent cx="75565" cy="75565"/>
                      <wp:effectExtent l="11430" t="8255" r="8255" b="11430"/>
                      <wp:wrapNone/>
                      <wp:docPr id="87" name="椭圆 8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55pt;margin-top:3.65pt;height:5.95pt;width:5.95pt;z-index:251686912;mso-width-relative:page;mso-height-relative:page;" fillcolor="#FFFFFF" filled="t" stroked="t" coordsize="21600,21600" o:gfxdata="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wwFNjVAAAABgEAAA8AAAAAAAAAAQAgAAAAIgAAAGRycy9kb3ducmV2LnhtbFBL&#10;AQIUABQAAAAIAIdO4kDnsGlC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28C5FDB7">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3056" behindDoc="0" locked="0" layoutInCell="1" allowOverlap="1">
                      <wp:simplePos x="0" y="0"/>
                      <wp:positionH relativeFrom="column">
                        <wp:posOffset>244475</wp:posOffset>
                      </wp:positionH>
                      <wp:positionV relativeFrom="paragraph">
                        <wp:posOffset>36830</wp:posOffset>
                      </wp:positionV>
                      <wp:extent cx="75565" cy="75565"/>
                      <wp:effectExtent l="10160" t="8255" r="9525" b="11430"/>
                      <wp:wrapNone/>
                      <wp:docPr id="86" name="椭圆 8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9.25pt;margin-top:2.9pt;height:5.95pt;width:5.95pt;z-index:251693056;mso-width-relative:page;mso-height-relative:page;" fillcolor="#FFFFFF" filled="t" stroked="t" coordsize="21600,21600" o:gfxdata="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he3cjVAAAABgEAAA8AAAAAAAAAAQAgAAAAIgAAAGRycy9kb3ducmV2LnhtbFBL&#10;AQIUABQAAAAIAIdO4kDGuuoQ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4EA32055">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9440" behindDoc="0" locked="0" layoutInCell="1" allowOverlap="1">
                      <wp:simplePos x="0" y="0"/>
                      <wp:positionH relativeFrom="column">
                        <wp:posOffset>128270</wp:posOffset>
                      </wp:positionH>
                      <wp:positionV relativeFrom="paragraph">
                        <wp:posOffset>-1270</wp:posOffset>
                      </wp:positionV>
                      <wp:extent cx="76200" cy="85725"/>
                      <wp:effectExtent l="1905" t="8255" r="7620" b="1270"/>
                      <wp:wrapNone/>
                      <wp:docPr id="85" name="等腰三角形 85"/>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1pt;margin-top:-0.1pt;height:6.75pt;width:6pt;z-index:251709440;mso-width-relative:page;mso-height-relative:page;" fillcolor="#000000" filled="t" stroked="f" coordsize="21600,21600" o:gfxdata="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o0Wo0gAAAAYBAAAPAAAAAAAAAAEAIAAAACIAAABkcnMv&#10;ZG93bnJldi54bWxQSwECFAAUAAAACACHTuJAeQ34rkICAABeBAAADgAAAAAAAAABACAAAAAhAQAA&#10;ZHJzL2Uyb0RvYy54bWxQSwUGAAAAAAYABgBZAQAA1QUAAAAA&#10;" adj="10800">
                      <v:fill on="t" focussize="0,0"/>
                      <v:stroke on="f"/>
                      <v:imagedata o:title=""/>
                      <o:lock v:ext="edit" aspectratio="f"/>
                    </v:shape>
                  </w:pict>
                </mc:Fallback>
              </mc:AlternateContent>
            </w:r>
            <w:r>
              <w:rPr>
                <w:rFonts w:hint="eastAsia"/>
                <w:sz w:val="21"/>
                <w:szCs w:val="21"/>
              </w:rPr>
              <w:t>S</w:t>
            </w:r>
          </w:p>
        </w:tc>
      </w:tr>
      <w:tr w14:paraId="7933F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restart"/>
            <w:tcBorders>
              <w:tl2br w:val="nil"/>
              <w:tr2bl w:val="nil"/>
            </w:tcBorders>
            <w:vAlign w:val="center"/>
          </w:tcPr>
          <w:p w14:paraId="4F0F8420">
            <w:pPr>
              <w:snapToGrid w:val="0"/>
              <w:spacing w:line="240" w:lineRule="auto"/>
              <w:ind w:firstLine="0" w:firstLineChars="0"/>
              <w:jc w:val="center"/>
              <w:rPr>
                <w:sz w:val="21"/>
                <w:szCs w:val="21"/>
              </w:rPr>
            </w:pPr>
            <w:r>
              <w:rPr>
                <w:sz w:val="21"/>
                <w:szCs w:val="21"/>
              </w:rPr>
              <w:t>运行期</w:t>
            </w:r>
          </w:p>
        </w:tc>
        <w:tc>
          <w:tcPr>
            <w:tcW w:w="391" w:type="pct"/>
            <w:gridSpan w:val="2"/>
            <w:vMerge w:val="restart"/>
            <w:tcBorders>
              <w:right w:val="single" w:color="auto" w:sz="4" w:space="0"/>
              <w:tl2br w:val="nil"/>
              <w:tr2bl w:val="nil"/>
            </w:tcBorders>
            <w:vAlign w:val="center"/>
          </w:tcPr>
          <w:p w14:paraId="214C8FA7">
            <w:pPr>
              <w:snapToGrid w:val="0"/>
              <w:spacing w:line="240" w:lineRule="auto"/>
              <w:ind w:firstLine="0" w:firstLineChars="0"/>
              <w:jc w:val="center"/>
              <w:rPr>
                <w:sz w:val="21"/>
                <w:szCs w:val="21"/>
              </w:rPr>
            </w:pPr>
            <w:r>
              <w:rPr>
                <w:rFonts w:hint="eastAsia"/>
                <w:sz w:val="21"/>
                <w:szCs w:val="21"/>
              </w:rPr>
              <w:t>场区</w:t>
            </w:r>
          </w:p>
        </w:tc>
        <w:tc>
          <w:tcPr>
            <w:tcW w:w="576" w:type="pct"/>
            <w:tcBorders>
              <w:left w:val="single" w:color="auto" w:sz="4" w:space="0"/>
              <w:tl2br w:val="nil"/>
              <w:tr2bl w:val="nil"/>
            </w:tcBorders>
            <w:vAlign w:val="center"/>
          </w:tcPr>
          <w:p w14:paraId="112FACD9">
            <w:pPr>
              <w:snapToGrid w:val="0"/>
              <w:spacing w:line="240" w:lineRule="auto"/>
              <w:ind w:firstLine="0" w:firstLineChars="0"/>
              <w:jc w:val="center"/>
              <w:rPr>
                <w:sz w:val="21"/>
                <w:szCs w:val="21"/>
              </w:rPr>
            </w:pPr>
            <w:r>
              <w:rPr>
                <w:rFonts w:hint="eastAsia"/>
                <w:sz w:val="21"/>
                <w:szCs w:val="21"/>
              </w:rPr>
              <w:t>工程废水</w:t>
            </w:r>
          </w:p>
        </w:tc>
        <w:tc>
          <w:tcPr>
            <w:tcW w:w="503" w:type="pct"/>
            <w:tcBorders>
              <w:tl2br w:val="nil"/>
              <w:tr2bl w:val="nil"/>
            </w:tcBorders>
            <w:vAlign w:val="center"/>
          </w:tcPr>
          <w:p w14:paraId="6D06B6A1">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2272" behindDoc="0" locked="0" layoutInCell="1" allowOverlap="1">
                      <wp:simplePos x="0" y="0"/>
                      <wp:positionH relativeFrom="column">
                        <wp:posOffset>113030</wp:posOffset>
                      </wp:positionH>
                      <wp:positionV relativeFrom="paragraph">
                        <wp:posOffset>19685</wp:posOffset>
                      </wp:positionV>
                      <wp:extent cx="76200" cy="85725"/>
                      <wp:effectExtent l="4445" t="8255" r="5080" b="1270"/>
                      <wp:wrapNone/>
                      <wp:docPr id="84" name="等腰三角形 8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pt;margin-top:1.55pt;height:6.75pt;width:6pt;z-index:251702272;mso-width-relative:page;mso-height-relative:page;" fillcolor="#000000" filled="t" stroked="f" coordsize="21600,21600" o:gfxdata="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h7D90gAAAAYBAAAPAAAAAAAAAAEAIAAAACIAAABkcnMv&#10;ZG93bnJldi54bWxQSwECFAAUAAAACACHTuJAFSJJc0ICAABeBAAADgAAAAAAAAABACAAAAAhAQAA&#10;ZHJzL2Uyb0RvYy54bWxQSwUGAAAAAAYABgBZAQAA1QUAAAAA&#10;" adj="10800">
                      <v:fill on="t" focussize="0,0"/>
                      <v:stroke on="f"/>
                      <v:imagedata o:title=""/>
                      <o:lock v:ext="edit" aspectratio="f"/>
                    </v:shape>
                  </w:pict>
                </mc:Fallback>
              </mc:AlternateContent>
            </w:r>
            <w:r>
              <w:rPr>
                <w:rFonts w:hint="eastAsia"/>
                <w:sz w:val="21"/>
                <w:szCs w:val="21"/>
              </w:rPr>
              <w:t>L</w:t>
            </w:r>
          </w:p>
        </w:tc>
        <w:tc>
          <w:tcPr>
            <w:tcW w:w="484" w:type="pct"/>
            <w:tcBorders>
              <w:tl2br w:val="nil"/>
              <w:tr2bl w:val="nil"/>
            </w:tcBorders>
            <w:vAlign w:val="center"/>
          </w:tcPr>
          <w:p w14:paraId="3599285D">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2576" behindDoc="0" locked="0" layoutInCell="1" allowOverlap="1">
                      <wp:simplePos x="0" y="0"/>
                      <wp:positionH relativeFrom="column">
                        <wp:posOffset>144780</wp:posOffset>
                      </wp:positionH>
                      <wp:positionV relativeFrom="paragraph">
                        <wp:posOffset>38735</wp:posOffset>
                      </wp:positionV>
                      <wp:extent cx="75565" cy="75565"/>
                      <wp:effectExtent l="12065" t="8255" r="7620" b="11430"/>
                      <wp:wrapNone/>
                      <wp:docPr id="83" name="椭圆 83"/>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3.05pt;height:5.95pt;width:5.95pt;z-index:251672576;mso-width-relative:page;mso-height-relative:page;" fillcolor="#FFFFFF" filled="t" stroked="t" coordsize="21600,21600" o:gfxdata="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oLEL1QAAAAYBAAAPAAAAAAAAAAEAIAAAACIAAABkcnMvZG93bnJldi54bWxQ&#10;SwECFAAUAAAACACHTuJAIp4U0zMCAABv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4FAE4496">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3536" behindDoc="0" locked="0" layoutInCell="1" allowOverlap="1">
                      <wp:simplePos x="0" y="0"/>
                      <wp:positionH relativeFrom="column">
                        <wp:posOffset>94615</wp:posOffset>
                      </wp:positionH>
                      <wp:positionV relativeFrom="paragraph">
                        <wp:posOffset>19685</wp:posOffset>
                      </wp:positionV>
                      <wp:extent cx="76200" cy="85725"/>
                      <wp:effectExtent l="12700" t="17780" r="15875" b="10795"/>
                      <wp:wrapNone/>
                      <wp:docPr id="82" name="等腰三角形 8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45pt;margin-top:1.55pt;height:6.75pt;width:6pt;z-index:251713536;mso-width-relative:page;mso-height-relative:page;" filled="f" stroked="t" coordsize="21600,21600" o:gfxdata="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9aGabV&#10;AAAABgEAAA8AAAAAAAAAAQAgAAAAIgAAAGRycy9kb3ducmV2LnhtbFBLAQIUABQAAAAIAIdO4kCb&#10;TMZiXAIAAJcEAAAOAAAAAAAAAAEAIAAAACQBAABkcnMvZTJvRG9jLnhtbFBLBQYAAAAABgAGAFkB&#10;AADyBQAAAAA=&#10;" adj="10800">
                      <v:fill on="f" focussize="0,0"/>
                      <v:stroke weight="0.5pt" color="#000000" miterlimit="8" joinstyle="miter"/>
                      <v:imagedata o:title=""/>
                      <o:lock v:ext="edit" aspectratio="f"/>
                    </v:shape>
                  </w:pict>
                </mc:Fallback>
              </mc:AlternateContent>
            </w:r>
            <w:r>
              <w:rPr>
                <w:rFonts w:hint="eastAsia"/>
                <w:sz w:val="21"/>
                <w:szCs w:val="21"/>
              </w:rPr>
              <w:t>L</w:t>
            </w:r>
          </w:p>
        </w:tc>
        <w:tc>
          <w:tcPr>
            <w:tcW w:w="536" w:type="pct"/>
            <w:tcBorders>
              <w:tl2br w:val="nil"/>
              <w:tr2bl w:val="nil"/>
            </w:tcBorders>
            <w:vAlign w:val="center"/>
          </w:tcPr>
          <w:p w14:paraId="6B8A0F4C">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3840" behindDoc="0" locked="0" layoutInCell="1" allowOverlap="1">
                      <wp:simplePos x="0" y="0"/>
                      <wp:positionH relativeFrom="column">
                        <wp:posOffset>205740</wp:posOffset>
                      </wp:positionH>
                      <wp:positionV relativeFrom="paragraph">
                        <wp:posOffset>38735</wp:posOffset>
                      </wp:positionV>
                      <wp:extent cx="75565" cy="75565"/>
                      <wp:effectExtent l="11430" t="8255" r="8255" b="11430"/>
                      <wp:wrapNone/>
                      <wp:docPr id="81" name="椭圆 8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pt;margin-top:3.05pt;height:5.95pt;width:5.95pt;z-index:251683840;mso-width-relative:page;mso-height-relative:page;" fillcolor="#FFFFFF" filled="t" stroked="t" coordsize="21600,21600" o:gfxdata="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TXUFLVAAAABgEAAA8AAAAAAAAAAQAgAAAAIgAAAGRycy9kb3ducmV2LnhtbFBL&#10;AQIUABQAAAAIAIdO4kBgihJ2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2A79CA86">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9680" behindDoc="0" locked="0" layoutInCell="1" allowOverlap="1">
                      <wp:simplePos x="0" y="0"/>
                      <wp:positionH relativeFrom="column">
                        <wp:posOffset>128905</wp:posOffset>
                      </wp:positionH>
                      <wp:positionV relativeFrom="paragraph">
                        <wp:posOffset>19685</wp:posOffset>
                      </wp:positionV>
                      <wp:extent cx="76200" cy="85725"/>
                      <wp:effectExtent l="12700" t="17780" r="15875" b="10795"/>
                      <wp:wrapNone/>
                      <wp:docPr id="80" name="等腰三角形 80"/>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15pt;margin-top:1.55pt;height:6.75pt;width:6pt;z-index:251719680;mso-width-relative:page;mso-height-relative:page;" filled="f" stroked="t" coordsize="21600,21600" o:gfxdata="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Y5jPXUAAAABgEA&#10;AA8AAAAAAAAAAQAgAAAAIgAAAGRycy9kb3ducmV2LnhtbFBLAQIUABQAAAAIAIdO4kBJQw9FVwIA&#10;AIkEAAAOAAAAAAAAAAEAIAAAACMBAABkcnMvZTJvRG9jLnhtbFBLBQYAAAAABgAGAFkBAADsBQAA&#10;AAA=&#10;" adj="10800">
                      <v:fill on="f" focussize="0,0"/>
                      <v:stroke weight="0.5pt" color="#000000" miterlimit="8" joinstyle="miter"/>
                      <v:imagedata o:title=""/>
                      <o:lock v:ext="edit" aspectratio="f"/>
                    </v:shape>
                  </w:pict>
                </mc:Fallback>
              </mc:AlternateContent>
            </w:r>
            <w:r>
              <w:rPr>
                <w:rFonts w:hint="eastAsia"/>
                <w:sz w:val="21"/>
                <w:szCs w:val="21"/>
              </w:rPr>
              <w:t>L</w:t>
            </w:r>
          </w:p>
        </w:tc>
        <w:tc>
          <w:tcPr>
            <w:tcW w:w="582" w:type="pct"/>
            <w:tcBorders>
              <w:tl2br w:val="nil"/>
              <w:tr2bl w:val="nil"/>
            </w:tcBorders>
            <w:vAlign w:val="center"/>
          </w:tcPr>
          <w:p w14:paraId="1D5B5085">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20704" behindDoc="0" locked="0" layoutInCell="1" allowOverlap="1">
                      <wp:simplePos x="0" y="0"/>
                      <wp:positionH relativeFrom="column">
                        <wp:posOffset>170180</wp:posOffset>
                      </wp:positionH>
                      <wp:positionV relativeFrom="paragraph">
                        <wp:posOffset>635</wp:posOffset>
                      </wp:positionV>
                      <wp:extent cx="76200" cy="85725"/>
                      <wp:effectExtent l="21590" t="17780" r="16510" b="10795"/>
                      <wp:wrapNone/>
                      <wp:docPr id="79" name="等腰三角形 7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3.4pt;margin-top:0.05pt;height:6.75pt;width:6pt;z-index:251720704;mso-width-relative:page;mso-height-relative:page;" filled="f" stroked="t" coordsize="21600,21600" o:gfxdata="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WYwbdMAAAAFAQAA&#10;DwAAAAAAAAABACAAAAAiAAAAZHJzL2Rvd25yZXYueG1sUEsBAhQAFAAAAAgAh07iQH43yBBXAgAA&#10;iQQAAA4AAAAAAAAAAQAgAAAAIgEAAGRycy9lMm9Eb2MueG1sUEsFBgAAAAAGAAYAWQEAAOsFAAAA&#10;AA==&#10;" adj="10800">
                      <v:fill on="f" focussize="0,0"/>
                      <v:stroke weight="0.5pt" color="#000000" miterlimit="8" joinstyle="miter"/>
                      <v:imagedata o:title=""/>
                      <o:lock v:ext="edit" aspectratio="f"/>
                    </v:shape>
                  </w:pict>
                </mc:Fallback>
              </mc:AlternateContent>
            </w:r>
            <w:r>
              <w:rPr>
                <w:rFonts w:hint="eastAsia"/>
                <w:sz w:val="21"/>
                <w:szCs w:val="21"/>
              </w:rPr>
              <w:t>L</w:t>
            </w:r>
          </w:p>
        </w:tc>
        <w:tc>
          <w:tcPr>
            <w:tcW w:w="573" w:type="pct"/>
            <w:tcBorders>
              <w:tl2br w:val="nil"/>
              <w:tr2bl w:val="nil"/>
            </w:tcBorders>
            <w:vAlign w:val="center"/>
          </w:tcPr>
          <w:p w14:paraId="532CCFFD">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0224" behindDoc="0" locked="0" layoutInCell="1" allowOverlap="1">
                      <wp:simplePos x="0" y="0"/>
                      <wp:positionH relativeFrom="column">
                        <wp:posOffset>137795</wp:posOffset>
                      </wp:positionH>
                      <wp:positionV relativeFrom="paragraph">
                        <wp:posOffset>28575</wp:posOffset>
                      </wp:positionV>
                      <wp:extent cx="95250" cy="95250"/>
                      <wp:effectExtent l="1905" t="7620" r="7620" b="1905"/>
                      <wp:wrapNone/>
                      <wp:docPr id="70" name="菱形 70"/>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0.85pt;margin-top:2.25pt;height:7.5pt;width:7.5pt;z-index:251700224;mso-width-relative:page;mso-height-relative:page;" fillcolor="#000000" filled="t" stroked="f" coordsize="21600,21600" o:gfxdata="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LB551gAAAAYBAAAPAAAA&#10;AAAAAAEAIAAAACIAAABkcnMvZG93bnJldi54bWxQSwECFAAUAAAACACHTuJAaiC75hcCAAAoBAAA&#10;DgAAAAAAAAABACAAAAAlAQAAZHJzL2Uyb0RvYy54bWxQSwUGAAAAAAYABgBZAQAArgUAAAAA&#10;">
                      <v:fill on="t" focussize="0,0"/>
                      <v:stroke on="f"/>
                      <v:imagedata o:title=""/>
                      <o:lock v:ext="edit" aspectratio="f"/>
                    </v:shape>
                  </w:pict>
                </mc:Fallback>
              </mc:AlternateContent>
            </w:r>
            <w:r>
              <w:rPr>
                <w:rFonts w:hint="eastAsia"/>
                <w:sz w:val="21"/>
                <w:szCs w:val="21"/>
              </w:rPr>
              <w:t>L</w:t>
            </w:r>
          </w:p>
        </w:tc>
      </w:tr>
      <w:tr w14:paraId="0AD40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597CB632">
            <w:pPr>
              <w:snapToGrid w:val="0"/>
              <w:spacing w:line="240" w:lineRule="auto"/>
              <w:ind w:firstLine="0" w:firstLineChars="0"/>
              <w:jc w:val="center"/>
              <w:rPr>
                <w:sz w:val="21"/>
                <w:szCs w:val="21"/>
              </w:rPr>
            </w:pPr>
          </w:p>
        </w:tc>
        <w:tc>
          <w:tcPr>
            <w:tcW w:w="391" w:type="pct"/>
            <w:gridSpan w:val="2"/>
            <w:vMerge w:val="continue"/>
            <w:tcBorders>
              <w:right w:val="single" w:color="auto" w:sz="4" w:space="0"/>
              <w:tl2br w:val="nil"/>
              <w:tr2bl w:val="nil"/>
            </w:tcBorders>
            <w:vAlign w:val="center"/>
          </w:tcPr>
          <w:p w14:paraId="20668E48">
            <w:pPr>
              <w:snapToGrid w:val="0"/>
              <w:spacing w:line="240" w:lineRule="auto"/>
              <w:ind w:firstLine="0" w:firstLineChars="0"/>
              <w:jc w:val="center"/>
              <w:rPr>
                <w:sz w:val="21"/>
                <w:szCs w:val="21"/>
              </w:rPr>
            </w:pPr>
          </w:p>
        </w:tc>
        <w:tc>
          <w:tcPr>
            <w:tcW w:w="576" w:type="pct"/>
            <w:tcBorders>
              <w:left w:val="single" w:color="auto" w:sz="4" w:space="0"/>
              <w:tl2br w:val="nil"/>
              <w:tr2bl w:val="nil"/>
            </w:tcBorders>
            <w:vAlign w:val="center"/>
          </w:tcPr>
          <w:p w14:paraId="196D2C23">
            <w:pPr>
              <w:snapToGrid w:val="0"/>
              <w:spacing w:line="240" w:lineRule="auto"/>
              <w:ind w:firstLine="0" w:firstLineChars="0"/>
              <w:jc w:val="center"/>
              <w:rPr>
                <w:sz w:val="21"/>
                <w:szCs w:val="21"/>
              </w:rPr>
            </w:pPr>
            <w:r>
              <w:rPr>
                <w:rFonts w:hint="eastAsia"/>
                <w:sz w:val="21"/>
                <w:szCs w:val="21"/>
              </w:rPr>
              <w:t>生产恶臭</w:t>
            </w:r>
          </w:p>
        </w:tc>
        <w:tc>
          <w:tcPr>
            <w:tcW w:w="503" w:type="pct"/>
            <w:tcBorders>
              <w:tl2br w:val="nil"/>
              <w:tr2bl w:val="nil"/>
            </w:tcBorders>
            <w:vAlign w:val="center"/>
          </w:tcPr>
          <w:p w14:paraId="0C42F53D">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3296" behindDoc="0" locked="0" layoutInCell="1" allowOverlap="1">
                      <wp:simplePos x="0" y="0"/>
                      <wp:positionH relativeFrom="column">
                        <wp:posOffset>113030</wp:posOffset>
                      </wp:positionH>
                      <wp:positionV relativeFrom="paragraph">
                        <wp:posOffset>11430</wp:posOffset>
                      </wp:positionV>
                      <wp:extent cx="76200" cy="85725"/>
                      <wp:effectExtent l="4445" t="7620" r="5080" b="1905"/>
                      <wp:wrapNone/>
                      <wp:docPr id="69" name="等腰三角形 6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pt;margin-top:0.9pt;height:6.75pt;width:6pt;z-index:251703296;mso-width-relative:page;mso-height-relative:page;" fillcolor="#000000" filled="t" stroked="f" coordsize="21600,21600" o:gfxdata="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pe2JjRAAAABgEAAA8AAAAAAAAAAQAgAAAAIgAAAGRycy9k&#10;b3ducmV2LnhtbFBLAQIUABQAAAAIAIdO4kDEfxk/QgIAAF4EAAAOAAAAAAAAAAEAIAAAACABAABk&#10;cnMvZTJvRG9jLnhtbFBLBQYAAAAABgAGAFkBAADUBQAAAAA=&#10;" adj="10800">
                      <v:fill on="t" focussize="0,0"/>
                      <v:stroke on="f"/>
                      <v:imagedata o:title=""/>
                      <o:lock v:ext="edit" aspectratio="f"/>
                    </v:shape>
                  </w:pict>
                </mc:Fallback>
              </mc:AlternateContent>
            </w:r>
            <w:r>
              <w:rPr>
                <w:rFonts w:hint="eastAsia"/>
                <w:sz w:val="21"/>
                <w:szCs w:val="21"/>
              </w:rPr>
              <w:t>L</w:t>
            </w:r>
          </w:p>
        </w:tc>
        <w:tc>
          <w:tcPr>
            <w:tcW w:w="484" w:type="pct"/>
            <w:tcBorders>
              <w:tl2br w:val="nil"/>
              <w:tr2bl w:val="nil"/>
            </w:tcBorders>
            <w:vAlign w:val="center"/>
          </w:tcPr>
          <w:p w14:paraId="7FC6D350">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4624" behindDoc="0" locked="0" layoutInCell="1" allowOverlap="1">
                      <wp:simplePos x="0" y="0"/>
                      <wp:positionH relativeFrom="column">
                        <wp:posOffset>144780</wp:posOffset>
                      </wp:positionH>
                      <wp:positionV relativeFrom="paragraph">
                        <wp:posOffset>49530</wp:posOffset>
                      </wp:positionV>
                      <wp:extent cx="75565" cy="75565"/>
                      <wp:effectExtent l="12065" t="7620" r="7620" b="12065"/>
                      <wp:wrapNone/>
                      <wp:docPr id="68" name="椭圆 6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3.9pt;height:5.95pt;width:5.95pt;z-index:251674624;mso-width-relative:page;mso-height-relative:page;" fillcolor="#FFFFFF" filled="t" stroked="t" coordsize="21600,21600" o:gfxdata="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dyQ7TVAAAABgEAAA8AAAAAAAAAAQAgAAAAIgAAAGRycy9kb3ducmV2LnhtbFBL&#10;AQIUABQAAAAIAIdO4kBQJr2iMgIAAG8EAAAOAAAAAAAAAAEAIAAAACQBAABkcnMvZTJvRG9jLnht&#10;bFBLBQYAAAAABgAGAFkBAADI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09A5A013">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9744" behindDoc="0" locked="0" layoutInCell="1" allowOverlap="1">
                      <wp:simplePos x="0" y="0"/>
                      <wp:positionH relativeFrom="column">
                        <wp:posOffset>169545</wp:posOffset>
                      </wp:positionH>
                      <wp:positionV relativeFrom="paragraph">
                        <wp:posOffset>59055</wp:posOffset>
                      </wp:positionV>
                      <wp:extent cx="75565" cy="75565"/>
                      <wp:effectExtent l="11430" t="7620" r="8255" b="12065"/>
                      <wp:wrapNone/>
                      <wp:docPr id="67" name="椭圆 6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4.65pt;height:5.95pt;width:5.95pt;z-index:251679744;mso-width-relative:page;mso-height-relative:page;" fillcolor="#FFFFFF" filled="t" stroked="t" coordsize="21600,21600" o:gfxdata="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Q7l7tQAAAAGAQAADwAAAAAAAAABACAAAAAiAAAAZHJzL2Rvd25yZXYueG1sUEsB&#10;AhQAFAAAAAgAh07iQD1Nzj0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31FA9DB1">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4864" behindDoc="0" locked="0" layoutInCell="1" allowOverlap="1">
                      <wp:simplePos x="0" y="0"/>
                      <wp:positionH relativeFrom="column">
                        <wp:posOffset>205740</wp:posOffset>
                      </wp:positionH>
                      <wp:positionV relativeFrom="paragraph">
                        <wp:posOffset>30480</wp:posOffset>
                      </wp:positionV>
                      <wp:extent cx="75565" cy="75565"/>
                      <wp:effectExtent l="11430" t="7620" r="8255" b="12065"/>
                      <wp:wrapNone/>
                      <wp:docPr id="66" name="椭圆 6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pt;margin-top:2.4pt;height:5.95pt;width:5.95pt;z-index:251684864;mso-width-relative:page;mso-height-relative:page;" fillcolor="#FFFFFF" filled="t" stroked="t" coordsize="21600,21600" o:gfxdata="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2a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4O3fXVAAAABgEAAA8AAAAAAAAAAQAgAAAAIgAAAGRycy9kb3ducmV2LnhtbFBL&#10;AQIUABQAAAAIAIdO4kAcR01v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76807041">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7936" behindDoc="0" locked="0" layoutInCell="1" allowOverlap="1">
                      <wp:simplePos x="0" y="0"/>
                      <wp:positionH relativeFrom="column">
                        <wp:posOffset>184785</wp:posOffset>
                      </wp:positionH>
                      <wp:positionV relativeFrom="paragraph">
                        <wp:posOffset>30480</wp:posOffset>
                      </wp:positionV>
                      <wp:extent cx="75565" cy="75565"/>
                      <wp:effectExtent l="11430" t="7620" r="8255" b="12065"/>
                      <wp:wrapNone/>
                      <wp:docPr id="65" name="椭圆 6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55pt;margin-top:2.4pt;height:5.95pt;width:5.95pt;z-index:251687936;mso-width-relative:page;mso-height-relative:page;" fillcolor="#FFFFFF" filled="t" stroked="t" coordsize="21600,21600" o:gfxdata="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Sl3v9UAAAAGAQAADwAAAAAAAAABACAAAAAiAAAAZHJzL2Rvd25yZXYueG1sUEsB&#10;AhQAFAAAAAgAh07iQH9ZyJgxAgAAbwQAAA4AAAAAAAAAAQAgAAAAJAEAAGRycy9lMm9Eb2MueG1s&#10;UEsFBgAAAAAGAAYAWQEAAMcFA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385F6F77">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4080" behindDoc="0" locked="0" layoutInCell="1" allowOverlap="1">
                      <wp:simplePos x="0" y="0"/>
                      <wp:positionH relativeFrom="column">
                        <wp:posOffset>196850</wp:posOffset>
                      </wp:positionH>
                      <wp:positionV relativeFrom="paragraph">
                        <wp:posOffset>49530</wp:posOffset>
                      </wp:positionV>
                      <wp:extent cx="75565" cy="75565"/>
                      <wp:effectExtent l="10160" t="7620" r="9525" b="12065"/>
                      <wp:wrapNone/>
                      <wp:docPr id="64" name="椭圆 6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5pt;margin-top:3.9pt;height:5.95pt;width:5.95pt;z-index:251694080;mso-width-relative:page;mso-height-relative:page;" fillcolor="#FFFFFF" filled="t" stroked="t" coordsize="21600,21600" o:gfxdata="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ya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HpxdfVAAAABgEAAA8AAAAAAAAAAQAgAAAAIgAAAGRycy9kb3ducmV2LnhtbFBL&#10;AQIUABQAAAAIAIdO4kBeU0vK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4043F9D4">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0464" behindDoc="0" locked="0" layoutInCell="1" allowOverlap="1">
                      <wp:simplePos x="0" y="0"/>
                      <wp:positionH relativeFrom="column">
                        <wp:posOffset>118745</wp:posOffset>
                      </wp:positionH>
                      <wp:positionV relativeFrom="paragraph">
                        <wp:posOffset>11430</wp:posOffset>
                      </wp:positionV>
                      <wp:extent cx="76200" cy="85725"/>
                      <wp:effectExtent l="1905" t="7620" r="7620" b="1905"/>
                      <wp:wrapNone/>
                      <wp:docPr id="31" name="等腰三角形 3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0.9pt;height:6.75pt;width:6pt;z-index:251710464;mso-width-relative:page;mso-height-relative:page;" fillcolor="#000000" filled="t" stroked="f" coordsize="21600,21600" o:gfxdata="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fQWTRAAAABgEAAA8AAAAAAAAAAQAgAAAAIgAAAGRycy9k&#10;b3ducmV2LnhtbFBLAQIUABQAAAAIAIdO4kCM8OvoQgIAAF4EAAAOAAAAAAAAAAEAIAAAACABAABk&#10;cnMvZTJvRG9jLnhtbFBLBQYAAAAABgAGAFkBAADUBQAAAAA=&#10;" adj="10800">
                      <v:fill on="t" focussize="0,0"/>
                      <v:stroke on="f"/>
                      <v:imagedata o:title=""/>
                      <o:lock v:ext="edit" aspectratio="f"/>
                    </v:shape>
                  </w:pict>
                </mc:Fallback>
              </mc:AlternateContent>
            </w:r>
            <w:r>
              <w:rPr>
                <w:rFonts w:hint="eastAsia"/>
                <w:sz w:val="21"/>
                <w:szCs w:val="21"/>
              </w:rPr>
              <w:t>L</w:t>
            </w:r>
          </w:p>
        </w:tc>
      </w:tr>
      <w:tr w14:paraId="32F41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03EDF70A">
            <w:pPr>
              <w:snapToGrid w:val="0"/>
              <w:spacing w:line="240" w:lineRule="auto"/>
              <w:ind w:firstLine="0" w:firstLineChars="0"/>
              <w:jc w:val="center"/>
              <w:rPr>
                <w:sz w:val="21"/>
                <w:szCs w:val="21"/>
              </w:rPr>
            </w:pPr>
          </w:p>
        </w:tc>
        <w:tc>
          <w:tcPr>
            <w:tcW w:w="391" w:type="pct"/>
            <w:gridSpan w:val="2"/>
            <w:vMerge w:val="continue"/>
            <w:tcBorders>
              <w:right w:val="single" w:color="auto" w:sz="4" w:space="0"/>
              <w:tl2br w:val="nil"/>
              <w:tr2bl w:val="nil"/>
            </w:tcBorders>
            <w:vAlign w:val="center"/>
          </w:tcPr>
          <w:p w14:paraId="5B2ADFA5">
            <w:pPr>
              <w:snapToGrid w:val="0"/>
              <w:spacing w:line="240" w:lineRule="auto"/>
              <w:ind w:firstLine="0" w:firstLineChars="0"/>
              <w:jc w:val="center"/>
              <w:rPr>
                <w:sz w:val="21"/>
                <w:szCs w:val="21"/>
              </w:rPr>
            </w:pPr>
          </w:p>
        </w:tc>
        <w:tc>
          <w:tcPr>
            <w:tcW w:w="576" w:type="pct"/>
            <w:tcBorders>
              <w:left w:val="single" w:color="auto" w:sz="4" w:space="0"/>
              <w:tl2br w:val="nil"/>
              <w:tr2bl w:val="nil"/>
            </w:tcBorders>
            <w:vAlign w:val="center"/>
          </w:tcPr>
          <w:p w14:paraId="16D2B2CE">
            <w:pPr>
              <w:snapToGrid w:val="0"/>
              <w:spacing w:line="240" w:lineRule="auto"/>
              <w:ind w:firstLine="0" w:firstLineChars="0"/>
              <w:jc w:val="center"/>
              <w:rPr>
                <w:sz w:val="21"/>
                <w:szCs w:val="21"/>
              </w:rPr>
            </w:pPr>
            <w:r>
              <w:rPr>
                <w:rFonts w:hint="eastAsia"/>
                <w:sz w:val="21"/>
                <w:szCs w:val="21"/>
              </w:rPr>
              <w:t>生产噪声</w:t>
            </w:r>
          </w:p>
        </w:tc>
        <w:tc>
          <w:tcPr>
            <w:tcW w:w="503" w:type="pct"/>
            <w:tcBorders>
              <w:tl2br w:val="nil"/>
              <w:tr2bl w:val="nil"/>
            </w:tcBorders>
            <w:vAlign w:val="center"/>
          </w:tcPr>
          <w:p w14:paraId="2C2257F6">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6672" behindDoc="0" locked="0" layoutInCell="1" allowOverlap="1">
                      <wp:simplePos x="0" y="0"/>
                      <wp:positionH relativeFrom="column">
                        <wp:posOffset>159385</wp:posOffset>
                      </wp:positionH>
                      <wp:positionV relativeFrom="paragraph">
                        <wp:posOffset>51435</wp:posOffset>
                      </wp:positionV>
                      <wp:extent cx="75565" cy="75565"/>
                      <wp:effectExtent l="12700" t="8255" r="6985" b="11430"/>
                      <wp:wrapNone/>
                      <wp:docPr id="30" name="椭圆 3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55pt;margin-top:4.05pt;height:5.95pt;width:5.95pt;z-index:251676672;mso-width-relative:page;mso-height-relative:page;" fillcolor="#FFFFFF" filled="t" stroked="t" coordsize="21600,21600" o:gfxdata="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mFtyLVAAAABgEAAA8AAAAAAAAAAQAgAAAAIgAAAGRycy9kb3ducmV2LnhtbFBL&#10;AQIUABQAAAAIAIdO4kDepZL8MgIAAG8EAAAOAAAAAAAAAAEAIAAAACQBAABkcnMvZTJvRG9jLnht&#10;bFBLBQYAAAAABgAGAFkBAADIBQAAAAA=&#10;">
                      <v:fill on="t" focussize="0,0"/>
                      <v:stroke color="#000000" joinstyle="round"/>
                      <v:imagedata o:title=""/>
                      <o:lock v:ext="edit" aspectratio="f"/>
                    </v:shape>
                  </w:pict>
                </mc:Fallback>
              </mc:AlternateContent>
            </w:r>
          </w:p>
        </w:tc>
        <w:tc>
          <w:tcPr>
            <w:tcW w:w="484" w:type="pct"/>
            <w:tcBorders>
              <w:tl2br w:val="nil"/>
              <w:tr2bl w:val="nil"/>
            </w:tcBorders>
            <w:vAlign w:val="center"/>
          </w:tcPr>
          <w:p w14:paraId="3C954B03">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3600" behindDoc="0" locked="0" layoutInCell="1" allowOverlap="1">
                      <wp:simplePos x="0" y="0"/>
                      <wp:positionH relativeFrom="column">
                        <wp:posOffset>163830</wp:posOffset>
                      </wp:positionH>
                      <wp:positionV relativeFrom="paragraph">
                        <wp:posOffset>32385</wp:posOffset>
                      </wp:positionV>
                      <wp:extent cx="75565" cy="75565"/>
                      <wp:effectExtent l="12065" t="8255" r="7620" b="11430"/>
                      <wp:wrapNone/>
                      <wp:docPr id="29" name="椭圆 2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9pt;margin-top:2.55pt;height:5.95pt;width:5.95pt;z-index:251673600;mso-width-relative:page;mso-height-relative:page;" fillcolor="#FFFFFF" filled="t" stroked="t" coordsize="21600,21600" o:gfxdata="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moaH9QAAAAGAQAADwAAAAAAAAABACAAAAAiAAAAZHJzL2Rvd25yZXYueG1sUEsB&#10;AhQAFAAAAAgAh07iQGBnoRsyAgAAbwQAAA4AAAAAAAAAAQAgAAAAIwEAAGRycy9lMm9Eb2MueG1s&#10;UEsFBgAAAAAGAAYAWQEAAMcFA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466B9957">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0768" behindDoc="0" locked="0" layoutInCell="1" allowOverlap="1">
                      <wp:simplePos x="0" y="0"/>
                      <wp:positionH relativeFrom="column">
                        <wp:posOffset>179070</wp:posOffset>
                      </wp:positionH>
                      <wp:positionV relativeFrom="paragraph">
                        <wp:posOffset>41910</wp:posOffset>
                      </wp:positionV>
                      <wp:extent cx="75565" cy="75565"/>
                      <wp:effectExtent l="11430" t="8255" r="8255" b="11430"/>
                      <wp:wrapNone/>
                      <wp:docPr id="28" name="椭圆 2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1pt;margin-top:3.3pt;height:5.95pt;width:5.95pt;z-index:251680768;mso-width-relative:page;mso-height-relative:page;" fillcolor="#FFFFFF" filled="t" stroked="t" coordsize="21600,21600" o:gfxdata="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wWfUt+t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soNdQAAAAGAQAADwAAAAAAAAABACAAAAAiAAAAZHJzL2Rvd25yZXYueG1sUEsB&#10;AhQAFAAAAAgAh07iQEFtIkk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28E683FC">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8176" behindDoc="0" locked="0" layoutInCell="1" allowOverlap="1">
                      <wp:simplePos x="0" y="0"/>
                      <wp:positionH relativeFrom="column">
                        <wp:posOffset>102235</wp:posOffset>
                      </wp:positionH>
                      <wp:positionV relativeFrom="paragraph">
                        <wp:posOffset>31750</wp:posOffset>
                      </wp:positionV>
                      <wp:extent cx="95250" cy="95250"/>
                      <wp:effectExtent l="3175" t="7620" r="6350" b="1905"/>
                      <wp:wrapNone/>
                      <wp:docPr id="27" name="菱形 27"/>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8.05pt;margin-top:2.5pt;height:7.5pt;width:7.5pt;z-index:251698176;mso-width-relative:page;mso-height-relative:page;" fillcolor="#000000" filled="t" stroked="f" coordsize="21600,21600" o:gfxdata="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ZoF67VAAAABgEAAA8AAAAA&#10;AAAAAQAgAAAAIgAAAGRycy9kb3ducmV2LnhtbFBLAQIUABQAAAAIAIdO4kC+HJdaFwIAACgEAAAO&#10;AAAAAAAAAAEAIAAAACQBAABkcnMvZTJvRG9jLnhtbFBLBQYAAAAABgAGAFkBAACtBQAAAAA=&#10;">
                      <v:fill on="t" focussize="0,0"/>
                      <v:stroke on="f"/>
                      <v:imagedata o:title=""/>
                      <o:lock v:ext="edit" aspectratio="f"/>
                    </v:shape>
                  </w:pict>
                </mc:Fallback>
              </mc:AlternateContent>
            </w:r>
            <w:r>
              <w:rPr>
                <w:rFonts w:hint="eastAsia"/>
                <w:sz w:val="21"/>
                <w:szCs w:val="21"/>
              </w:rPr>
              <w:t>L</w:t>
            </w:r>
          </w:p>
        </w:tc>
        <w:tc>
          <w:tcPr>
            <w:tcW w:w="522" w:type="pct"/>
            <w:tcBorders>
              <w:tl2br w:val="nil"/>
              <w:tr2bl w:val="nil"/>
            </w:tcBorders>
            <w:vAlign w:val="center"/>
          </w:tcPr>
          <w:p w14:paraId="2E622B2C">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8960" behindDoc="0" locked="0" layoutInCell="1" allowOverlap="1">
                      <wp:simplePos x="0" y="0"/>
                      <wp:positionH relativeFrom="column">
                        <wp:posOffset>194310</wp:posOffset>
                      </wp:positionH>
                      <wp:positionV relativeFrom="paragraph">
                        <wp:posOffset>41910</wp:posOffset>
                      </wp:positionV>
                      <wp:extent cx="75565" cy="75565"/>
                      <wp:effectExtent l="11430" t="8255" r="8255" b="11430"/>
                      <wp:wrapNone/>
                      <wp:docPr id="26" name="椭圆 2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3pt;margin-top:3.3pt;height:5.95pt;width:5.95pt;z-index:251688960;mso-width-relative:page;mso-height-relative:page;" fillcolor="#FFFFFF" filled="t" stroked="t" coordsize="21600,21600" o:gfxdata="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j2e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eGU8HVAAAABgEAAA8AAAAAAAAAAQAgAAAAIgAAAGRycy9kb3ducmV2LnhtbFBL&#10;AQIUABQAAAAIAIdO4kANDNKE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071EFB8C">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5104" behindDoc="0" locked="0" layoutInCell="1" allowOverlap="1">
                      <wp:simplePos x="0" y="0"/>
                      <wp:positionH relativeFrom="column">
                        <wp:posOffset>244475</wp:posOffset>
                      </wp:positionH>
                      <wp:positionV relativeFrom="paragraph">
                        <wp:posOffset>41910</wp:posOffset>
                      </wp:positionV>
                      <wp:extent cx="75565" cy="75565"/>
                      <wp:effectExtent l="10160" t="8255" r="9525" b="11430"/>
                      <wp:wrapNone/>
                      <wp:docPr id="25" name="椭圆 2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9.25pt;margin-top:3.3pt;height:5.95pt;width:5.95pt;z-index:251695104;mso-width-relative:page;mso-height-relative:page;" fillcolor="#FFFFFF" filled="t" stroked="t" coordsize="21600,21600" o:gfxdata="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IiEotQAAAAGAQAADwAAAAAAAAABACAAAAAiAAAAZHJzL2Rvd25yZXYueG1sUEsB&#10;AhQAFAAAAAgAh07iQG4SV3MyAgAAbwQAAA4AAAAAAAAAAQAgAAAAIwEAAGRycy9lMm9Eb2MueG1s&#10;UEsFBgAAAAAGAAYAWQEAAMcFA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4AA4E50D">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1488" behindDoc="0" locked="0" layoutInCell="1" allowOverlap="1">
                      <wp:simplePos x="0" y="0"/>
                      <wp:positionH relativeFrom="column">
                        <wp:posOffset>118745</wp:posOffset>
                      </wp:positionH>
                      <wp:positionV relativeFrom="paragraph">
                        <wp:posOffset>13335</wp:posOffset>
                      </wp:positionV>
                      <wp:extent cx="76200" cy="85725"/>
                      <wp:effectExtent l="1905" t="8255" r="7620" b="1270"/>
                      <wp:wrapNone/>
                      <wp:docPr id="24" name="等腰三角形 2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1.05pt;height:6.75pt;width:6pt;z-index:251711488;mso-width-relative:page;mso-height-relative:page;" fillcolor="#000000" filled="t" stroked="f" coordsize="21600,21600" o:gfxdata="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p/wO9IAAAAGAQAADwAAAAAAAAABACAAAAAiAAAAZHJz&#10;L2Rvd25yZXYueG1sUEsBAhQAFAAAAAgAh07iQI7ypbFDAgAAXgQAAA4AAAAAAAAAAQAgAAAAIQEA&#10;AGRycy9lMm9Eb2MueG1sUEsFBgAAAAAGAAYAWQEAANYFAAAAAA==&#10;" adj="10800">
                      <v:fill on="t" focussize="0,0"/>
                      <v:stroke on="f"/>
                      <v:imagedata o:title=""/>
                      <o:lock v:ext="edit" aspectratio="f"/>
                    </v:shape>
                  </w:pict>
                </mc:Fallback>
              </mc:AlternateContent>
            </w:r>
            <w:r>
              <w:rPr>
                <w:rFonts w:hint="eastAsia"/>
                <w:sz w:val="21"/>
                <w:szCs w:val="21"/>
              </w:rPr>
              <w:t>L</w:t>
            </w:r>
          </w:p>
        </w:tc>
      </w:tr>
      <w:tr w14:paraId="7F721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582D6E22">
            <w:pPr>
              <w:snapToGrid w:val="0"/>
              <w:spacing w:line="240" w:lineRule="auto"/>
              <w:ind w:firstLine="0" w:firstLineChars="0"/>
              <w:jc w:val="center"/>
              <w:rPr>
                <w:sz w:val="21"/>
                <w:szCs w:val="21"/>
              </w:rPr>
            </w:pPr>
          </w:p>
        </w:tc>
        <w:tc>
          <w:tcPr>
            <w:tcW w:w="968" w:type="pct"/>
            <w:gridSpan w:val="3"/>
            <w:tcBorders>
              <w:tl2br w:val="nil"/>
              <w:tr2bl w:val="nil"/>
            </w:tcBorders>
            <w:vAlign w:val="center"/>
          </w:tcPr>
          <w:p w14:paraId="61E7032A">
            <w:pPr>
              <w:snapToGrid w:val="0"/>
              <w:spacing w:line="240" w:lineRule="auto"/>
              <w:ind w:firstLine="0" w:firstLineChars="0"/>
              <w:jc w:val="center"/>
              <w:rPr>
                <w:sz w:val="21"/>
                <w:szCs w:val="21"/>
              </w:rPr>
            </w:pPr>
            <w:r>
              <w:rPr>
                <w:rFonts w:hint="eastAsia"/>
                <w:sz w:val="21"/>
                <w:szCs w:val="21"/>
              </w:rPr>
              <w:t>固废综合利用</w:t>
            </w:r>
          </w:p>
        </w:tc>
        <w:tc>
          <w:tcPr>
            <w:tcW w:w="503" w:type="pct"/>
            <w:tcBorders>
              <w:tl2br w:val="nil"/>
              <w:tr2bl w:val="nil"/>
            </w:tcBorders>
            <w:vAlign w:val="center"/>
          </w:tcPr>
          <w:p w14:paraId="767142EA">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7152" behindDoc="0" locked="0" layoutInCell="1" allowOverlap="1">
                      <wp:simplePos x="0" y="0"/>
                      <wp:positionH relativeFrom="column">
                        <wp:posOffset>63500</wp:posOffset>
                      </wp:positionH>
                      <wp:positionV relativeFrom="paragraph">
                        <wp:posOffset>24130</wp:posOffset>
                      </wp:positionV>
                      <wp:extent cx="95250" cy="95250"/>
                      <wp:effectExtent l="2540" t="7620" r="6985" b="1905"/>
                      <wp:wrapNone/>
                      <wp:docPr id="23" name="菱形 23"/>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5pt;margin-top:1.9pt;height:7.5pt;width:7.5pt;z-index:251697152;mso-width-relative:page;mso-height-relative:page;" fillcolor="#000000" filled="t" stroked="f" coordsize="21600,21600" o:gfxdata="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1iqHVAAAABgEAAA8AAAAA&#10;AAAAAQAgAAAAIgAAAGRycy9kb3ducmV2LnhtbFBLAQIUABQAAAAIAIdO4kA7JPJfFwIAACgEAAAO&#10;AAAAAAAAAAEAIAAAACQBAABkcnMvZTJvRG9jLnhtbFBLBQYAAAAABgAGAFkBAACtBQAAAAA=&#10;">
                      <v:fill on="t" focussize="0,0"/>
                      <v:stroke on="f"/>
                      <v:imagedata o:title=""/>
                      <o:lock v:ext="edit" aspectratio="f"/>
                    </v:shape>
                  </w:pict>
                </mc:Fallback>
              </mc:AlternateContent>
            </w:r>
            <w:r>
              <w:rPr>
                <w:rFonts w:hint="eastAsia"/>
                <w:sz w:val="21"/>
                <w:szCs w:val="21"/>
              </w:rPr>
              <w:t>L</w:t>
            </w:r>
          </w:p>
        </w:tc>
        <w:tc>
          <w:tcPr>
            <w:tcW w:w="484" w:type="pct"/>
            <w:tcBorders>
              <w:tl2br w:val="nil"/>
              <w:tr2bl w:val="nil"/>
            </w:tcBorders>
            <w:vAlign w:val="center"/>
          </w:tcPr>
          <w:p w14:paraId="7220F0FC">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4560" behindDoc="0" locked="0" layoutInCell="1" allowOverlap="1">
                      <wp:simplePos x="0" y="0"/>
                      <wp:positionH relativeFrom="column">
                        <wp:posOffset>117475</wp:posOffset>
                      </wp:positionH>
                      <wp:positionV relativeFrom="paragraph">
                        <wp:posOffset>24765</wp:posOffset>
                      </wp:positionV>
                      <wp:extent cx="76200" cy="85725"/>
                      <wp:effectExtent l="13335" t="17780" r="15240" b="10795"/>
                      <wp:wrapNone/>
                      <wp:docPr id="22" name="等腰三角形 2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25pt;margin-top:1.95pt;height:6.75pt;width:6pt;z-index:251714560;mso-width-relative:page;mso-height-relative:page;" filled="f" stroked="t" coordsize="21600,21600" o:gfxdata="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uErytYAAAAG&#10;AQAADwAAAAAAAAABACAAAAAiAAAAZHJzL2Rvd25yZXYueG1sUEsBAhQAFAAAAAgAh07iQFz1ihtX&#10;AgAAiQQAAA4AAAAAAAAAAQAgAAAAJQEAAGRycy9lMm9Eb2MueG1sUEsFBgAAAAAGAAYAWQEAAO4F&#10;AAAAAA==&#10;" adj="10800">
                      <v:fill on="f" focussize="0,0"/>
                      <v:stroke weight="0.5pt" color="#000000" miterlimit="8" joinstyle="miter"/>
                      <v:imagedata o:title=""/>
                      <o:lock v:ext="edit" aspectratio="f"/>
                    </v:shape>
                  </w:pict>
                </mc:Fallback>
              </mc:AlternateContent>
            </w:r>
            <w:r>
              <w:rPr>
                <w:rFonts w:hint="eastAsia"/>
                <w:sz w:val="21"/>
                <w:szCs w:val="21"/>
              </w:rPr>
              <w:t>L</w:t>
            </w:r>
          </w:p>
        </w:tc>
        <w:tc>
          <w:tcPr>
            <w:tcW w:w="518" w:type="pct"/>
            <w:tcBorders>
              <w:tl2br w:val="nil"/>
              <w:tr2bl w:val="nil"/>
            </w:tcBorders>
            <w:vAlign w:val="center"/>
          </w:tcPr>
          <w:p w14:paraId="74C9D5A0">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5584" behindDoc="0" locked="0" layoutInCell="1" allowOverlap="1">
                      <wp:simplePos x="0" y="0"/>
                      <wp:positionH relativeFrom="column">
                        <wp:posOffset>104140</wp:posOffset>
                      </wp:positionH>
                      <wp:positionV relativeFrom="paragraph">
                        <wp:posOffset>34290</wp:posOffset>
                      </wp:positionV>
                      <wp:extent cx="76200" cy="85725"/>
                      <wp:effectExtent l="12700" t="17780" r="15875" b="10795"/>
                      <wp:wrapNone/>
                      <wp:docPr id="21" name="等腰三角形 2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2pt;margin-top:2.7pt;height:6.75pt;width:6pt;z-index:251715584;mso-width-relative:page;mso-height-relative:page;" filled="f" stroked="t" coordsize="21600,21600" o:gfxdata="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DAWeNQAAAAG&#10;AQAADwAAAAAAAAABACAAAAAiAAAAZHJzL2Rvd25yZXYueG1sUEsBAhQAFAAAAAgAh07iQJ8z7o5Z&#10;AgAAiQQAAA4AAAAAAAAAAQAgAAAAIwEAAGRycy9lMm9Eb2MueG1sUEsFBgAAAAAGAAYAWQEAAO4F&#10;AAAAAA==&#10;" adj="10800">
                      <v:fill on="f" focussize="0,0"/>
                      <v:stroke weight="0.5pt" color="#000000" miterlimit="8" joinstyle="miter"/>
                      <v:imagedata o:title=""/>
                      <o:lock v:ext="edit" aspectratio="f"/>
                    </v:shape>
                  </w:pict>
                </mc:Fallback>
              </mc:AlternateContent>
            </w:r>
            <w:r>
              <w:rPr>
                <w:rFonts w:hint="eastAsia"/>
                <w:sz w:val="21"/>
                <w:szCs w:val="21"/>
              </w:rPr>
              <w:t>L</w:t>
            </w:r>
          </w:p>
        </w:tc>
        <w:tc>
          <w:tcPr>
            <w:tcW w:w="536" w:type="pct"/>
            <w:tcBorders>
              <w:tl2br w:val="nil"/>
              <w:tr2bl w:val="nil"/>
            </w:tcBorders>
            <w:vAlign w:val="center"/>
          </w:tcPr>
          <w:p w14:paraId="7E15527B">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5888" behindDoc="0" locked="0" layoutInCell="1" allowOverlap="1">
                      <wp:simplePos x="0" y="0"/>
                      <wp:positionH relativeFrom="column">
                        <wp:posOffset>196215</wp:posOffset>
                      </wp:positionH>
                      <wp:positionV relativeFrom="paragraph">
                        <wp:posOffset>24765</wp:posOffset>
                      </wp:positionV>
                      <wp:extent cx="75565" cy="75565"/>
                      <wp:effectExtent l="11430" t="8255" r="8255" b="11430"/>
                      <wp:wrapNone/>
                      <wp:docPr id="20" name="椭圆 2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45pt;margin-top:1.95pt;height:5.95pt;width:5.95pt;z-index:251685888;mso-width-relative:page;mso-height-relative:page;" fillcolor="#FFFFFF" filled="t" stroked="t" coordsize="21600,21600" o:gfxdata="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hQnzHVAAAABgEAAA8AAAAAAAAAAQAgAAAAIgAAAGRycy9kb3ducmV2LnhtbFBL&#10;AQIUABQAAAAIAIdO4kCKNqmw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130A4687">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9984" behindDoc="0" locked="0" layoutInCell="1" allowOverlap="1">
                      <wp:simplePos x="0" y="0"/>
                      <wp:positionH relativeFrom="column">
                        <wp:posOffset>203835</wp:posOffset>
                      </wp:positionH>
                      <wp:positionV relativeFrom="paragraph">
                        <wp:posOffset>43815</wp:posOffset>
                      </wp:positionV>
                      <wp:extent cx="75565" cy="75565"/>
                      <wp:effectExtent l="11430" t="8255" r="8255" b="11430"/>
                      <wp:wrapNone/>
                      <wp:docPr id="19" name="椭圆 1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5pt;margin-top:3.45pt;height:5.95pt;width:5.95pt;z-index:251689984;mso-width-relative:page;mso-height-relative:page;" fillcolor="#FFFFFF" filled="t" stroked="t" coordsize="21600,21600" o:gfxdata="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LbbGrVAAAABgEAAA8AAAAAAAAAAQAgAAAAIgAAAGRycy9kb3ducmV2LnhtbFBL&#10;AQIUABQAAAAIAIdO4kCc0u3P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0C4056AE">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24800" behindDoc="0" locked="0" layoutInCell="1" allowOverlap="1">
                      <wp:simplePos x="0" y="0"/>
                      <wp:positionH relativeFrom="column">
                        <wp:posOffset>151130</wp:posOffset>
                      </wp:positionH>
                      <wp:positionV relativeFrom="paragraph">
                        <wp:posOffset>15240</wp:posOffset>
                      </wp:positionV>
                      <wp:extent cx="76200" cy="85725"/>
                      <wp:effectExtent l="21590" t="17780" r="16510" b="10795"/>
                      <wp:wrapNone/>
                      <wp:docPr id="18" name="等腰三角形 1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1.9pt;margin-top:1.2pt;height:6.75pt;width:6pt;z-index:251724800;mso-width-relative:page;mso-height-relative:page;" filled="f" stroked="t" coordsize="21600,21600" o:gfxdata="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t5FRtUAAAAGAQAA&#10;DwAAAAAAAAABACAAAAAiAAAAZHJzL2Rvd25yZXYueG1sUEsBAhQAFAAAAAgAh07iQJiYytBVAgAA&#10;iQQAAA4AAAAAAAAAAQAgAAAAJAEAAGRycy9lMm9Eb2MueG1sUEsFBgAAAAAGAAYAWQEAAOsFAAAA&#10;AA==&#10;" adj="10800">
                      <v:fill on="f" focussize="0,0"/>
                      <v:stroke weight="0.5pt" color="#000000" miterlimit="8" joinstyle="miter"/>
                      <v:imagedata o:title=""/>
                      <o:lock v:ext="edit" aspectratio="f"/>
                    </v:shape>
                  </w:pict>
                </mc:Fallback>
              </mc:AlternateContent>
            </w:r>
            <w:r>
              <w:rPr>
                <w:rFonts w:hint="eastAsia"/>
                <w:sz w:val="21"/>
                <w:szCs w:val="21"/>
              </w:rPr>
              <w:t>L</w:t>
            </w:r>
          </w:p>
        </w:tc>
        <w:tc>
          <w:tcPr>
            <w:tcW w:w="573" w:type="pct"/>
            <w:tcBorders>
              <w:tl2br w:val="nil"/>
              <w:tr2bl w:val="nil"/>
            </w:tcBorders>
            <w:vAlign w:val="center"/>
          </w:tcPr>
          <w:p w14:paraId="1B49F614">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23776" behindDoc="0" locked="0" layoutInCell="1" allowOverlap="1">
                      <wp:simplePos x="0" y="0"/>
                      <wp:positionH relativeFrom="column">
                        <wp:posOffset>137795</wp:posOffset>
                      </wp:positionH>
                      <wp:positionV relativeFrom="paragraph">
                        <wp:posOffset>15240</wp:posOffset>
                      </wp:positionV>
                      <wp:extent cx="76200" cy="85725"/>
                      <wp:effectExtent l="20955" t="17780" r="17145" b="10795"/>
                      <wp:wrapNone/>
                      <wp:docPr id="17" name="等腰三角形 17"/>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1.2pt;height:6.75pt;width:6pt;z-index:251723776;mso-width-relative:page;mso-height-relative:page;" filled="f" stroked="t" coordsize="21600,21600" o:gfxdata="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ULXAXVAAAABgEA&#10;AA8AAAAAAAAAAQAgAAAAIgAAAGRycy9kb3ducmV2LnhtbFBLAQIUABQAAAAIAIdO4kCUT659VgIA&#10;AIkEAAAOAAAAAAAAAAEAIAAAACQBAABkcnMvZTJvRG9jLnhtbFBLBQYAAAAABgAGAFkBAADsBQAA&#10;AAA=&#10;" adj="10800">
                      <v:fill on="f" focussize="0,0"/>
                      <v:stroke weight="0.5pt" color="#000000" miterlimit="8" joinstyle="miter"/>
                      <v:imagedata o:title=""/>
                      <o:lock v:ext="edit" aspectratio="f"/>
                    </v:shape>
                  </w:pict>
                </mc:Fallback>
              </mc:AlternateContent>
            </w:r>
            <w:r>
              <w:rPr>
                <w:rFonts w:hint="eastAsia"/>
                <w:sz w:val="21"/>
                <w:szCs w:val="21"/>
              </w:rPr>
              <w:t>L</w:t>
            </w:r>
          </w:p>
        </w:tc>
      </w:tr>
      <w:tr w14:paraId="28E1B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36" w:type="pct"/>
          <w:trHeight w:val="20" w:hRule="atLeast"/>
          <w:jc w:val="center"/>
        </w:trPr>
        <w:tc>
          <w:tcPr>
            <w:tcW w:w="275" w:type="pct"/>
            <w:vMerge w:val="continue"/>
            <w:tcBorders>
              <w:tl2br w:val="nil"/>
              <w:tr2bl w:val="nil"/>
            </w:tcBorders>
            <w:vAlign w:val="center"/>
          </w:tcPr>
          <w:p w14:paraId="58158262">
            <w:pPr>
              <w:snapToGrid w:val="0"/>
              <w:spacing w:line="240" w:lineRule="auto"/>
              <w:ind w:firstLine="0" w:firstLineChars="0"/>
              <w:jc w:val="center"/>
              <w:rPr>
                <w:sz w:val="21"/>
                <w:szCs w:val="21"/>
              </w:rPr>
            </w:pPr>
          </w:p>
        </w:tc>
        <w:tc>
          <w:tcPr>
            <w:tcW w:w="968" w:type="pct"/>
            <w:gridSpan w:val="3"/>
            <w:tcBorders>
              <w:tl2br w:val="nil"/>
              <w:tr2bl w:val="nil"/>
            </w:tcBorders>
            <w:vAlign w:val="center"/>
          </w:tcPr>
          <w:p w14:paraId="4C37BBA6">
            <w:pPr>
              <w:snapToGrid w:val="0"/>
              <w:spacing w:line="240" w:lineRule="auto"/>
              <w:ind w:firstLine="0" w:firstLineChars="0"/>
              <w:jc w:val="center"/>
              <w:rPr>
                <w:sz w:val="21"/>
                <w:szCs w:val="21"/>
              </w:rPr>
            </w:pPr>
            <w:r>
              <w:rPr>
                <w:rFonts w:hint="eastAsia"/>
                <w:sz w:val="21"/>
                <w:szCs w:val="21"/>
              </w:rPr>
              <w:t>车辆运输</w:t>
            </w:r>
          </w:p>
        </w:tc>
        <w:tc>
          <w:tcPr>
            <w:tcW w:w="503" w:type="pct"/>
            <w:tcBorders>
              <w:tl2br w:val="nil"/>
              <w:tr2bl w:val="nil"/>
            </w:tcBorders>
            <w:vAlign w:val="center"/>
          </w:tcPr>
          <w:p w14:paraId="1126A52D">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4320" behindDoc="0" locked="0" layoutInCell="1" allowOverlap="1">
                      <wp:simplePos x="0" y="0"/>
                      <wp:positionH relativeFrom="column">
                        <wp:posOffset>103505</wp:posOffset>
                      </wp:positionH>
                      <wp:positionV relativeFrom="paragraph">
                        <wp:posOffset>16510</wp:posOffset>
                      </wp:positionV>
                      <wp:extent cx="76200" cy="85725"/>
                      <wp:effectExtent l="4445" t="7620" r="5080" b="1905"/>
                      <wp:wrapNone/>
                      <wp:docPr id="16" name="等腰三角形 16"/>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15pt;margin-top:1.3pt;height:6.75pt;width:6pt;z-index:251704320;mso-width-relative:page;mso-height-relative:page;" fillcolor="#000000" filled="t" stroked="f" coordsize="21600,21600" o:gfxdata="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L6pyfRAAAABgEAAA8AAAAAAAAAAQAgAAAAIgAAAGRycy9k&#10;b3ducmV2LnhtbFBLAQIUABQAAAAIAIdO4kDzDtwcQgIAAF4EAAAOAAAAAAAAAAEAIAAAACABAABk&#10;cnMvZTJvRG9jLnhtbFBLBQYAAAAABgAGAFkBAADUBQAAAAA=&#10;" adj="10800">
                      <v:fill on="t" focussize="0,0"/>
                      <v:stroke on="f"/>
                      <v:imagedata o:title=""/>
                      <o:lock v:ext="edit" aspectratio="f"/>
                    </v:shape>
                  </w:pict>
                </mc:Fallback>
              </mc:AlternateContent>
            </w:r>
            <w:r>
              <w:rPr>
                <w:rFonts w:hint="eastAsia"/>
                <w:sz w:val="21"/>
                <w:szCs w:val="21"/>
              </w:rPr>
              <w:t>L</w:t>
            </w:r>
          </w:p>
        </w:tc>
        <w:tc>
          <w:tcPr>
            <w:tcW w:w="484" w:type="pct"/>
            <w:tcBorders>
              <w:tl2br w:val="nil"/>
              <w:tr2bl w:val="nil"/>
            </w:tcBorders>
            <w:vAlign w:val="center"/>
          </w:tcPr>
          <w:p w14:paraId="129B68F8">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75648" behindDoc="0" locked="0" layoutInCell="1" allowOverlap="1">
                      <wp:simplePos x="0" y="0"/>
                      <wp:positionH relativeFrom="column">
                        <wp:posOffset>144780</wp:posOffset>
                      </wp:positionH>
                      <wp:positionV relativeFrom="paragraph">
                        <wp:posOffset>26035</wp:posOffset>
                      </wp:positionV>
                      <wp:extent cx="75565" cy="75565"/>
                      <wp:effectExtent l="12065" t="7620" r="7620" b="12065"/>
                      <wp:wrapNone/>
                      <wp:docPr id="15" name="椭圆 1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2.05pt;height:5.95pt;width:5.95pt;z-index:251675648;mso-width-relative:page;mso-height-relative:page;" fillcolor="#FFFFFF" filled="t" stroked="t" coordsize="21600,21600" o:gfxdata="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5E2ePVAAAABgEAAA8AAAAAAAAAAQAgAAAAIgAAAGRycy9kb3ducmV2LnhtbFBL&#10;AQIUABQAAAAIAIdO4kCSpxunMgIAAG8EAAAOAAAAAAAAAAEAIAAAACQBAABkcnMvZTJvRG9jLnht&#10;bFBLBQYAAAAABgAGAFkBAADI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6F16BFB8">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81792" behindDoc="0" locked="0" layoutInCell="1" allowOverlap="1">
                      <wp:simplePos x="0" y="0"/>
                      <wp:positionH relativeFrom="column">
                        <wp:posOffset>160020</wp:posOffset>
                      </wp:positionH>
                      <wp:positionV relativeFrom="paragraph">
                        <wp:posOffset>45085</wp:posOffset>
                      </wp:positionV>
                      <wp:extent cx="75565" cy="75565"/>
                      <wp:effectExtent l="11430" t="7620" r="8255" b="12065"/>
                      <wp:wrapNone/>
                      <wp:docPr id="14" name="椭圆 1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6pt;margin-top:3.55pt;height:5.95pt;width:5.95pt;z-index:251681792;mso-width-relative:page;mso-height-relative:page;" fillcolor="#FFFFFF" filled="t" stroked="t" coordsize="21600,21600" o:gfxdata="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zQJM86s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iy29QAAAAGAQAADwAAAAAAAAABACAAAAAiAAAAZHJzL2Rvd25yZXYueG1sUEsB&#10;AhQAFAAAAAgAh07iQLOtmPU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56C5D693">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07392" behindDoc="0" locked="0" layoutInCell="1" allowOverlap="1">
                      <wp:simplePos x="0" y="0"/>
                      <wp:positionH relativeFrom="column">
                        <wp:posOffset>83185</wp:posOffset>
                      </wp:positionH>
                      <wp:positionV relativeFrom="paragraph">
                        <wp:posOffset>35560</wp:posOffset>
                      </wp:positionV>
                      <wp:extent cx="76200" cy="85725"/>
                      <wp:effectExtent l="3175" t="7620" r="6350" b="1905"/>
                      <wp:wrapNone/>
                      <wp:docPr id="13" name="等腰三角形 13"/>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6.55pt;margin-top:2.8pt;height:6.75pt;width:6pt;z-index:251707392;mso-width-relative:page;mso-height-relative:page;" fillcolor="#000000" filled="t" stroked="f" coordsize="21600,21600" o:gfxdata="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acsnRAAAABgEAAA8AAAAAAAAAAQAgAAAAIgAAAGRycy9k&#10;b3ducmV2LnhtbFBLAQIUABQAAAAIAIdO4kCtkEsBQgIAAF4EAAAOAAAAAAAAAAEAIAAAACABAABk&#10;cnMvZTJvRG9jLnhtbFBLBQYAAAAABgAGAFkBAADUBQAAAAA=&#10;" adj="10800">
                      <v:fill on="t" focussize="0,0"/>
                      <v:stroke on="f"/>
                      <v:imagedata o:title=""/>
                      <o:lock v:ext="edit" aspectratio="f"/>
                    </v:shape>
                  </w:pict>
                </mc:Fallback>
              </mc:AlternateContent>
            </w:r>
            <w:r>
              <w:rPr>
                <w:rFonts w:hint="eastAsia"/>
                <w:sz w:val="21"/>
                <w:szCs w:val="21"/>
              </w:rPr>
              <w:t>L</w:t>
            </w:r>
          </w:p>
        </w:tc>
        <w:tc>
          <w:tcPr>
            <w:tcW w:w="522" w:type="pct"/>
            <w:tcBorders>
              <w:tl2br w:val="nil"/>
              <w:tr2bl w:val="nil"/>
            </w:tcBorders>
            <w:vAlign w:val="center"/>
          </w:tcPr>
          <w:p w14:paraId="7EC5B26B">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1008" behindDoc="0" locked="0" layoutInCell="1" allowOverlap="1">
                      <wp:simplePos x="0" y="0"/>
                      <wp:positionH relativeFrom="column">
                        <wp:posOffset>194310</wp:posOffset>
                      </wp:positionH>
                      <wp:positionV relativeFrom="paragraph">
                        <wp:posOffset>26035</wp:posOffset>
                      </wp:positionV>
                      <wp:extent cx="75565" cy="75565"/>
                      <wp:effectExtent l="11430" t="7620" r="8255" b="12065"/>
                      <wp:wrapNone/>
                      <wp:docPr id="12" name="椭圆 1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3pt;margin-top:2.05pt;height:5.95pt;width:5.95pt;z-index:251691008;mso-width-relative:page;mso-height-relative:page;" fillcolor="#FFFFFF" filled="t" stroked="t" coordsize="21600,21600" o:gfxdata="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zQJU86s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oL4FNQAAAAGAQAADwAAAAAAAAABACAAAAAiAAAAZHJzL2Rvd25yZXYueG1sUEsB&#10;AhQAFAAAAAgAh07iQDSX48EyAgAAbwQAAA4AAAAAAAAAAQAgAAAAIwEAAGRycy9lMm9Eb2MueG1s&#10;UEsFBgAAAAAGAAYAWQEAAMcFAAAAAA==&#10;">
                      <v:fill on="t" focussize="0,0"/>
                      <v:stroke color="#000000" joinstyle="round"/>
                      <v:imagedata o:title=""/>
                      <o:lock v:ext="edit" aspectratio="f"/>
                    </v:shape>
                  </w:pict>
                </mc:Fallback>
              </mc:AlternateContent>
            </w:r>
          </w:p>
        </w:tc>
        <w:tc>
          <w:tcPr>
            <w:tcW w:w="582" w:type="pct"/>
            <w:tcBorders>
              <w:right w:val="single" w:color="auto" w:sz="4" w:space="0"/>
              <w:tl2br w:val="nil"/>
              <w:tr2bl w:val="nil"/>
            </w:tcBorders>
            <w:vAlign w:val="center"/>
          </w:tcPr>
          <w:p w14:paraId="015ABE18">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696128" behindDoc="0" locked="0" layoutInCell="1" allowOverlap="1">
                      <wp:simplePos x="0" y="0"/>
                      <wp:positionH relativeFrom="column">
                        <wp:posOffset>215900</wp:posOffset>
                      </wp:positionH>
                      <wp:positionV relativeFrom="paragraph">
                        <wp:posOffset>35560</wp:posOffset>
                      </wp:positionV>
                      <wp:extent cx="75565" cy="75565"/>
                      <wp:effectExtent l="10160" t="7620" r="9525" b="12065"/>
                      <wp:wrapNone/>
                      <wp:docPr id="11" name="椭圆 1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7pt;margin-top:2.8pt;height:5.95pt;width:5.95pt;z-index:251696128;mso-width-relative:page;mso-height-relative:page;" fillcolor="#FFFFFF" filled="t" stroked="t" coordsize="21600,21600" o:gfxdata="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8Ir8nVAAAABgEAAA8AAAAAAAAAAQAgAAAAIgAAAGRycy9kb3ducmV2LnhtbFBL&#10;AQIUABQAAAAIAIdO4kBXiWY2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left w:val="single" w:color="auto" w:sz="4" w:space="0"/>
              <w:tl2br w:val="nil"/>
              <w:tr2bl w:val="nil"/>
            </w:tcBorders>
            <w:vAlign w:val="center"/>
          </w:tcPr>
          <w:p w14:paraId="113B3EB7">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12512" behindDoc="0" locked="0" layoutInCell="1" allowOverlap="1">
                      <wp:simplePos x="0" y="0"/>
                      <wp:positionH relativeFrom="column">
                        <wp:posOffset>118745</wp:posOffset>
                      </wp:positionH>
                      <wp:positionV relativeFrom="paragraph">
                        <wp:posOffset>45085</wp:posOffset>
                      </wp:positionV>
                      <wp:extent cx="76200" cy="85725"/>
                      <wp:effectExtent l="1905" t="7620" r="7620" b="1905"/>
                      <wp:wrapNone/>
                      <wp:docPr id="10" name="等腰三角形 10"/>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3.55pt;height:6.75pt;width:6pt;z-index:251712512;mso-width-relative:page;mso-height-relative:page;" fillcolor="#000000" filled="t" stroked="f" coordsize="21600,21600" o:gfxdata="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RBRMbSAAAABgEAAA8AAAAAAAAAAQAgAAAAIgAAAGRycy9k&#10;b3ducmV2LnhtbFBLAQIUABQAAAAIAIdO4kBY5+m8QQIAAF4EAAAOAAAAAAAAAAEAIAAAACEBAABk&#10;cnMvZTJvRG9jLnhtbFBLBQYAAAAABgAGAFkBAADUBQAAAAA=&#10;" adj="10800">
                      <v:fill on="t" focussize="0,0"/>
                      <v:stroke on="f"/>
                      <v:imagedata o:title=""/>
                      <o:lock v:ext="edit" aspectratio="f"/>
                    </v:shape>
                  </w:pict>
                </mc:Fallback>
              </mc:AlternateContent>
            </w:r>
            <w:r>
              <w:rPr>
                <w:rFonts w:hint="eastAsia"/>
                <w:sz w:val="21"/>
                <w:szCs w:val="21"/>
              </w:rPr>
              <w:t>L</w:t>
            </w:r>
          </w:p>
        </w:tc>
      </w:tr>
      <w:tr w14:paraId="43FAA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4963" w:type="pct"/>
            <w:gridSpan w:val="11"/>
            <w:tcBorders>
              <w:tl2br w:val="nil"/>
              <w:tr2bl w:val="nil"/>
            </w:tcBorders>
            <w:vAlign w:val="center"/>
          </w:tcPr>
          <w:p w14:paraId="76E1800F">
            <w:pPr>
              <w:snapToGrid w:val="0"/>
              <w:spacing w:line="240" w:lineRule="auto"/>
              <w:ind w:firstLine="0" w:firstLineChars="0"/>
              <w:jc w:val="center"/>
              <w:rPr>
                <w:sz w:val="21"/>
                <w:szCs w:val="21"/>
              </w:rPr>
            </w:pPr>
            <w:r>
              <w:rPr>
                <w:sz w:val="21"/>
                <w:szCs w:val="24"/>
              </w:rPr>
              <mc:AlternateContent>
                <mc:Choice Requires="wps">
                  <w:drawing>
                    <wp:anchor distT="0" distB="0" distL="114300" distR="114300" simplePos="0" relativeHeight="251728896" behindDoc="0" locked="0" layoutInCell="1" allowOverlap="1">
                      <wp:simplePos x="0" y="0"/>
                      <wp:positionH relativeFrom="column">
                        <wp:posOffset>2688590</wp:posOffset>
                      </wp:positionH>
                      <wp:positionV relativeFrom="paragraph">
                        <wp:posOffset>37465</wp:posOffset>
                      </wp:positionV>
                      <wp:extent cx="75565" cy="75565"/>
                      <wp:effectExtent l="10795" t="8255" r="8890" b="11430"/>
                      <wp:wrapNone/>
                      <wp:docPr id="9" name="椭圆 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11.7pt;margin-top:2.95pt;height:5.95pt;width:5.95pt;z-index:251728896;mso-width-relative:page;mso-height-relative:page;" fillcolor="#FFFFFF" filled="t" stroked="t" coordsize="21600,21600" o:gfxdata="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viQm7XAAAACAEAAA8AAAAAAAAAAQAgAAAAIgAAAGRycy9kb3ducmV2LnhtbFBL&#10;AQIUABQAAAAIAIdO4kD+c32SMAIAAG0EAAAOAAAAAAAAAAEAIAAAACYBAABkcnMvZTJvRG9jLnht&#10;bFBLBQYAAAAABgAGAFkBAADIBQAAAAA=&#10;">
                      <v:fill on="t" focussize="0,0"/>
                      <v:stroke color="#000000" joinstyle="round"/>
                      <v:imagedata o:title=""/>
                      <o:lock v:ext="edit" aspectratio="f"/>
                    </v:shape>
                  </w:pict>
                </mc:Fallback>
              </mc:AlternateContent>
            </w:r>
            <w:r>
              <w:rPr>
                <w:sz w:val="21"/>
                <w:szCs w:val="24"/>
              </w:rPr>
              <mc:AlternateContent>
                <mc:Choice Requires="wps">
                  <w:drawing>
                    <wp:anchor distT="0" distB="0" distL="114300" distR="114300" simplePos="0" relativeHeight="251727872" behindDoc="0" locked="0" layoutInCell="1" allowOverlap="1">
                      <wp:simplePos x="0" y="0"/>
                      <wp:positionH relativeFrom="column">
                        <wp:posOffset>1679575</wp:posOffset>
                      </wp:positionH>
                      <wp:positionV relativeFrom="paragraph">
                        <wp:posOffset>37465</wp:posOffset>
                      </wp:positionV>
                      <wp:extent cx="76200" cy="85725"/>
                      <wp:effectExtent l="20955" t="17780" r="17145" b="10795"/>
                      <wp:wrapNone/>
                      <wp:docPr id="8" name="等腰三角形 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32.25pt;margin-top:2.95pt;height:6.75pt;width:6pt;z-index:251727872;mso-width-relative:page;mso-height-relative:page;" filled="f" stroked="t" coordsize="21600,21600" o:gfxdata="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CVOw2AAAAAgB&#10;AAAPAAAAAAAAAAEAIAAAACIAAABkcnMvZG93bnJldi54bWxQSwECFAAUAAAACACHTuJAZmu2blQC&#10;AACHBAAADgAAAAAAAAABACAAAAAnAQAAZHJzL2Uyb0RvYy54bWxQSwUGAAAAAAYABgBZAQAA7QUA&#10;AAAA&#10;" adj="10800">
                      <v:fill on="f" focussize="0,0"/>
                      <v:stroke weight="0.5pt" color="#000000" miterlimit="8" joinstyle="miter"/>
                      <v:imagedata o:title=""/>
                      <o:lock v:ext="edit" aspectratio="f"/>
                    </v:shape>
                  </w:pict>
                </mc:Fallback>
              </mc:AlternateContent>
            </w:r>
            <w:r>
              <w:rPr>
                <w:sz w:val="21"/>
                <w:szCs w:val="24"/>
              </w:rPr>
              <mc:AlternateContent>
                <mc:Choice Requires="wps">
                  <w:drawing>
                    <wp:anchor distT="0" distB="0" distL="114300" distR="114300" simplePos="0" relativeHeight="251726848" behindDoc="0" locked="0" layoutInCell="1" allowOverlap="1">
                      <wp:simplePos x="0" y="0"/>
                      <wp:positionH relativeFrom="column">
                        <wp:posOffset>718820</wp:posOffset>
                      </wp:positionH>
                      <wp:positionV relativeFrom="paragraph">
                        <wp:posOffset>37465</wp:posOffset>
                      </wp:positionV>
                      <wp:extent cx="76200" cy="85725"/>
                      <wp:effectExtent l="3175" t="8255" r="6350" b="1270"/>
                      <wp:wrapNone/>
                      <wp:docPr id="7" name="等腰三角形 7"/>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56.6pt;margin-top:2.95pt;height:6.75pt;width:6pt;z-index:251726848;mso-width-relative:page;mso-height-relative:page;" fillcolor="#000000" filled="t" stroked="f" coordsize="21600,21600" o:gfxdata="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k7nvNQAAAAIAQAADwAAAAAAAAABACAAAAAiAAAAZHJz&#10;L2Rvd25yZXYueG1sUEsBAhQAFAAAAAgAh07iQJZSXmRBAgAAXAQAAA4AAAAAAAAAAQAgAAAAIwEA&#10;AGRycy9lMm9Eb2MueG1sUEsFBgAAAAAGAAYAWQEAANYFAAAAAA==&#10;" adj="10800">
                      <v:fill on="t" focussize="0,0"/>
                      <v:stroke on="f"/>
                      <v:imagedata o:title=""/>
                      <o:lock v:ext="edit" aspectratio="f"/>
                    </v:shape>
                  </w:pict>
                </mc:Fallback>
              </mc:AlternateContent>
            </w:r>
            <w:r>
              <w:rPr>
                <w:sz w:val="21"/>
                <w:szCs w:val="24"/>
              </w:rPr>
              <mc:AlternateContent>
                <mc:Choice Requires="wps">
                  <w:drawing>
                    <wp:anchor distT="0" distB="0" distL="114300" distR="114300" simplePos="0" relativeHeight="251725824" behindDoc="0" locked="0" layoutInCell="1" allowOverlap="1">
                      <wp:simplePos x="0" y="0"/>
                      <wp:positionH relativeFrom="column">
                        <wp:posOffset>12700</wp:posOffset>
                      </wp:positionH>
                      <wp:positionV relativeFrom="paragraph">
                        <wp:posOffset>17780</wp:posOffset>
                      </wp:positionV>
                      <wp:extent cx="95250" cy="95250"/>
                      <wp:effectExtent l="1905" t="7620" r="7620" b="1905"/>
                      <wp:wrapNone/>
                      <wp:docPr id="6" name="菱形 6"/>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pt;margin-top:1.4pt;height:7.5pt;width:7.5pt;z-index:251725824;mso-width-relative:page;mso-height-relative:page;" fillcolor="#000000" filled="t" stroked="f" coordsize="21600,21600" o:gfxdata="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jQJRdQAAAAFAQAADwAAAAAA&#10;AAABACAAAAAiAAAAZHJzL2Rvd25yZXYueG1sUEsBAhQAFAAAAAgAh07iQKzZfS4XAgAAJgQAAA4A&#10;AAAAAAAAAQAgAAAAIwEAAGRycy9lMm9Eb2MueG1sUEsFBgAAAAAGAAYAWQEAAKwFAAAAAA==&#10;">
                      <v:fill on="t" focussize="0,0"/>
                      <v:stroke on="f"/>
                      <v:imagedata o:title=""/>
                      <o:lock v:ext="edit" aspectratio="f"/>
                    </v:shape>
                  </w:pict>
                </mc:Fallback>
              </mc:AlternateContent>
            </w:r>
            <w:r>
              <w:rPr>
                <w:rFonts w:hint="eastAsia"/>
                <w:sz w:val="21"/>
                <w:szCs w:val="21"/>
              </w:rPr>
              <w:t>：有影响，：有轻微影响，：可能有影响，：没有影响，S短期影响，L长期影响</w:t>
            </w:r>
          </w:p>
        </w:tc>
      </w:tr>
    </w:tbl>
    <w:p w14:paraId="02F249D6">
      <w:pPr>
        <w:ind w:firstLine="480"/>
      </w:pPr>
      <w:r>
        <w:rPr>
          <w:rFonts w:hint="eastAsia"/>
        </w:rPr>
        <w:t>项目施工期对环境空气及水环境、声环境等均有短期的不利影响，但其会随着施工期的结束而消失。运营期的影响为长期影响，其主要环境影响要素为环境空气及水环境，其次为声环境、固体废物。</w:t>
      </w:r>
    </w:p>
    <w:p w14:paraId="240758AE">
      <w:pPr>
        <w:pStyle w:val="5"/>
      </w:pPr>
      <w:bookmarkStart w:id="38" w:name="_Toc106663437"/>
      <w:r>
        <w:rPr>
          <w:rFonts w:hint="eastAsia"/>
        </w:rPr>
        <w:t>2.4.2评价因子筛选</w:t>
      </w:r>
      <w:bookmarkEnd w:id="38"/>
    </w:p>
    <w:p w14:paraId="48E1DF0F">
      <w:pPr>
        <w:ind w:firstLine="480"/>
      </w:pPr>
      <w:r>
        <w:rPr>
          <w:rFonts w:hint="eastAsia"/>
        </w:rPr>
        <w:t>根据本项目污染物的产生及排放情况，确定的本项目常规污染物和特征污染物表2.4-2。</w:t>
      </w:r>
    </w:p>
    <w:p w14:paraId="1C3716BF">
      <w:pPr>
        <w:pStyle w:val="11"/>
      </w:pPr>
      <w:r>
        <w:rPr>
          <w:rFonts w:hint="eastAsia"/>
        </w:rPr>
        <w:t>表2.4-2常规污染物和特征污染物确定情况一览表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12"/>
        <w:gridCol w:w="2889"/>
        <w:gridCol w:w="1734"/>
        <w:gridCol w:w="1497"/>
      </w:tblGrid>
      <w:tr w14:paraId="4AA3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Align w:val="center"/>
          </w:tcPr>
          <w:p w14:paraId="08705E21">
            <w:pPr>
              <w:spacing w:line="240" w:lineRule="auto"/>
              <w:ind w:firstLine="0" w:firstLineChars="0"/>
              <w:jc w:val="center"/>
              <w:rPr>
                <w:sz w:val="21"/>
                <w:szCs w:val="21"/>
              </w:rPr>
            </w:pPr>
            <w:r>
              <w:rPr>
                <w:rFonts w:hint="eastAsia"/>
                <w:sz w:val="21"/>
                <w:szCs w:val="21"/>
              </w:rPr>
              <w:t>序号</w:t>
            </w:r>
          </w:p>
        </w:tc>
        <w:tc>
          <w:tcPr>
            <w:tcW w:w="1512" w:type="dxa"/>
            <w:vAlign w:val="center"/>
          </w:tcPr>
          <w:p w14:paraId="59D7C911">
            <w:pPr>
              <w:spacing w:line="240" w:lineRule="auto"/>
              <w:ind w:firstLine="0" w:firstLineChars="0"/>
              <w:jc w:val="center"/>
              <w:rPr>
                <w:sz w:val="21"/>
                <w:szCs w:val="21"/>
              </w:rPr>
            </w:pPr>
            <w:r>
              <w:rPr>
                <w:rFonts w:hint="eastAsia"/>
                <w:sz w:val="21"/>
                <w:szCs w:val="21"/>
              </w:rPr>
              <w:t>评价项目</w:t>
            </w:r>
          </w:p>
        </w:tc>
        <w:tc>
          <w:tcPr>
            <w:tcW w:w="2889" w:type="dxa"/>
            <w:vAlign w:val="center"/>
          </w:tcPr>
          <w:p w14:paraId="46496A0A">
            <w:pPr>
              <w:spacing w:line="240" w:lineRule="auto"/>
              <w:ind w:firstLine="0" w:firstLineChars="0"/>
              <w:jc w:val="center"/>
              <w:rPr>
                <w:sz w:val="21"/>
                <w:szCs w:val="21"/>
              </w:rPr>
            </w:pPr>
            <w:r>
              <w:rPr>
                <w:rFonts w:hint="eastAsia"/>
                <w:sz w:val="21"/>
                <w:szCs w:val="21"/>
              </w:rPr>
              <w:t>现状评价因子</w:t>
            </w:r>
          </w:p>
        </w:tc>
        <w:tc>
          <w:tcPr>
            <w:tcW w:w="1734" w:type="dxa"/>
            <w:vAlign w:val="center"/>
          </w:tcPr>
          <w:p w14:paraId="0975EBCF">
            <w:pPr>
              <w:spacing w:line="240" w:lineRule="auto"/>
              <w:ind w:firstLine="0" w:firstLineChars="0"/>
              <w:jc w:val="center"/>
              <w:rPr>
                <w:sz w:val="21"/>
                <w:szCs w:val="21"/>
              </w:rPr>
            </w:pPr>
            <w:r>
              <w:rPr>
                <w:rFonts w:hint="eastAsia"/>
                <w:sz w:val="21"/>
                <w:szCs w:val="21"/>
              </w:rPr>
              <w:t>影响评价因子</w:t>
            </w:r>
          </w:p>
        </w:tc>
        <w:tc>
          <w:tcPr>
            <w:tcW w:w="1497" w:type="dxa"/>
            <w:vAlign w:val="center"/>
          </w:tcPr>
          <w:p w14:paraId="0BE42670">
            <w:pPr>
              <w:spacing w:line="240" w:lineRule="auto"/>
              <w:ind w:firstLine="0" w:firstLineChars="0"/>
              <w:jc w:val="center"/>
              <w:rPr>
                <w:sz w:val="21"/>
                <w:szCs w:val="21"/>
              </w:rPr>
            </w:pPr>
            <w:r>
              <w:rPr>
                <w:rFonts w:hint="eastAsia"/>
                <w:sz w:val="21"/>
                <w:szCs w:val="21"/>
              </w:rPr>
              <w:t>总量控制因子</w:t>
            </w:r>
          </w:p>
        </w:tc>
      </w:tr>
      <w:tr w14:paraId="7717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78A8592A">
            <w:pPr>
              <w:spacing w:line="240" w:lineRule="auto"/>
              <w:ind w:firstLine="0" w:firstLineChars="0"/>
              <w:jc w:val="center"/>
              <w:rPr>
                <w:sz w:val="21"/>
                <w:szCs w:val="21"/>
              </w:rPr>
            </w:pPr>
            <w:r>
              <w:rPr>
                <w:rFonts w:hint="eastAsia"/>
                <w:sz w:val="21"/>
                <w:szCs w:val="21"/>
              </w:rPr>
              <w:t>1</w:t>
            </w:r>
          </w:p>
        </w:tc>
        <w:tc>
          <w:tcPr>
            <w:tcW w:w="1512" w:type="dxa"/>
            <w:vAlign w:val="center"/>
          </w:tcPr>
          <w:p w14:paraId="6D7191EC">
            <w:pPr>
              <w:spacing w:line="240" w:lineRule="auto"/>
              <w:ind w:firstLine="0" w:firstLineChars="0"/>
              <w:jc w:val="center"/>
              <w:rPr>
                <w:sz w:val="21"/>
                <w:szCs w:val="21"/>
              </w:rPr>
            </w:pPr>
            <w:r>
              <w:rPr>
                <w:rFonts w:hint="eastAsia"/>
                <w:sz w:val="21"/>
                <w:szCs w:val="21"/>
              </w:rPr>
              <w:t>环境空气</w:t>
            </w:r>
          </w:p>
        </w:tc>
        <w:tc>
          <w:tcPr>
            <w:tcW w:w="2889" w:type="dxa"/>
            <w:vAlign w:val="center"/>
          </w:tcPr>
          <w:p w14:paraId="38F7F9B4">
            <w:pPr>
              <w:spacing w:line="240" w:lineRule="auto"/>
              <w:ind w:firstLine="0" w:firstLineChars="0"/>
              <w:rPr>
                <w:sz w:val="21"/>
                <w:szCs w:val="21"/>
              </w:rPr>
            </w:pPr>
            <w:r>
              <w:rPr>
                <w:rFonts w:hint="eastAsia"/>
                <w:sz w:val="21"/>
                <w:szCs w:val="21"/>
              </w:rPr>
              <w:t>SO</w:t>
            </w:r>
            <w:r>
              <w:rPr>
                <w:rFonts w:hint="eastAsia"/>
                <w:sz w:val="21"/>
                <w:szCs w:val="21"/>
                <w:vertAlign w:val="subscript"/>
              </w:rPr>
              <w:t>2</w:t>
            </w:r>
            <w:r>
              <w:rPr>
                <w:rFonts w:hint="eastAsia"/>
                <w:sz w:val="21"/>
                <w:szCs w:val="21"/>
              </w:rPr>
              <w:t>、NO</w:t>
            </w:r>
            <w:r>
              <w:rPr>
                <w:rFonts w:hint="eastAsia"/>
                <w:sz w:val="21"/>
                <w:szCs w:val="21"/>
                <w:vertAlign w:val="subscript"/>
              </w:rPr>
              <w:t>2</w:t>
            </w:r>
            <w:r>
              <w:rPr>
                <w:rFonts w:hint="eastAsia"/>
                <w:sz w:val="21"/>
                <w:szCs w:val="21"/>
              </w:rPr>
              <w:t>、PM</w:t>
            </w:r>
            <w:r>
              <w:rPr>
                <w:rFonts w:hint="eastAsia"/>
                <w:sz w:val="21"/>
                <w:szCs w:val="21"/>
                <w:vertAlign w:val="subscript"/>
              </w:rPr>
              <w:t>10</w:t>
            </w:r>
            <w:r>
              <w:rPr>
                <w:rFonts w:hint="eastAsia"/>
                <w:sz w:val="21"/>
                <w:szCs w:val="21"/>
              </w:rPr>
              <w:t>、PM</w:t>
            </w:r>
            <w:r>
              <w:rPr>
                <w:rFonts w:hint="eastAsia"/>
                <w:sz w:val="21"/>
                <w:szCs w:val="21"/>
                <w:vertAlign w:val="subscript"/>
              </w:rPr>
              <w:t>2.5</w:t>
            </w:r>
            <w:r>
              <w:rPr>
                <w:rFonts w:hint="eastAsia"/>
                <w:sz w:val="21"/>
                <w:szCs w:val="21"/>
              </w:rPr>
              <w:t>、CO、O</w:t>
            </w:r>
            <w:r>
              <w:rPr>
                <w:rFonts w:hint="eastAsia"/>
                <w:sz w:val="21"/>
                <w:szCs w:val="21"/>
                <w:vertAlign w:val="subscript"/>
              </w:rPr>
              <w:t>3</w:t>
            </w:r>
            <w:r>
              <w:rPr>
                <w:rFonts w:hint="eastAsia"/>
                <w:sz w:val="21"/>
                <w:szCs w:val="21"/>
              </w:rPr>
              <w:t>、H</w:t>
            </w:r>
            <w:r>
              <w:rPr>
                <w:rFonts w:hint="eastAsia"/>
                <w:sz w:val="21"/>
                <w:szCs w:val="21"/>
                <w:vertAlign w:val="subscript"/>
              </w:rPr>
              <w:t>2</w:t>
            </w:r>
            <w:r>
              <w:rPr>
                <w:rFonts w:hint="eastAsia"/>
                <w:sz w:val="21"/>
                <w:szCs w:val="21"/>
              </w:rPr>
              <w:t>S、NH</w:t>
            </w:r>
            <w:r>
              <w:rPr>
                <w:rFonts w:hint="eastAsia"/>
                <w:sz w:val="21"/>
                <w:szCs w:val="21"/>
                <w:vertAlign w:val="subscript"/>
              </w:rPr>
              <w:t>3</w:t>
            </w:r>
          </w:p>
        </w:tc>
        <w:tc>
          <w:tcPr>
            <w:tcW w:w="1734" w:type="dxa"/>
            <w:vAlign w:val="center"/>
          </w:tcPr>
          <w:p w14:paraId="1C3348AF">
            <w:pPr>
              <w:spacing w:line="240" w:lineRule="auto"/>
              <w:ind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S、NH</w:t>
            </w:r>
            <w:r>
              <w:rPr>
                <w:rFonts w:hint="eastAsia"/>
                <w:sz w:val="21"/>
                <w:szCs w:val="21"/>
                <w:vertAlign w:val="subscript"/>
              </w:rPr>
              <w:t>3</w:t>
            </w:r>
            <w:r>
              <w:rPr>
                <w:rFonts w:hint="eastAsia"/>
                <w:sz w:val="21"/>
                <w:szCs w:val="21"/>
              </w:rPr>
              <w:t>、臭气浓度</w:t>
            </w:r>
          </w:p>
        </w:tc>
        <w:tc>
          <w:tcPr>
            <w:tcW w:w="1497" w:type="dxa"/>
            <w:vAlign w:val="center"/>
          </w:tcPr>
          <w:p w14:paraId="76781054">
            <w:pPr>
              <w:spacing w:line="240" w:lineRule="auto"/>
              <w:ind w:firstLine="0" w:firstLineChars="0"/>
              <w:jc w:val="center"/>
              <w:rPr>
                <w:sz w:val="21"/>
                <w:szCs w:val="21"/>
              </w:rPr>
            </w:pPr>
            <w:r>
              <w:rPr>
                <w:rFonts w:hint="eastAsia"/>
                <w:sz w:val="21"/>
                <w:szCs w:val="21"/>
              </w:rPr>
              <w:t>/</w:t>
            </w:r>
          </w:p>
        </w:tc>
      </w:tr>
      <w:tr w14:paraId="11F4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54069E0B">
            <w:pPr>
              <w:spacing w:line="240" w:lineRule="auto"/>
              <w:ind w:firstLine="0" w:firstLineChars="0"/>
              <w:jc w:val="center"/>
              <w:rPr>
                <w:sz w:val="21"/>
                <w:szCs w:val="21"/>
              </w:rPr>
            </w:pPr>
            <w:r>
              <w:rPr>
                <w:rFonts w:hint="eastAsia"/>
                <w:sz w:val="21"/>
                <w:szCs w:val="21"/>
              </w:rPr>
              <w:t>2</w:t>
            </w:r>
          </w:p>
        </w:tc>
        <w:tc>
          <w:tcPr>
            <w:tcW w:w="1512" w:type="dxa"/>
            <w:vAlign w:val="center"/>
          </w:tcPr>
          <w:p w14:paraId="1CE9F007">
            <w:pPr>
              <w:spacing w:line="240" w:lineRule="auto"/>
              <w:ind w:firstLine="0" w:firstLineChars="0"/>
              <w:jc w:val="center"/>
              <w:rPr>
                <w:sz w:val="21"/>
                <w:szCs w:val="21"/>
              </w:rPr>
            </w:pPr>
            <w:r>
              <w:rPr>
                <w:rFonts w:hint="eastAsia"/>
                <w:sz w:val="21"/>
                <w:szCs w:val="21"/>
              </w:rPr>
              <w:t>地下水</w:t>
            </w:r>
          </w:p>
        </w:tc>
        <w:tc>
          <w:tcPr>
            <w:tcW w:w="2889" w:type="dxa"/>
            <w:vAlign w:val="center"/>
          </w:tcPr>
          <w:p w14:paraId="55AA02D3">
            <w:pPr>
              <w:spacing w:line="240" w:lineRule="auto"/>
              <w:ind w:firstLine="0" w:firstLineChars="0"/>
              <w:jc w:val="center"/>
              <w:rPr>
                <w:sz w:val="21"/>
                <w:szCs w:val="21"/>
              </w:rPr>
            </w:pPr>
            <w:r>
              <w:rPr>
                <w:rFonts w:hint="eastAsia"/>
                <w:sz w:val="21"/>
                <w:szCs w:val="21"/>
              </w:rPr>
              <w:t>pH、总硬度、硫酸盐、耗氧量、氨氮、挥发酚、总硬度、硝酸盐、氟化物、铁、锰、汞、铅、钾、铜、锌、硒、砷、镉、铬（六价）、氰化物、总大肠菌群、溶解性总固体、阴离子表面活性剂</w:t>
            </w:r>
          </w:p>
        </w:tc>
        <w:tc>
          <w:tcPr>
            <w:tcW w:w="1734" w:type="dxa"/>
            <w:vAlign w:val="center"/>
          </w:tcPr>
          <w:p w14:paraId="763B4106">
            <w:pPr>
              <w:spacing w:line="240" w:lineRule="auto"/>
              <w:ind w:firstLine="0" w:firstLineChars="0"/>
              <w:jc w:val="center"/>
              <w:rPr>
                <w:sz w:val="21"/>
                <w:szCs w:val="21"/>
              </w:rPr>
            </w:pPr>
            <w:r>
              <w:rPr>
                <w:rFonts w:hint="eastAsia"/>
                <w:sz w:val="21"/>
                <w:szCs w:val="21"/>
              </w:rPr>
              <w:t>pH、COD</w:t>
            </w:r>
            <w:r>
              <w:rPr>
                <w:rFonts w:hint="eastAsia"/>
                <w:sz w:val="21"/>
                <w:szCs w:val="21"/>
                <w:vertAlign w:val="subscript"/>
              </w:rPr>
              <w:t>cr</w:t>
            </w:r>
            <w:r>
              <w:rPr>
                <w:rFonts w:hint="eastAsia"/>
                <w:sz w:val="21"/>
                <w:szCs w:val="21"/>
              </w:rPr>
              <w:t>、BOD</w:t>
            </w:r>
            <w:r>
              <w:rPr>
                <w:rFonts w:hint="eastAsia"/>
                <w:sz w:val="21"/>
                <w:szCs w:val="21"/>
                <w:vertAlign w:val="subscript"/>
              </w:rPr>
              <w:t>5</w:t>
            </w:r>
            <w:r>
              <w:rPr>
                <w:rFonts w:hint="eastAsia"/>
                <w:sz w:val="21"/>
                <w:szCs w:val="21"/>
              </w:rPr>
              <w:t>、NH</w:t>
            </w:r>
            <w:r>
              <w:rPr>
                <w:rFonts w:hint="eastAsia"/>
                <w:sz w:val="21"/>
                <w:szCs w:val="21"/>
                <w:vertAlign w:val="subscript"/>
              </w:rPr>
              <w:t>3</w:t>
            </w:r>
            <w:r>
              <w:rPr>
                <w:rFonts w:hint="eastAsia"/>
                <w:sz w:val="21"/>
                <w:szCs w:val="21"/>
              </w:rPr>
              <w:t>-N等</w:t>
            </w:r>
          </w:p>
        </w:tc>
        <w:tc>
          <w:tcPr>
            <w:tcW w:w="1497" w:type="dxa"/>
            <w:vAlign w:val="center"/>
          </w:tcPr>
          <w:p w14:paraId="5A3A845B">
            <w:pPr>
              <w:spacing w:line="240" w:lineRule="auto"/>
              <w:ind w:firstLine="0" w:firstLineChars="0"/>
              <w:jc w:val="center"/>
              <w:rPr>
                <w:sz w:val="21"/>
                <w:szCs w:val="21"/>
              </w:rPr>
            </w:pPr>
            <w:r>
              <w:rPr>
                <w:rFonts w:hint="eastAsia"/>
                <w:sz w:val="21"/>
                <w:szCs w:val="21"/>
              </w:rPr>
              <w:t>/</w:t>
            </w:r>
          </w:p>
        </w:tc>
      </w:tr>
      <w:tr w14:paraId="0216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6A766F65">
            <w:pPr>
              <w:spacing w:line="240" w:lineRule="auto"/>
              <w:ind w:firstLine="0" w:firstLineChars="0"/>
              <w:jc w:val="center"/>
              <w:rPr>
                <w:sz w:val="21"/>
                <w:szCs w:val="21"/>
              </w:rPr>
            </w:pPr>
            <w:r>
              <w:rPr>
                <w:rFonts w:hint="eastAsia"/>
                <w:sz w:val="21"/>
                <w:szCs w:val="21"/>
              </w:rPr>
              <w:t>3</w:t>
            </w:r>
          </w:p>
        </w:tc>
        <w:tc>
          <w:tcPr>
            <w:tcW w:w="1512" w:type="dxa"/>
            <w:vAlign w:val="center"/>
          </w:tcPr>
          <w:p w14:paraId="5C9C6F26">
            <w:pPr>
              <w:spacing w:line="240" w:lineRule="auto"/>
              <w:ind w:firstLine="0" w:firstLineChars="0"/>
              <w:jc w:val="center"/>
              <w:rPr>
                <w:sz w:val="21"/>
                <w:szCs w:val="21"/>
              </w:rPr>
            </w:pPr>
            <w:r>
              <w:rPr>
                <w:rFonts w:hint="eastAsia"/>
                <w:sz w:val="21"/>
                <w:szCs w:val="21"/>
              </w:rPr>
              <w:t>声环境</w:t>
            </w:r>
          </w:p>
        </w:tc>
        <w:tc>
          <w:tcPr>
            <w:tcW w:w="2889" w:type="dxa"/>
            <w:vAlign w:val="center"/>
          </w:tcPr>
          <w:p w14:paraId="7860EF80">
            <w:pPr>
              <w:spacing w:line="240" w:lineRule="auto"/>
              <w:ind w:firstLine="0" w:firstLineChars="0"/>
              <w:jc w:val="center"/>
              <w:rPr>
                <w:sz w:val="21"/>
                <w:szCs w:val="21"/>
              </w:rPr>
            </w:pPr>
            <w:r>
              <w:rPr>
                <w:rFonts w:hint="eastAsia"/>
                <w:sz w:val="21"/>
                <w:szCs w:val="21"/>
              </w:rPr>
              <w:t>等效连续A声级</w:t>
            </w:r>
          </w:p>
        </w:tc>
        <w:tc>
          <w:tcPr>
            <w:tcW w:w="1734" w:type="dxa"/>
            <w:vAlign w:val="center"/>
          </w:tcPr>
          <w:p w14:paraId="39D0F484">
            <w:pPr>
              <w:spacing w:line="240" w:lineRule="auto"/>
              <w:ind w:firstLine="0" w:firstLineChars="0"/>
              <w:jc w:val="center"/>
              <w:rPr>
                <w:sz w:val="21"/>
                <w:szCs w:val="21"/>
              </w:rPr>
            </w:pPr>
            <w:r>
              <w:rPr>
                <w:rFonts w:hint="eastAsia"/>
                <w:sz w:val="21"/>
                <w:szCs w:val="21"/>
              </w:rPr>
              <w:t>等效连续A声级</w:t>
            </w:r>
          </w:p>
        </w:tc>
        <w:tc>
          <w:tcPr>
            <w:tcW w:w="1497" w:type="dxa"/>
            <w:vAlign w:val="center"/>
          </w:tcPr>
          <w:p w14:paraId="20413EE7">
            <w:pPr>
              <w:spacing w:line="240" w:lineRule="auto"/>
              <w:ind w:firstLine="0" w:firstLineChars="0"/>
              <w:jc w:val="center"/>
              <w:rPr>
                <w:sz w:val="21"/>
                <w:szCs w:val="21"/>
              </w:rPr>
            </w:pPr>
            <w:r>
              <w:rPr>
                <w:rFonts w:hint="eastAsia"/>
                <w:sz w:val="21"/>
                <w:szCs w:val="21"/>
              </w:rPr>
              <w:t>/</w:t>
            </w:r>
          </w:p>
        </w:tc>
      </w:tr>
      <w:tr w14:paraId="0739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41C22A52">
            <w:pPr>
              <w:spacing w:line="240" w:lineRule="auto"/>
              <w:ind w:firstLine="0" w:firstLineChars="0"/>
              <w:jc w:val="center"/>
              <w:rPr>
                <w:sz w:val="21"/>
                <w:szCs w:val="21"/>
              </w:rPr>
            </w:pPr>
            <w:r>
              <w:rPr>
                <w:rFonts w:hint="eastAsia"/>
                <w:sz w:val="21"/>
                <w:szCs w:val="21"/>
              </w:rPr>
              <w:t>4</w:t>
            </w:r>
          </w:p>
        </w:tc>
        <w:tc>
          <w:tcPr>
            <w:tcW w:w="1512" w:type="dxa"/>
            <w:vAlign w:val="center"/>
          </w:tcPr>
          <w:p w14:paraId="50DE5DEA">
            <w:pPr>
              <w:spacing w:line="240" w:lineRule="auto"/>
              <w:ind w:firstLine="0" w:firstLineChars="0"/>
              <w:jc w:val="center"/>
              <w:rPr>
                <w:sz w:val="21"/>
                <w:szCs w:val="21"/>
              </w:rPr>
            </w:pPr>
            <w:r>
              <w:rPr>
                <w:rFonts w:hint="eastAsia"/>
                <w:sz w:val="21"/>
                <w:szCs w:val="21"/>
              </w:rPr>
              <w:t>固体废物</w:t>
            </w:r>
          </w:p>
        </w:tc>
        <w:tc>
          <w:tcPr>
            <w:tcW w:w="2889" w:type="dxa"/>
            <w:vAlign w:val="center"/>
          </w:tcPr>
          <w:p w14:paraId="7DC5A77B">
            <w:pPr>
              <w:spacing w:line="240" w:lineRule="auto"/>
              <w:ind w:firstLine="0" w:firstLineChars="0"/>
              <w:jc w:val="center"/>
              <w:rPr>
                <w:sz w:val="21"/>
                <w:szCs w:val="21"/>
              </w:rPr>
            </w:pPr>
            <w:r>
              <w:rPr>
                <w:rFonts w:hint="eastAsia"/>
                <w:sz w:val="21"/>
                <w:szCs w:val="21"/>
              </w:rPr>
              <w:t>/</w:t>
            </w:r>
          </w:p>
        </w:tc>
        <w:tc>
          <w:tcPr>
            <w:tcW w:w="1734" w:type="dxa"/>
            <w:vAlign w:val="center"/>
          </w:tcPr>
          <w:p w14:paraId="22B712D8">
            <w:pPr>
              <w:spacing w:line="240" w:lineRule="auto"/>
              <w:ind w:firstLine="0" w:firstLineChars="0"/>
              <w:rPr>
                <w:sz w:val="21"/>
                <w:szCs w:val="21"/>
              </w:rPr>
            </w:pPr>
            <w:r>
              <w:rPr>
                <w:rFonts w:hint="eastAsia"/>
                <w:sz w:val="21"/>
                <w:szCs w:val="21"/>
              </w:rPr>
              <w:t>骆驼粪便</w:t>
            </w:r>
            <w:r>
              <w:rPr>
                <w:sz w:val="21"/>
                <w:szCs w:val="21"/>
              </w:rPr>
              <w:t>、病死</w:t>
            </w:r>
            <w:r>
              <w:rPr>
                <w:rFonts w:hint="eastAsia"/>
                <w:sz w:val="21"/>
                <w:szCs w:val="21"/>
              </w:rPr>
              <w:t>骆驼</w:t>
            </w:r>
            <w:r>
              <w:rPr>
                <w:sz w:val="21"/>
                <w:szCs w:val="21"/>
              </w:rPr>
              <w:t>、废弃包装物、生活垃圾、医疗垃圾等固体废物处置措施与处理效率</w:t>
            </w:r>
          </w:p>
        </w:tc>
        <w:tc>
          <w:tcPr>
            <w:tcW w:w="1497" w:type="dxa"/>
            <w:vAlign w:val="center"/>
          </w:tcPr>
          <w:p w14:paraId="645AB75E">
            <w:pPr>
              <w:spacing w:line="240" w:lineRule="auto"/>
              <w:ind w:firstLine="0" w:firstLineChars="0"/>
              <w:jc w:val="center"/>
              <w:rPr>
                <w:sz w:val="21"/>
                <w:szCs w:val="21"/>
              </w:rPr>
            </w:pPr>
            <w:r>
              <w:rPr>
                <w:rFonts w:hint="eastAsia"/>
                <w:sz w:val="21"/>
                <w:szCs w:val="21"/>
              </w:rPr>
              <w:t>/</w:t>
            </w:r>
          </w:p>
        </w:tc>
      </w:tr>
      <w:tr w14:paraId="16E7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42540BDD">
            <w:pPr>
              <w:spacing w:line="240" w:lineRule="auto"/>
              <w:ind w:firstLine="0" w:firstLineChars="0"/>
              <w:jc w:val="center"/>
              <w:rPr>
                <w:sz w:val="21"/>
                <w:szCs w:val="21"/>
              </w:rPr>
            </w:pPr>
            <w:r>
              <w:rPr>
                <w:rFonts w:hint="eastAsia"/>
                <w:sz w:val="21"/>
                <w:szCs w:val="21"/>
              </w:rPr>
              <w:t>5</w:t>
            </w:r>
          </w:p>
        </w:tc>
        <w:tc>
          <w:tcPr>
            <w:tcW w:w="1512" w:type="dxa"/>
            <w:vAlign w:val="center"/>
          </w:tcPr>
          <w:p w14:paraId="2D58018A">
            <w:pPr>
              <w:spacing w:line="240" w:lineRule="auto"/>
              <w:ind w:firstLine="0" w:firstLineChars="0"/>
              <w:jc w:val="center"/>
              <w:rPr>
                <w:sz w:val="21"/>
                <w:szCs w:val="21"/>
              </w:rPr>
            </w:pPr>
            <w:r>
              <w:rPr>
                <w:rFonts w:hint="eastAsia"/>
                <w:sz w:val="21"/>
                <w:szCs w:val="21"/>
              </w:rPr>
              <w:t>土壤环境</w:t>
            </w:r>
          </w:p>
        </w:tc>
        <w:tc>
          <w:tcPr>
            <w:tcW w:w="2889" w:type="dxa"/>
            <w:vAlign w:val="center"/>
          </w:tcPr>
          <w:p w14:paraId="243FE653">
            <w:pPr>
              <w:spacing w:line="240" w:lineRule="auto"/>
              <w:ind w:firstLine="0" w:firstLineChars="0"/>
              <w:jc w:val="center"/>
              <w:rPr>
                <w:sz w:val="21"/>
                <w:szCs w:val="21"/>
              </w:rPr>
            </w:pPr>
            <w:r>
              <w:rPr>
                <w:rFonts w:hint="eastAsia"/>
                <w:sz w:val="21"/>
                <w:szCs w:val="21"/>
              </w:rPr>
              <w:t>《土壤环境质量农业用地土壤污染物风险管控标准》p</w:t>
            </w:r>
            <w:r>
              <w:rPr>
                <w:sz w:val="21"/>
                <w:szCs w:val="21"/>
              </w:rPr>
              <w:t>H</w:t>
            </w:r>
            <w:r>
              <w:rPr>
                <w:rFonts w:hint="eastAsia"/>
                <w:sz w:val="21"/>
                <w:szCs w:val="21"/>
              </w:rPr>
              <w:t>、砷、镉、铬、铜、锌、铅、汞、镍、六六六，滴滴涕，共计</w:t>
            </w:r>
            <w:r>
              <w:rPr>
                <w:sz w:val="21"/>
                <w:szCs w:val="21"/>
              </w:rPr>
              <w:t>11</w:t>
            </w:r>
            <w:r>
              <w:rPr>
                <w:rFonts w:hint="eastAsia"/>
                <w:sz w:val="21"/>
                <w:szCs w:val="21"/>
              </w:rPr>
              <w:t>项</w:t>
            </w:r>
          </w:p>
        </w:tc>
        <w:tc>
          <w:tcPr>
            <w:tcW w:w="1734" w:type="dxa"/>
            <w:vAlign w:val="center"/>
          </w:tcPr>
          <w:p w14:paraId="4273B3CD">
            <w:pPr>
              <w:spacing w:line="240" w:lineRule="auto"/>
              <w:ind w:firstLine="0" w:firstLineChars="0"/>
              <w:rPr>
                <w:sz w:val="21"/>
                <w:szCs w:val="21"/>
              </w:rPr>
            </w:pPr>
            <w:r>
              <w:rPr>
                <w:rFonts w:hint="eastAsia"/>
                <w:sz w:val="21"/>
                <w:szCs w:val="21"/>
              </w:rPr>
              <w:t>p</w:t>
            </w:r>
            <w:r>
              <w:rPr>
                <w:sz w:val="21"/>
                <w:szCs w:val="21"/>
              </w:rPr>
              <w:t>H</w:t>
            </w:r>
            <w:r>
              <w:rPr>
                <w:rFonts w:hint="eastAsia"/>
                <w:sz w:val="21"/>
                <w:szCs w:val="21"/>
              </w:rPr>
              <w:t>、砷、镉、铬、铜、锌、铅、汞、镍</w:t>
            </w:r>
          </w:p>
        </w:tc>
        <w:tc>
          <w:tcPr>
            <w:tcW w:w="1497" w:type="dxa"/>
            <w:vAlign w:val="center"/>
          </w:tcPr>
          <w:p w14:paraId="6BC59B68">
            <w:pPr>
              <w:spacing w:line="240" w:lineRule="auto"/>
              <w:ind w:firstLine="0" w:firstLineChars="0"/>
              <w:jc w:val="center"/>
              <w:rPr>
                <w:sz w:val="21"/>
                <w:szCs w:val="21"/>
              </w:rPr>
            </w:pPr>
            <w:r>
              <w:rPr>
                <w:rFonts w:hint="eastAsia"/>
                <w:sz w:val="21"/>
                <w:szCs w:val="21"/>
              </w:rPr>
              <w:t>/</w:t>
            </w:r>
          </w:p>
        </w:tc>
      </w:tr>
      <w:tr w14:paraId="69F8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588D91C6">
            <w:pPr>
              <w:spacing w:line="240" w:lineRule="auto"/>
              <w:ind w:firstLine="0" w:firstLineChars="0"/>
              <w:jc w:val="center"/>
              <w:rPr>
                <w:sz w:val="21"/>
                <w:szCs w:val="21"/>
              </w:rPr>
            </w:pPr>
            <w:r>
              <w:rPr>
                <w:rFonts w:hint="eastAsia"/>
                <w:sz w:val="21"/>
                <w:szCs w:val="21"/>
              </w:rPr>
              <w:t>6</w:t>
            </w:r>
          </w:p>
        </w:tc>
        <w:tc>
          <w:tcPr>
            <w:tcW w:w="1512" w:type="dxa"/>
            <w:vAlign w:val="center"/>
          </w:tcPr>
          <w:p w14:paraId="4A1E3F95">
            <w:pPr>
              <w:spacing w:line="240" w:lineRule="auto"/>
              <w:ind w:firstLine="0" w:firstLineChars="0"/>
              <w:jc w:val="center"/>
              <w:rPr>
                <w:sz w:val="21"/>
                <w:szCs w:val="21"/>
              </w:rPr>
            </w:pPr>
            <w:r>
              <w:rPr>
                <w:rFonts w:hint="eastAsia"/>
                <w:sz w:val="21"/>
                <w:szCs w:val="21"/>
              </w:rPr>
              <w:t>生态环境</w:t>
            </w:r>
          </w:p>
        </w:tc>
        <w:tc>
          <w:tcPr>
            <w:tcW w:w="2889" w:type="dxa"/>
            <w:vAlign w:val="center"/>
          </w:tcPr>
          <w:p w14:paraId="057A0B21">
            <w:pPr>
              <w:spacing w:line="240" w:lineRule="auto"/>
              <w:ind w:firstLine="0" w:firstLineChars="0"/>
              <w:rPr>
                <w:sz w:val="21"/>
                <w:szCs w:val="21"/>
              </w:rPr>
            </w:pPr>
            <w:r>
              <w:rPr>
                <w:rFonts w:hint="eastAsia"/>
                <w:sz w:val="21"/>
                <w:szCs w:val="21"/>
              </w:rPr>
              <w:t>土地利用、土壤、植被、野生动物</w:t>
            </w:r>
          </w:p>
        </w:tc>
        <w:tc>
          <w:tcPr>
            <w:tcW w:w="1734" w:type="dxa"/>
            <w:vAlign w:val="center"/>
          </w:tcPr>
          <w:p w14:paraId="360995DB">
            <w:pPr>
              <w:spacing w:line="240" w:lineRule="auto"/>
              <w:ind w:firstLine="0" w:firstLineChars="0"/>
              <w:jc w:val="center"/>
              <w:rPr>
                <w:sz w:val="21"/>
                <w:szCs w:val="21"/>
              </w:rPr>
            </w:pPr>
            <w:r>
              <w:rPr>
                <w:rFonts w:hint="eastAsia"/>
                <w:sz w:val="21"/>
                <w:szCs w:val="21"/>
              </w:rPr>
              <w:t>土地利用、土壤、植被、水土流失</w:t>
            </w:r>
          </w:p>
        </w:tc>
        <w:tc>
          <w:tcPr>
            <w:tcW w:w="1497" w:type="dxa"/>
            <w:vAlign w:val="center"/>
          </w:tcPr>
          <w:p w14:paraId="28C6B41F">
            <w:pPr>
              <w:spacing w:line="240" w:lineRule="auto"/>
              <w:ind w:firstLine="0" w:firstLineChars="0"/>
              <w:jc w:val="center"/>
              <w:rPr>
                <w:sz w:val="21"/>
                <w:szCs w:val="21"/>
              </w:rPr>
            </w:pPr>
            <w:r>
              <w:rPr>
                <w:rFonts w:hint="eastAsia"/>
                <w:sz w:val="21"/>
                <w:szCs w:val="21"/>
              </w:rPr>
              <w:t>/</w:t>
            </w:r>
          </w:p>
        </w:tc>
      </w:tr>
      <w:tr w14:paraId="147B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0BCE5263">
            <w:pPr>
              <w:spacing w:line="240" w:lineRule="auto"/>
              <w:ind w:firstLine="0" w:firstLineChars="0"/>
              <w:jc w:val="center"/>
              <w:rPr>
                <w:sz w:val="21"/>
                <w:szCs w:val="21"/>
              </w:rPr>
            </w:pPr>
            <w:r>
              <w:rPr>
                <w:rFonts w:hint="eastAsia"/>
                <w:sz w:val="21"/>
                <w:szCs w:val="21"/>
              </w:rPr>
              <w:t>7</w:t>
            </w:r>
          </w:p>
        </w:tc>
        <w:tc>
          <w:tcPr>
            <w:tcW w:w="1512" w:type="dxa"/>
            <w:vAlign w:val="center"/>
          </w:tcPr>
          <w:p w14:paraId="053B67E6">
            <w:pPr>
              <w:spacing w:line="240" w:lineRule="auto"/>
              <w:ind w:firstLine="0" w:firstLineChars="0"/>
              <w:jc w:val="center"/>
              <w:rPr>
                <w:sz w:val="21"/>
                <w:szCs w:val="21"/>
              </w:rPr>
            </w:pPr>
            <w:r>
              <w:rPr>
                <w:rFonts w:hint="eastAsia"/>
                <w:sz w:val="21"/>
                <w:szCs w:val="21"/>
              </w:rPr>
              <w:t>环境风险评价</w:t>
            </w:r>
          </w:p>
        </w:tc>
        <w:tc>
          <w:tcPr>
            <w:tcW w:w="2889" w:type="dxa"/>
            <w:vAlign w:val="center"/>
          </w:tcPr>
          <w:p w14:paraId="530DA46A">
            <w:pPr>
              <w:spacing w:line="240" w:lineRule="auto"/>
              <w:ind w:firstLine="0" w:firstLineChars="0"/>
              <w:jc w:val="center"/>
              <w:rPr>
                <w:sz w:val="21"/>
                <w:szCs w:val="21"/>
              </w:rPr>
            </w:pPr>
            <w:r>
              <w:rPr>
                <w:rFonts w:hint="eastAsia"/>
                <w:sz w:val="21"/>
                <w:szCs w:val="21"/>
              </w:rPr>
              <w:t>/</w:t>
            </w:r>
          </w:p>
        </w:tc>
        <w:tc>
          <w:tcPr>
            <w:tcW w:w="1734" w:type="dxa"/>
            <w:vAlign w:val="center"/>
          </w:tcPr>
          <w:p w14:paraId="4D6969BF">
            <w:pPr>
              <w:spacing w:line="240" w:lineRule="auto"/>
              <w:ind w:firstLine="0" w:firstLineChars="0"/>
              <w:jc w:val="center"/>
              <w:rPr>
                <w:sz w:val="21"/>
                <w:szCs w:val="21"/>
              </w:rPr>
            </w:pPr>
            <w:r>
              <w:rPr>
                <w:rFonts w:hint="eastAsia"/>
                <w:sz w:val="21"/>
                <w:szCs w:val="21"/>
              </w:rPr>
              <w:t>火灾、爆炸</w:t>
            </w:r>
          </w:p>
        </w:tc>
        <w:tc>
          <w:tcPr>
            <w:tcW w:w="1497" w:type="dxa"/>
            <w:vAlign w:val="center"/>
          </w:tcPr>
          <w:p w14:paraId="600AAC29">
            <w:pPr>
              <w:spacing w:line="240" w:lineRule="auto"/>
              <w:ind w:firstLine="0" w:firstLineChars="0"/>
              <w:jc w:val="center"/>
              <w:rPr>
                <w:sz w:val="21"/>
                <w:szCs w:val="21"/>
              </w:rPr>
            </w:pPr>
            <w:r>
              <w:rPr>
                <w:rFonts w:hint="eastAsia"/>
                <w:sz w:val="21"/>
                <w:szCs w:val="21"/>
              </w:rPr>
              <w:t>/</w:t>
            </w:r>
          </w:p>
        </w:tc>
      </w:tr>
    </w:tbl>
    <w:p w14:paraId="636A8A13">
      <w:pPr>
        <w:pStyle w:val="4"/>
      </w:pPr>
      <w:bookmarkStart w:id="39" w:name="_Toc89619328"/>
      <w:r>
        <w:rPr>
          <w:rFonts w:hint="eastAsia"/>
        </w:rPr>
        <w:t>2.5环境功能区划及评价标准</w:t>
      </w:r>
      <w:bookmarkEnd w:id="39"/>
    </w:p>
    <w:p w14:paraId="093FE874">
      <w:pPr>
        <w:pStyle w:val="5"/>
      </w:pPr>
      <w:bookmarkStart w:id="40" w:name="_Toc106663439"/>
      <w:r>
        <w:rPr>
          <w:rFonts w:hint="eastAsia"/>
        </w:rPr>
        <w:t>2.5.1环境功能区划</w:t>
      </w:r>
      <w:bookmarkEnd w:id="40"/>
    </w:p>
    <w:p w14:paraId="73C54CAE">
      <w:pPr>
        <w:pStyle w:val="6"/>
        <w:ind w:firstLine="482"/>
      </w:pPr>
      <w:r>
        <w:rPr>
          <w:rFonts w:hint="eastAsia"/>
        </w:rPr>
        <w:t>2.5.1.1环境空气功能区划</w:t>
      </w:r>
    </w:p>
    <w:p w14:paraId="731BA54C">
      <w:pPr>
        <w:ind w:firstLine="480"/>
      </w:pPr>
      <w:r>
        <w:t>本项目位于</w:t>
      </w:r>
      <w:r>
        <w:rPr>
          <w:rFonts w:hint="eastAsia"/>
        </w:rPr>
        <w:t>木垒县雀仁乡西北侧约3.9km处</w:t>
      </w:r>
      <w:r>
        <w:t>，周边无自然保护区、风景名胜区和其他需要特殊保护的区域</w:t>
      </w:r>
      <w:r>
        <w:rPr>
          <w:rFonts w:hint="eastAsia"/>
        </w:rPr>
        <w:t>。</w:t>
      </w:r>
      <w:r>
        <w:t>根据环境空气功能区分类，评价区环境空气功能区为二类区，执行《环境空气质量标准》</w:t>
      </w:r>
      <w:r>
        <w:rPr>
          <w:rFonts w:hint="eastAsia"/>
        </w:rPr>
        <w:t>（</w:t>
      </w:r>
      <w:r>
        <w:t>GB3095-2012</w:t>
      </w:r>
      <w:r>
        <w:rPr>
          <w:rFonts w:hint="eastAsia"/>
        </w:rPr>
        <w:t>）</w:t>
      </w:r>
      <w:r>
        <w:t>中二级标准</w:t>
      </w:r>
      <w:r>
        <w:rPr>
          <w:rFonts w:hint="eastAsia"/>
        </w:rPr>
        <w:t>。</w:t>
      </w:r>
    </w:p>
    <w:p w14:paraId="06A138A4">
      <w:pPr>
        <w:pStyle w:val="6"/>
        <w:ind w:firstLine="482"/>
      </w:pPr>
      <w:r>
        <w:rPr>
          <w:rFonts w:hint="eastAsia"/>
        </w:rPr>
        <w:t>2.5.1.2水环境功能区划</w:t>
      </w:r>
    </w:p>
    <w:p w14:paraId="7206B1EF">
      <w:pPr>
        <w:ind w:firstLine="480"/>
      </w:pPr>
      <w:r>
        <w:t>根据《地下水质量标准》</w:t>
      </w:r>
      <w:r>
        <w:rPr>
          <w:rFonts w:hint="eastAsia"/>
        </w:rPr>
        <w:t>（</w:t>
      </w:r>
      <w:r>
        <w:t>GB/T14848-2017</w:t>
      </w:r>
      <w:r>
        <w:rPr>
          <w:rFonts w:hint="eastAsia"/>
        </w:rPr>
        <w:t>）</w:t>
      </w:r>
      <w:r>
        <w:t>中地下水质量分类</w:t>
      </w:r>
      <w:r>
        <w:rPr>
          <w:rFonts w:hint="eastAsia"/>
          <w:sz w:val="21"/>
          <w:szCs w:val="21"/>
        </w:rPr>
        <w:t>“</w:t>
      </w:r>
      <w:r>
        <w:t>以人体健康基准值为依据</w:t>
      </w:r>
      <w:r>
        <w:rPr>
          <w:rFonts w:hint="eastAsia"/>
        </w:rPr>
        <w:t>”</w:t>
      </w:r>
      <w:r>
        <w:t>的要求，主要适用于集中式生活饮用水水源及工、农业用水的地下水为Ⅲ类水质</w:t>
      </w:r>
      <w:r>
        <w:rPr>
          <w:rFonts w:hint="eastAsia"/>
        </w:rPr>
        <w:t>。</w:t>
      </w:r>
      <w:r>
        <w:t>本项目所在区域地下水执行《地下水质量标准》</w:t>
      </w:r>
      <w:r>
        <w:rPr>
          <w:rFonts w:hint="eastAsia"/>
        </w:rPr>
        <w:t>（</w:t>
      </w:r>
      <w:r>
        <w:t>GB/T14848-2017</w:t>
      </w:r>
      <w:r>
        <w:rPr>
          <w:rFonts w:hint="eastAsia"/>
        </w:rPr>
        <w:t>）</w:t>
      </w:r>
      <w:r>
        <w:t>中的Ⅲ类标准</w:t>
      </w:r>
      <w:r>
        <w:rPr>
          <w:rFonts w:hint="eastAsia"/>
        </w:rPr>
        <w:t>。</w:t>
      </w:r>
    </w:p>
    <w:p w14:paraId="05E50D2C">
      <w:pPr>
        <w:pStyle w:val="6"/>
        <w:ind w:firstLine="482"/>
      </w:pPr>
      <w:r>
        <w:rPr>
          <w:rFonts w:hint="eastAsia"/>
        </w:rPr>
        <w:t>2.5.1.3声环境功能区划</w:t>
      </w:r>
    </w:p>
    <w:p w14:paraId="3F370177">
      <w:pPr>
        <w:ind w:firstLine="480"/>
      </w:pPr>
      <w:r>
        <w:t>根据声环境功能区划分，项目所在地为2类声环境功能区，执行《声环境质量标准》</w:t>
      </w:r>
      <w:r>
        <w:rPr>
          <w:rFonts w:hint="eastAsia"/>
        </w:rPr>
        <w:t>（</w:t>
      </w:r>
      <w:r>
        <w:t>GB3096-2008</w:t>
      </w:r>
      <w:r>
        <w:rPr>
          <w:rFonts w:hint="eastAsia"/>
        </w:rPr>
        <w:t>）</w:t>
      </w:r>
      <w:r>
        <w:t>中2类标准要求</w:t>
      </w:r>
      <w:r>
        <w:rPr>
          <w:rFonts w:hint="eastAsia"/>
        </w:rPr>
        <w:t>。</w:t>
      </w:r>
    </w:p>
    <w:p w14:paraId="3C3FF9B6">
      <w:pPr>
        <w:pStyle w:val="6"/>
        <w:ind w:firstLine="482"/>
      </w:pPr>
      <w:r>
        <w:rPr>
          <w:rFonts w:hint="eastAsia"/>
        </w:rPr>
        <w:t>2.5.1.4生态环境功能区划</w:t>
      </w:r>
    </w:p>
    <w:p w14:paraId="7D5B9FE4">
      <w:pPr>
        <w:ind w:firstLine="480"/>
      </w:pPr>
      <w:r>
        <w:t>根据《新疆生态功能区划》，本项目所在区域属于</w:t>
      </w:r>
      <w:r>
        <w:rPr>
          <w:rFonts w:hint="eastAsia"/>
        </w:rPr>
        <w:t>“II准噶尔盆地温性荒漠与绿洲农业生态区：II</w:t>
      </w:r>
      <w:r>
        <w:rPr>
          <w:rFonts w:hint="eastAsia"/>
          <w:vertAlign w:val="subscript"/>
        </w:rPr>
        <w:t>5</w:t>
      </w:r>
      <w:r>
        <w:rPr>
          <w:rFonts w:hint="eastAsia"/>
        </w:rPr>
        <w:t>准噶尔盆地南部荒漠绿洲农业生态亚区”。</w:t>
      </w:r>
    </w:p>
    <w:p w14:paraId="3F11F9CB">
      <w:pPr>
        <w:ind w:firstLine="0" w:firstLineChars="0"/>
        <w:jc w:val="center"/>
        <w:rPr>
          <w:b/>
          <w:bCs/>
        </w:rPr>
      </w:pPr>
      <w:r>
        <w:rPr>
          <w:rFonts w:hint="eastAsia"/>
          <w:b/>
          <w:bCs/>
        </w:rPr>
        <w:t>表2.5-1本项目所属生态功能区主要特征</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6489"/>
      </w:tblGrid>
      <w:tr w14:paraId="29E2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14:paraId="2FA8C646">
            <w:pPr>
              <w:ind w:firstLine="0" w:firstLineChars="0"/>
              <w:jc w:val="center"/>
              <w:rPr>
                <w:sz w:val="21"/>
              </w:rPr>
            </w:pPr>
            <w:r>
              <w:rPr>
                <w:rFonts w:hint="eastAsia"/>
                <w:sz w:val="21"/>
              </w:rPr>
              <w:t>功能区</w:t>
            </w:r>
          </w:p>
        </w:tc>
        <w:tc>
          <w:tcPr>
            <w:tcW w:w="3807" w:type="pct"/>
          </w:tcPr>
          <w:p w14:paraId="78CB49FC">
            <w:pPr>
              <w:ind w:firstLine="0" w:firstLineChars="0"/>
              <w:jc w:val="center"/>
              <w:rPr>
                <w:sz w:val="21"/>
              </w:rPr>
            </w:pPr>
            <w:r>
              <w:rPr>
                <w:rFonts w:hint="eastAsia"/>
                <w:sz w:val="21"/>
              </w:rPr>
              <w:t>28.阜康-木垒绿洲农业、荒漠草地保护生态功能区</w:t>
            </w:r>
          </w:p>
        </w:tc>
      </w:tr>
      <w:tr w14:paraId="5A22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14:paraId="6A60F03C">
            <w:pPr>
              <w:ind w:firstLine="0" w:firstLineChars="0"/>
              <w:jc w:val="center"/>
              <w:rPr>
                <w:sz w:val="21"/>
              </w:rPr>
            </w:pPr>
            <w:r>
              <w:rPr>
                <w:rFonts w:hint="eastAsia"/>
                <w:sz w:val="21"/>
              </w:rPr>
              <w:t>主要生态服务功能</w:t>
            </w:r>
          </w:p>
        </w:tc>
        <w:tc>
          <w:tcPr>
            <w:tcW w:w="3807" w:type="pct"/>
          </w:tcPr>
          <w:p w14:paraId="23ED1A98">
            <w:pPr>
              <w:ind w:firstLine="0" w:firstLineChars="0"/>
              <w:jc w:val="center"/>
              <w:rPr>
                <w:sz w:val="21"/>
              </w:rPr>
            </w:pPr>
            <w:r>
              <w:rPr>
                <w:rFonts w:hint="eastAsia"/>
                <w:sz w:val="21"/>
              </w:rPr>
              <w:t>农牧业产品生产、人居环境、荒漠化控制</w:t>
            </w:r>
          </w:p>
        </w:tc>
      </w:tr>
      <w:tr w14:paraId="6DBE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14:paraId="66C68931">
            <w:pPr>
              <w:ind w:firstLine="0" w:firstLineChars="0"/>
              <w:jc w:val="center"/>
              <w:rPr>
                <w:sz w:val="21"/>
              </w:rPr>
            </w:pPr>
            <w:r>
              <w:rPr>
                <w:rFonts w:hint="eastAsia"/>
                <w:sz w:val="21"/>
              </w:rPr>
              <w:t>主要生态环境问题</w:t>
            </w:r>
          </w:p>
        </w:tc>
        <w:tc>
          <w:tcPr>
            <w:tcW w:w="3807" w:type="pct"/>
          </w:tcPr>
          <w:p w14:paraId="6989FD15">
            <w:pPr>
              <w:ind w:firstLine="0" w:firstLineChars="0"/>
              <w:jc w:val="center"/>
              <w:rPr>
                <w:sz w:val="21"/>
              </w:rPr>
            </w:pPr>
            <w:r>
              <w:rPr>
                <w:rFonts w:hint="eastAsia"/>
                <w:sz w:val="21"/>
              </w:rPr>
              <w:t>地下水超采、荒漠植被退化、沙漠化威胁、局部土壤盐渍化、河流萎缩、滥开荒地</w:t>
            </w:r>
          </w:p>
        </w:tc>
      </w:tr>
      <w:tr w14:paraId="0CBD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14:paraId="5241DA3C">
            <w:pPr>
              <w:ind w:firstLine="0" w:firstLineChars="0"/>
              <w:jc w:val="center"/>
              <w:rPr>
                <w:sz w:val="21"/>
              </w:rPr>
            </w:pPr>
            <w:r>
              <w:rPr>
                <w:rFonts w:hint="eastAsia"/>
                <w:sz w:val="21"/>
              </w:rPr>
              <w:t>主要生态敏感因子、敏感程度</w:t>
            </w:r>
          </w:p>
        </w:tc>
        <w:tc>
          <w:tcPr>
            <w:tcW w:w="3807" w:type="pct"/>
          </w:tcPr>
          <w:p w14:paraId="435E1E51">
            <w:pPr>
              <w:ind w:firstLine="0" w:firstLineChars="0"/>
              <w:jc w:val="center"/>
              <w:rPr>
                <w:sz w:val="21"/>
              </w:rPr>
            </w:pPr>
            <w:r>
              <w:rPr>
                <w:rFonts w:hint="eastAsia"/>
                <w:sz w:val="21"/>
              </w:rPr>
              <w:t>生物多样性及其生态环境中敏感程度，土壤侵蚀轻度敏感，土地沙漠化中度敏感，土壤盐渍化轻度敏感</w:t>
            </w:r>
          </w:p>
        </w:tc>
      </w:tr>
      <w:tr w14:paraId="6942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14:paraId="6B4E9EAD">
            <w:pPr>
              <w:ind w:firstLine="0" w:firstLineChars="0"/>
              <w:jc w:val="center"/>
              <w:rPr>
                <w:sz w:val="21"/>
              </w:rPr>
            </w:pPr>
            <w:r>
              <w:rPr>
                <w:rFonts w:hint="eastAsia"/>
                <w:sz w:val="21"/>
              </w:rPr>
              <w:t>主要保护目标</w:t>
            </w:r>
          </w:p>
        </w:tc>
        <w:tc>
          <w:tcPr>
            <w:tcW w:w="3807" w:type="pct"/>
          </w:tcPr>
          <w:p w14:paraId="422A3BBF">
            <w:pPr>
              <w:ind w:firstLine="0" w:firstLineChars="0"/>
              <w:jc w:val="center"/>
              <w:rPr>
                <w:sz w:val="21"/>
              </w:rPr>
            </w:pPr>
            <w:r>
              <w:rPr>
                <w:rFonts w:hint="eastAsia"/>
                <w:sz w:val="21"/>
              </w:rPr>
              <w:t>保护基本农田、保护荒漠植被、保护土壤环境质量</w:t>
            </w:r>
          </w:p>
        </w:tc>
      </w:tr>
      <w:tr w14:paraId="3F06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14:paraId="4888B716">
            <w:pPr>
              <w:ind w:firstLine="0" w:firstLineChars="0"/>
              <w:jc w:val="center"/>
              <w:rPr>
                <w:sz w:val="21"/>
              </w:rPr>
            </w:pPr>
            <w:r>
              <w:rPr>
                <w:rFonts w:hint="eastAsia"/>
                <w:sz w:val="21"/>
              </w:rPr>
              <w:t>主要保护措施</w:t>
            </w:r>
          </w:p>
        </w:tc>
        <w:tc>
          <w:tcPr>
            <w:tcW w:w="3807" w:type="pct"/>
          </w:tcPr>
          <w:p w14:paraId="3FE493CB">
            <w:pPr>
              <w:ind w:firstLine="0" w:firstLineChars="0"/>
              <w:jc w:val="center"/>
              <w:rPr>
                <w:sz w:val="21"/>
              </w:rPr>
            </w:pPr>
            <w:r>
              <w:rPr>
                <w:rFonts w:hint="eastAsia"/>
                <w:sz w:val="21"/>
              </w:rPr>
              <w:t>节水灌溉、草场休牧、对坡耕地和沙化土地实施退耕还林（草），在水源无保障、植被稀少、生态脆弱地带禁止开荒、加强农田投入品的使用管理</w:t>
            </w:r>
          </w:p>
        </w:tc>
      </w:tr>
      <w:tr w14:paraId="427E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tcPr>
          <w:p w14:paraId="7F231C22">
            <w:pPr>
              <w:ind w:firstLine="0" w:firstLineChars="0"/>
              <w:jc w:val="center"/>
              <w:rPr>
                <w:sz w:val="21"/>
              </w:rPr>
            </w:pPr>
            <w:r>
              <w:rPr>
                <w:rFonts w:hint="eastAsia"/>
                <w:sz w:val="21"/>
              </w:rPr>
              <w:t>适宜发展方向</w:t>
            </w:r>
          </w:p>
        </w:tc>
        <w:tc>
          <w:tcPr>
            <w:tcW w:w="3807" w:type="pct"/>
          </w:tcPr>
          <w:p w14:paraId="00FB447C">
            <w:pPr>
              <w:ind w:firstLine="0" w:firstLineChars="0"/>
              <w:jc w:val="center"/>
              <w:rPr>
                <w:sz w:val="21"/>
              </w:rPr>
            </w:pPr>
            <w:r>
              <w:rPr>
                <w:rFonts w:hint="eastAsia"/>
                <w:sz w:val="21"/>
              </w:rPr>
              <w:t>农牧结合，发展优质、高效特色农业和畜牧业</w:t>
            </w:r>
          </w:p>
        </w:tc>
      </w:tr>
    </w:tbl>
    <w:p w14:paraId="1A6B8C38">
      <w:pPr>
        <w:pStyle w:val="5"/>
      </w:pPr>
      <w:bookmarkStart w:id="41" w:name="_Toc106663440"/>
      <w:r>
        <w:rPr>
          <w:rFonts w:hint="eastAsia"/>
        </w:rPr>
        <w:t>2.5.2评价标准</w:t>
      </w:r>
      <w:bookmarkEnd w:id="41"/>
    </w:p>
    <w:p w14:paraId="2AEF116B">
      <w:pPr>
        <w:pStyle w:val="6"/>
        <w:ind w:firstLine="482"/>
      </w:pPr>
      <w:r>
        <w:rPr>
          <w:rFonts w:hint="eastAsia"/>
        </w:rPr>
        <w:t>2.5.2.1环境质量标准</w:t>
      </w:r>
    </w:p>
    <w:p w14:paraId="307BFDE1">
      <w:pPr>
        <w:ind w:firstLine="480"/>
      </w:pPr>
      <w:r>
        <w:rPr>
          <w:rFonts w:hint="eastAsia"/>
        </w:rPr>
        <w:t>（1）环境空气质量标准</w:t>
      </w:r>
    </w:p>
    <w:p w14:paraId="1FC76992">
      <w:pPr>
        <w:ind w:firstLine="480"/>
      </w:pPr>
      <w:r>
        <w:rPr>
          <w:rFonts w:hint="eastAsia"/>
        </w:rPr>
        <w:t>本项目所在地点所属环境空气区域为二类区。故评价区域大气环境质量常规污染物选用《环境空气质量标准》（GB3095-2012）中的二级标准；氨和硫化氢选用《环境影响评价技术导则-大气环境》（HJ2.2-2018）中附录D氨和硫化氢的1h浓度限值。标准值见表2.5-2。</w:t>
      </w:r>
    </w:p>
    <w:p w14:paraId="4029CECB">
      <w:pPr>
        <w:pStyle w:val="11"/>
      </w:pPr>
      <w:r>
        <w:rPr>
          <w:rFonts w:hint="eastAsia"/>
        </w:rPr>
        <w:t>表2.5-2环境空气污染物浓度限值</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853"/>
        <w:gridCol w:w="1985"/>
        <w:gridCol w:w="992"/>
        <w:gridCol w:w="851"/>
        <w:gridCol w:w="2318"/>
      </w:tblGrid>
      <w:tr w14:paraId="1749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vAlign w:val="center"/>
          </w:tcPr>
          <w:p w14:paraId="1EEF29E6">
            <w:pPr>
              <w:spacing w:line="240" w:lineRule="auto"/>
              <w:ind w:left="-120" w:leftChars="-50" w:right="-120" w:rightChars="-50" w:firstLine="0" w:firstLineChars="0"/>
              <w:jc w:val="center"/>
              <w:rPr>
                <w:sz w:val="21"/>
                <w:szCs w:val="21"/>
              </w:rPr>
            </w:pPr>
            <w:r>
              <w:rPr>
                <w:rFonts w:hint="eastAsia"/>
                <w:sz w:val="21"/>
                <w:szCs w:val="21"/>
              </w:rPr>
              <w:t>序号</w:t>
            </w:r>
          </w:p>
        </w:tc>
        <w:tc>
          <w:tcPr>
            <w:tcW w:w="1853" w:type="dxa"/>
            <w:vAlign w:val="center"/>
          </w:tcPr>
          <w:p w14:paraId="58272276">
            <w:pPr>
              <w:spacing w:line="240" w:lineRule="auto"/>
              <w:ind w:left="-120" w:leftChars="-50" w:right="-120" w:rightChars="-50" w:firstLine="0" w:firstLineChars="0"/>
              <w:jc w:val="center"/>
              <w:rPr>
                <w:sz w:val="21"/>
                <w:szCs w:val="21"/>
              </w:rPr>
            </w:pPr>
            <w:r>
              <w:rPr>
                <w:rFonts w:hint="eastAsia"/>
                <w:sz w:val="21"/>
                <w:szCs w:val="21"/>
              </w:rPr>
              <w:t>污染物项目</w:t>
            </w:r>
          </w:p>
        </w:tc>
        <w:tc>
          <w:tcPr>
            <w:tcW w:w="1985" w:type="dxa"/>
            <w:vAlign w:val="center"/>
          </w:tcPr>
          <w:p w14:paraId="7061F4C3">
            <w:pPr>
              <w:spacing w:line="240" w:lineRule="auto"/>
              <w:ind w:left="-120" w:leftChars="-50" w:right="-120" w:rightChars="-50" w:firstLine="0" w:firstLineChars="0"/>
              <w:jc w:val="center"/>
              <w:rPr>
                <w:sz w:val="21"/>
                <w:szCs w:val="21"/>
              </w:rPr>
            </w:pPr>
            <w:r>
              <w:rPr>
                <w:rFonts w:hint="eastAsia"/>
                <w:sz w:val="21"/>
                <w:szCs w:val="21"/>
              </w:rPr>
              <w:t>平均时间</w:t>
            </w:r>
          </w:p>
        </w:tc>
        <w:tc>
          <w:tcPr>
            <w:tcW w:w="992" w:type="dxa"/>
            <w:vAlign w:val="center"/>
          </w:tcPr>
          <w:p w14:paraId="78F7CC41">
            <w:pPr>
              <w:spacing w:line="240" w:lineRule="auto"/>
              <w:ind w:left="-120" w:leftChars="-50" w:right="-120" w:rightChars="-50" w:firstLine="0" w:firstLineChars="0"/>
              <w:jc w:val="center"/>
              <w:rPr>
                <w:sz w:val="21"/>
                <w:szCs w:val="21"/>
              </w:rPr>
            </w:pPr>
            <w:r>
              <w:rPr>
                <w:rFonts w:hint="eastAsia"/>
                <w:sz w:val="21"/>
                <w:szCs w:val="21"/>
              </w:rPr>
              <w:t>浓度限值</w:t>
            </w:r>
          </w:p>
        </w:tc>
        <w:tc>
          <w:tcPr>
            <w:tcW w:w="851" w:type="dxa"/>
            <w:vAlign w:val="center"/>
          </w:tcPr>
          <w:p w14:paraId="5563DDB6">
            <w:pPr>
              <w:spacing w:line="240" w:lineRule="auto"/>
              <w:ind w:left="-120" w:leftChars="-50" w:right="-120" w:rightChars="-50" w:firstLine="0" w:firstLineChars="0"/>
              <w:jc w:val="center"/>
              <w:rPr>
                <w:sz w:val="21"/>
                <w:szCs w:val="21"/>
              </w:rPr>
            </w:pPr>
            <w:r>
              <w:rPr>
                <w:rFonts w:hint="eastAsia"/>
                <w:sz w:val="21"/>
                <w:szCs w:val="21"/>
              </w:rPr>
              <w:t>单位</w:t>
            </w:r>
          </w:p>
        </w:tc>
        <w:tc>
          <w:tcPr>
            <w:tcW w:w="2318" w:type="dxa"/>
            <w:vAlign w:val="center"/>
          </w:tcPr>
          <w:p w14:paraId="733D71F2">
            <w:pPr>
              <w:spacing w:line="240" w:lineRule="auto"/>
              <w:ind w:left="-120" w:leftChars="-50" w:right="-120" w:rightChars="-50" w:firstLine="0" w:firstLineChars="0"/>
              <w:jc w:val="center"/>
              <w:rPr>
                <w:sz w:val="21"/>
                <w:szCs w:val="21"/>
              </w:rPr>
            </w:pPr>
            <w:r>
              <w:rPr>
                <w:rFonts w:hint="eastAsia"/>
                <w:sz w:val="21"/>
                <w:szCs w:val="21"/>
              </w:rPr>
              <w:t>标准来源</w:t>
            </w:r>
          </w:p>
        </w:tc>
      </w:tr>
      <w:tr w14:paraId="2BE9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70557944">
            <w:pPr>
              <w:spacing w:line="240" w:lineRule="auto"/>
              <w:ind w:left="-120" w:leftChars="-50" w:right="-120" w:rightChars="-50" w:firstLine="0" w:firstLineChars="0"/>
              <w:jc w:val="center"/>
              <w:rPr>
                <w:sz w:val="21"/>
                <w:szCs w:val="21"/>
              </w:rPr>
            </w:pPr>
            <w:r>
              <w:rPr>
                <w:rFonts w:hint="eastAsia"/>
                <w:sz w:val="21"/>
                <w:szCs w:val="21"/>
              </w:rPr>
              <w:t>1</w:t>
            </w:r>
          </w:p>
        </w:tc>
        <w:tc>
          <w:tcPr>
            <w:tcW w:w="1853" w:type="dxa"/>
            <w:vMerge w:val="restart"/>
            <w:vAlign w:val="center"/>
          </w:tcPr>
          <w:p w14:paraId="1A1A0876">
            <w:pPr>
              <w:spacing w:line="240" w:lineRule="auto"/>
              <w:ind w:left="-120" w:leftChars="-50" w:right="-120" w:rightChars="-50" w:firstLine="0" w:firstLineChars="0"/>
              <w:jc w:val="center"/>
              <w:rPr>
                <w:sz w:val="21"/>
                <w:szCs w:val="21"/>
              </w:rPr>
            </w:pPr>
            <w:r>
              <w:rPr>
                <w:rFonts w:hint="eastAsia"/>
                <w:sz w:val="21"/>
                <w:szCs w:val="21"/>
              </w:rPr>
              <w:t>二氧化硫（SO</w:t>
            </w:r>
            <w:r>
              <w:rPr>
                <w:rFonts w:hint="eastAsia"/>
                <w:sz w:val="21"/>
                <w:szCs w:val="21"/>
                <w:vertAlign w:val="subscript"/>
              </w:rPr>
              <w:t>2</w:t>
            </w:r>
            <w:r>
              <w:rPr>
                <w:rFonts w:hint="eastAsia"/>
                <w:sz w:val="21"/>
                <w:szCs w:val="21"/>
              </w:rPr>
              <w:t>）</w:t>
            </w:r>
          </w:p>
        </w:tc>
        <w:tc>
          <w:tcPr>
            <w:tcW w:w="1985" w:type="dxa"/>
            <w:vAlign w:val="center"/>
          </w:tcPr>
          <w:p w14:paraId="73C359ED">
            <w:pPr>
              <w:spacing w:line="240" w:lineRule="auto"/>
              <w:ind w:left="-120" w:leftChars="-50" w:right="-120" w:rightChars="-50" w:firstLine="0" w:firstLineChars="0"/>
              <w:jc w:val="center"/>
              <w:rPr>
                <w:sz w:val="21"/>
                <w:szCs w:val="21"/>
              </w:rPr>
            </w:pPr>
            <w:r>
              <w:rPr>
                <w:rFonts w:hint="eastAsia"/>
                <w:sz w:val="21"/>
                <w:szCs w:val="21"/>
              </w:rPr>
              <w:t>年平均</w:t>
            </w:r>
          </w:p>
        </w:tc>
        <w:tc>
          <w:tcPr>
            <w:tcW w:w="992" w:type="dxa"/>
            <w:vAlign w:val="center"/>
          </w:tcPr>
          <w:p w14:paraId="285DC8BE">
            <w:pPr>
              <w:spacing w:line="240" w:lineRule="auto"/>
              <w:ind w:left="-120" w:leftChars="-50" w:right="-120" w:rightChars="-50" w:firstLine="0" w:firstLineChars="0"/>
              <w:jc w:val="center"/>
              <w:rPr>
                <w:sz w:val="21"/>
                <w:szCs w:val="21"/>
              </w:rPr>
            </w:pPr>
            <w:r>
              <w:rPr>
                <w:sz w:val="21"/>
                <w:szCs w:val="21"/>
              </w:rPr>
              <w:t>60</w:t>
            </w:r>
          </w:p>
        </w:tc>
        <w:tc>
          <w:tcPr>
            <w:tcW w:w="851" w:type="dxa"/>
            <w:vMerge w:val="restart"/>
            <w:vAlign w:val="center"/>
          </w:tcPr>
          <w:p w14:paraId="30EAED60">
            <w:pPr>
              <w:spacing w:line="240" w:lineRule="auto"/>
              <w:ind w:left="-120" w:leftChars="-50" w:right="-120" w:rightChars="-50" w:firstLine="0" w:firstLineChars="0"/>
              <w:jc w:val="center"/>
              <w:rPr>
                <w:sz w:val="21"/>
                <w:szCs w:val="21"/>
              </w:rPr>
            </w:pPr>
            <w:r>
              <w:rPr>
                <w:sz w:val="21"/>
                <w:szCs w:val="21"/>
              </w:rPr>
              <w:t>μg/m</w:t>
            </w:r>
            <w:r>
              <w:rPr>
                <w:sz w:val="21"/>
                <w:szCs w:val="21"/>
                <w:vertAlign w:val="superscript"/>
              </w:rPr>
              <w:t>3</w:t>
            </w:r>
          </w:p>
        </w:tc>
        <w:tc>
          <w:tcPr>
            <w:tcW w:w="2318" w:type="dxa"/>
            <w:vMerge w:val="restart"/>
            <w:vAlign w:val="center"/>
          </w:tcPr>
          <w:p w14:paraId="3FA1593C">
            <w:pPr>
              <w:spacing w:line="240" w:lineRule="auto"/>
              <w:ind w:left="-120" w:leftChars="-50" w:right="-120" w:rightChars="-50" w:firstLine="0" w:firstLineChars="0"/>
              <w:rPr>
                <w:sz w:val="21"/>
                <w:szCs w:val="21"/>
              </w:rPr>
            </w:pPr>
            <w:r>
              <w:rPr>
                <w:rFonts w:hint="eastAsia"/>
                <w:sz w:val="21"/>
                <w:szCs w:val="21"/>
              </w:rPr>
              <w:t>环境空气质量标准》（GB3095-2012）中二级标准</w:t>
            </w:r>
          </w:p>
        </w:tc>
      </w:tr>
      <w:tr w14:paraId="7660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2D3F656C">
            <w:pPr>
              <w:spacing w:line="240" w:lineRule="auto"/>
              <w:ind w:left="-120" w:leftChars="-50" w:right="-120" w:rightChars="-50" w:firstLine="0" w:firstLineChars="0"/>
              <w:jc w:val="center"/>
              <w:rPr>
                <w:sz w:val="21"/>
                <w:szCs w:val="21"/>
              </w:rPr>
            </w:pPr>
          </w:p>
        </w:tc>
        <w:tc>
          <w:tcPr>
            <w:tcW w:w="1853" w:type="dxa"/>
            <w:vMerge w:val="continue"/>
            <w:vAlign w:val="center"/>
          </w:tcPr>
          <w:p w14:paraId="742299B4">
            <w:pPr>
              <w:spacing w:line="240" w:lineRule="auto"/>
              <w:ind w:left="-120" w:leftChars="-50" w:right="-120" w:rightChars="-50" w:firstLine="0" w:firstLineChars="0"/>
              <w:jc w:val="center"/>
              <w:rPr>
                <w:sz w:val="21"/>
                <w:szCs w:val="21"/>
              </w:rPr>
            </w:pPr>
          </w:p>
        </w:tc>
        <w:tc>
          <w:tcPr>
            <w:tcW w:w="1985" w:type="dxa"/>
            <w:vAlign w:val="center"/>
          </w:tcPr>
          <w:p w14:paraId="6E6F7471">
            <w:pPr>
              <w:spacing w:line="240" w:lineRule="auto"/>
              <w:ind w:left="-120" w:leftChars="-50" w:right="-120" w:rightChars="-50" w:firstLine="0" w:firstLineChars="0"/>
              <w:jc w:val="center"/>
              <w:rPr>
                <w:sz w:val="21"/>
                <w:szCs w:val="21"/>
              </w:rPr>
            </w:pPr>
            <w:r>
              <w:rPr>
                <w:rFonts w:hint="eastAsia"/>
                <w:sz w:val="21"/>
                <w:szCs w:val="21"/>
              </w:rPr>
              <w:t>24小时平均</w:t>
            </w:r>
          </w:p>
        </w:tc>
        <w:tc>
          <w:tcPr>
            <w:tcW w:w="992" w:type="dxa"/>
            <w:vAlign w:val="center"/>
          </w:tcPr>
          <w:p w14:paraId="44D2FC2D">
            <w:pPr>
              <w:spacing w:line="240" w:lineRule="auto"/>
              <w:ind w:left="-120" w:leftChars="-50" w:right="-120" w:rightChars="-50" w:firstLine="0" w:firstLineChars="0"/>
              <w:jc w:val="center"/>
              <w:rPr>
                <w:sz w:val="21"/>
                <w:szCs w:val="21"/>
              </w:rPr>
            </w:pPr>
            <w:r>
              <w:rPr>
                <w:sz w:val="21"/>
                <w:szCs w:val="21"/>
              </w:rPr>
              <w:t>150</w:t>
            </w:r>
          </w:p>
        </w:tc>
        <w:tc>
          <w:tcPr>
            <w:tcW w:w="851" w:type="dxa"/>
            <w:vMerge w:val="continue"/>
            <w:vAlign w:val="center"/>
          </w:tcPr>
          <w:p w14:paraId="6D211E31">
            <w:pPr>
              <w:spacing w:line="240" w:lineRule="auto"/>
              <w:ind w:left="-120" w:leftChars="-50" w:right="-120" w:rightChars="-50" w:firstLine="0" w:firstLineChars="0"/>
              <w:jc w:val="center"/>
              <w:rPr>
                <w:sz w:val="21"/>
                <w:szCs w:val="21"/>
              </w:rPr>
            </w:pPr>
          </w:p>
        </w:tc>
        <w:tc>
          <w:tcPr>
            <w:tcW w:w="2318" w:type="dxa"/>
            <w:vMerge w:val="continue"/>
            <w:vAlign w:val="center"/>
          </w:tcPr>
          <w:p w14:paraId="2A902175">
            <w:pPr>
              <w:spacing w:line="240" w:lineRule="auto"/>
              <w:ind w:left="-120" w:leftChars="-50" w:right="-120" w:rightChars="-50" w:firstLine="0" w:firstLineChars="0"/>
              <w:jc w:val="center"/>
              <w:rPr>
                <w:sz w:val="21"/>
                <w:szCs w:val="21"/>
              </w:rPr>
            </w:pPr>
          </w:p>
        </w:tc>
      </w:tr>
      <w:tr w14:paraId="6DF4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67D5200E">
            <w:pPr>
              <w:spacing w:line="240" w:lineRule="auto"/>
              <w:ind w:left="-120" w:leftChars="-50" w:right="-120" w:rightChars="-50" w:firstLine="0" w:firstLineChars="0"/>
              <w:jc w:val="center"/>
              <w:rPr>
                <w:sz w:val="21"/>
                <w:szCs w:val="21"/>
              </w:rPr>
            </w:pPr>
          </w:p>
        </w:tc>
        <w:tc>
          <w:tcPr>
            <w:tcW w:w="1853" w:type="dxa"/>
            <w:vMerge w:val="continue"/>
            <w:vAlign w:val="center"/>
          </w:tcPr>
          <w:p w14:paraId="763BB04B">
            <w:pPr>
              <w:spacing w:line="240" w:lineRule="auto"/>
              <w:ind w:left="-120" w:leftChars="-50" w:right="-120" w:rightChars="-50" w:firstLine="0" w:firstLineChars="0"/>
              <w:jc w:val="center"/>
              <w:rPr>
                <w:sz w:val="21"/>
                <w:szCs w:val="21"/>
              </w:rPr>
            </w:pPr>
          </w:p>
        </w:tc>
        <w:tc>
          <w:tcPr>
            <w:tcW w:w="1985" w:type="dxa"/>
            <w:vAlign w:val="center"/>
          </w:tcPr>
          <w:p w14:paraId="6AE72D12">
            <w:pPr>
              <w:spacing w:line="240" w:lineRule="auto"/>
              <w:ind w:left="-120" w:leftChars="-50" w:right="-120" w:rightChars="-50" w:firstLine="0" w:firstLineChars="0"/>
              <w:jc w:val="center"/>
              <w:rPr>
                <w:sz w:val="21"/>
                <w:szCs w:val="21"/>
              </w:rPr>
            </w:pPr>
            <w:r>
              <w:rPr>
                <w:rFonts w:hint="eastAsia"/>
                <w:sz w:val="21"/>
                <w:szCs w:val="21"/>
              </w:rPr>
              <w:t>1小时平均</w:t>
            </w:r>
          </w:p>
        </w:tc>
        <w:tc>
          <w:tcPr>
            <w:tcW w:w="992" w:type="dxa"/>
            <w:vAlign w:val="center"/>
          </w:tcPr>
          <w:p w14:paraId="41B9073F">
            <w:pPr>
              <w:spacing w:line="240" w:lineRule="auto"/>
              <w:ind w:left="-120" w:leftChars="-50" w:right="-120" w:rightChars="-50" w:firstLine="0" w:firstLineChars="0"/>
              <w:jc w:val="center"/>
              <w:rPr>
                <w:sz w:val="21"/>
                <w:szCs w:val="21"/>
              </w:rPr>
            </w:pPr>
            <w:r>
              <w:rPr>
                <w:sz w:val="21"/>
                <w:szCs w:val="21"/>
              </w:rPr>
              <w:t>500</w:t>
            </w:r>
          </w:p>
        </w:tc>
        <w:tc>
          <w:tcPr>
            <w:tcW w:w="851" w:type="dxa"/>
            <w:vMerge w:val="continue"/>
            <w:vAlign w:val="center"/>
          </w:tcPr>
          <w:p w14:paraId="7257D187">
            <w:pPr>
              <w:spacing w:line="240" w:lineRule="auto"/>
              <w:ind w:left="-120" w:leftChars="-50" w:right="-120" w:rightChars="-50" w:firstLine="0" w:firstLineChars="0"/>
              <w:jc w:val="center"/>
              <w:rPr>
                <w:sz w:val="21"/>
                <w:szCs w:val="21"/>
              </w:rPr>
            </w:pPr>
          </w:p>
        </w:tc>
        <w:tc>
          <w:tcPr>
            <w:tcW w:w="2318" w:type="dxa"/>
            <w:vMerge w:val="continue"/>
            <w:vAlign w:val="center"/>
          </w:tcPr>
          <w:p w14:paraId="2E0E197C">
            <w:pPr>
              <w:spacing w:line="240" w:lineRule="auto"/>
              <w:ind w:left="-120" w:leftChars="-50" w:right="-120" w:rightChars="-50" w:firstLine="0" w:firstLineChars="0"/>
              <w:jc w:val="center"/>
              <w:rPr>
                <w:sz w:val="21"/>
                <w:szCs w:val="21"/>
              </w:rPr>
            </w:pPr>
          </w:p>
        </w:tc>
      </w:tr>
      <w:tr w14:paraId="5D3D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587FEC9E">
            <w:pPr>
              <w:spacing w:line="240" w:lineRule="auto"/>
              <w:ind w:left="-120" w:leftChars="-50" w:right="-120" w:rightChars="-50" w:firstLine="0" w:firstLineChars="0"/>
              <w:jc w:val="center"/>
              <w:rPr>
                <w:sz w:val="21"/>
                <w:szCs w:val="21"/>
              </w:rPr>
            </w:pPr>
            <w:r>
              <w:rPr>
                <w:rFonts w:hint="eastAsia"/>
                <w:sz w:val="21"/>
                <w:szCs w:val="21"/>
              </w:rPr>
              <w:t>2</w:t>
            </w:r>
          </w:p>
        </w:tc>
        <w:tc>
          <w:tcPr>
            <w:tcW w:w="1853" w:type="dxa"/>
            <w:vMerge w:val="restart"/>
            <w:vAlign w:val="center"/>
          </w:tcPr>
          <w:p w14:paraId="3EA558D1">
            <w:pPr>
              <w:spacing w:line="240" w:lineRule="auto"/>
              <w:ind w:left="-120" w:leftChars="-50" w:right="-120" w:rightChars="-50" w:firstLine="0" w:firstLineChars="0"/>
              <w:jc w:val="center"/>
              <w:rPr>
                <w:sz w:val="21"/>
                <w:szCs w:val="21"/>
              </w:rPr>
            </w:pPr>
            <w:r>
              <w:rPr>
                <w:rFonts w:hint="eastAsia"/>
                <w:sz w:val="21"/>
                <w:szCs w:val="21"/>
              </w:rPr>
              <w:t>二氧化氮（</w:t>
            </w:r>
            <w:r>
              <w:rPr>
                <w:sz w:val="21"/>
                <w:szCs w:val="21"/>
              </w:rPr>
              <w:t>NO</w:t>
            </w:r>
            <w:r>
              <w:rPr>
                <w:sz w:val="21"/>
                <w:szCs w:val="21"/>
                <w:vertAlign w:val="subscript"/>
              </w:rPr>
              <w:t>2</w:t>
            </w:r>
            <w:r>
              <w:rPr>
                <w:rFonts w:hint="eastAsia"/>
                <w:sz w:val="21"/>
                <w:szCs w:val="21"/>
              </w:rPr>
              <w:t>）</w:t>
            </w:r>
          </w:p>
        </w:tc>
        <w:tc>
          <w:tcPr>
            <w:tcW w:w="1985" w:type="dxa"/>
            <w:vAlign w:val="center"/>
          </w:tcPr>
          <w:p w14:paraId="684D2796">
            <w:pPr>
              <w:spacing w:line="240" w:lineRule="auto"/>
              <w:ind w:left="-120" w:leftChars="-50" w:right="-120" w:rightChars="-50" w:firstLine="0" w:firstLineChars="0"/>
              <w:jc w:val="center"/>
              <w:rPr>
                <w:sz w:val="21"/>
                <w:szCs w:val="21"/>
              </w:rPr>
            </w:pPr>
            <w:r>
              <w:rPr>
                <w:rFonts w:hint="eastAsia"/>
                <w:sz w:val="21"/>
                <w:szCs w:val="21"/>
              </w:rPr>
              <w:t>年平均</w:t>
            </w:r>
          </w:p>
        </w:tc>
        <w:tc>
          <w:tcPr>
            <w:tcW w:w="992" w:type="dxa"/>
            <w:vAlign w:val="center"/>
          </w:tcPr>
          <w:p w14:paraId="72F48147">
            <w:pPr>
              <w:spacing w:line="240" w:lineRule="auto"/>
              <w:ind w:left="-120" w:leftChars="-50" w:right="-120" w:rightChars="-50" w:firstLine="0" w:firstLineChars="0"/>
              <w:jc w:val="center"/>
              <w:rPr>
                <w:sz w:val="21"/>
                <w:szCs w:val="21"/>
              </w:rPr>
            </w:pPr>
            <w:r>
              <w:rPr>
                <w:sz w:val="21"/>
                <w:szCs w:val="21"/>
              </w:rPr>
              <w:t>40</w:t>
            </w:r>
          </w:p>
        </w:tc>
        <w:tc>
          <w:tcPr>
            <w:tcW w:w="851" w:type="dxa"/>
            <w:vMerge w:val="continue"/>
            <w:vAlign w:val="center"/>
          </w:tcPr>
          <w:p w14:paraId="29106E31">
            <w:pPr>
              <w:spacing w:line="240" w:lineRule="auto"/>
              <w:ind w:left="-120" w:leftChars="-50" w:right="-120" w:rightChars="-50" w:firstLine="0" w:firstLineChars="0"/>
              <w:jc w:val="center"/>
              <w:rPr>
                <w:sz w:val="21"/>
                <w:szCs w:val="21"/>
              </w:rPr>
            </w:pPr>
          </w:p>
        </w:tc>
        <w:tc>
          <w:tcPr>
            <w:tcW w:w="2318" w:type="dxa"/>
            <w:vMerge w:val="continue"/>
            <w:vAlign w:val="center"/>
          </w:tcPr>
          <w:p w14:paraId="766008C4">
            <w:pPr>
              <w:spacing w:line="240" w:lineRule="auto"/>
              <w:ind w:left="-120" w:leftChars="-50" w:right="-120" w:rightChars="-50" w:firstLine="0" w:firstLineChars="0"/>
              <w:jc w:val="center"/>
              <w:rPr>
                <w:sz w:val="21"/>
                <w:szCs w:val="21"/>
              </w:rPr>
            </w:pPr>
          </w:p>
        </w:tc>
      </w:tr>
      <w:tr w14:paraId="66A1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3" w:type="dxa"/>
            <w:vMerge w:val="continue"/>
            <w:vAlign w:val="center"/>
          </w:tcPr>
          <w:p w14:paraId="12A155D7">
            <w:pPr>
              <w:spacing w:line="240" w:lineRule="auto"/>
              <w:ind w:left="-120" w:leftChars="-50" w:right="-120" w:rightChars="-50" w:firstLine="0" w:firstLineChars="0"/>
              <w:jc w:val="center"/>
              <w:rPr>
                <w:sz w:val="21"/>
                <w:szCs w:val="21"/>
              </w:rPr>
            </w:pPr>
          </w:p>
        </w:tc>
        <w:tc>
          <w:tcPr>
            <w:tcW w:w="1853" w:type="dxa"/>
            <w:vMerge w:val="continue"/>
            <w:vAlign w:val="center"/>
          </w:tcPr>
          <w:p w14:paraId="5266CE01">
            <w:pPr>
              <w:spacing w:line="240" w:lineRule="auto"/>
              <w:ind w:left="-120" w:leftChars="-50" w:right="-120" w:rightChars="-50" w:firstLine="0" w:firstLineChars="0"/>
              <w:jc w:val="center"/>
              <w:rPr>
                <w:sz w:val="21"/>
                <w:szCs w:val="21"/>
              </w:rPr>
            </w:pPr>
          </w:p>
        </w:tc>
        <w:tc>
          <w:tcPr>
            <w:tcW w:w="1985" w:type="dxa"/>
            <w:vAlign w:val="center"/>
          </w:tcPr>
          <w:p w14:paraId="4CF9DF58">
            <w:pPr>
              <w:spacing w:line="240" w:lineRule="auto"/>
              <w:ind w:left="-120" w:leftChars="-50" w:right="-120" w:rightChars="-50" w:firstLine="0" w:firstLineChars="0"/>
              <w:jc w:val="center"/>
              <w:rPr>
                <w:sz w:val="21"/>
                <w:szCs w:val="21"/>
              </w:rPr>
            </w:pPr>
            <w:r>
              <w:rPr>
                <w:rFonts w:hint="eastAsia"/>
                <w:sz w:val="21"/>
                <w:szCs w:val="21"/>
              </w:rPr>
              <w:t>24小时平均</w:t>
            </w:r>
          </w:p>
        </w:tc>
        <w:tc>
          <w:tcPr>
            <w:tcW w:w="992" w:type="dxa"/>
            <w:vAlign w:val="center"/>
          </w:tcPr>
          <w:p w14:paraId="28FA0AC9">
            <w:pPr>
              <w:spacing w:line="240" w:lineRule="auto"/>
              <w:ind w:left="-120" w:leftChars="-50" w:right="-120" w:rightChars="-50" w:firstLine="0" w:firstLineChars="0"/>
              <w:jc w:val="center"/>
              <w:rPr>
                <w:sz w:val="21"/>
                <w:szCs w:val="21"/>
              </w:rPr>
            </w:pPr>
            <w:r>
              <w:rPr>
                <w:sz w:val="21"/>
                <w:szCs w:val="21"/>
              </w:rPr>
              <w:t>80</w:t>
            </w:r>
          </w:p>
        </w:tc>
        <w:tc>
          <w:tcPr>
            <w:tcW w:w="851" w:type="dxa"/>
            <w:vMerge w:val="continue"/>
            <w:vAlign w:val="center"/>
          </w:tcPr>
          <w:p w14:paraId="1B7C965E">
            <w:pPr>
              <w:spacing w:line="240" w:lineRule="auto"/>
              <w:ind w:left="-120" w:leftChars="-50" w:right="-120" w:rightChars="-50" w:firstLine="0" w:firstLineChars="0"/>
              <w:jc w:val="center"/>
              <w:rPr>
                <w:sz w:val="21"/>
                <w:szCs w:val="21"/>
              </w:rPr>
            </w:pPr>
          </w:p>
        </w:tc>
        <w:tc>
          <w:tcPr>
            <w:tcW w:w="2318" w:type="dxa"/>
            <w:vMerge w:val="continue"/>
            <w:vAlign w:val="center"/>
          </w:tcPr>
          <w:p w14:paraId="15A1435B">
            <w:pPr>
              <w:spacing w:line="240" w:lineRule="auto"/>
              <w:ind w:left="-120" w:leftChars="-50" w:right="-120" w:rightChars="-50" w:firstLine="0" w:firstLineChars="0"/>
              <w:jc w:val="center"/>
              <w:rPr>
                <w:sz w:val="21"/>
                <w:szCs w:val="21"/>
              </w:rPr>
            </w:pPr>
          </w:p>
        </w:tc>
      </w:tr>
      <w:tr w14:paraId="651F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660955BB">
            <w:pPr>
              <w:spacing w:line="240" w:lineRule="auto"/>
              <w:ind w:left="-120" w:leftChars="-50" w:right="-120" w:rightChars="-50" w:firstLine="0" w:firstLineChars="0"/>
              <w:jc w:val="center"/>
              <w:rPr>
                <w:sz w:val="21"/>
                <w:szCs w:val="21"/>
              </w:rPr>
            </w:pPr>
          </w:p>
        </w:tc>
        <w:tc>
          <w:tcPr>
            <w:tcW w:w="1853" w:type="dxa"/>
            <w:vMerge w:val="continue"/>
            <w:vAlign w:val="center"/>
          </w:tcPr>
          <w:p w14:paraId="0F2AC62C">
            <w:pPr>
              <w:spacing w:line="240" w:lineRule="auto"/>
              <w:ind w:left="-120" w:leftChars="-50" w:right="-120" w:rightChars="-50" w:firstLine="0" w:firstLineChars="0"/>
              <w:jc w:val="center"/>
              <w:rPr>
                <w:sz w:val="21"/>
                <w:szCs w:val="21"/>
              </w:rPr>
            </w:pPr>
          </w:p>
        </w:tc>
        <w:tc>
          <w:tcPr>
            <w:tcW w:w="1985" w:type="dxa"/>
            <w:vAlign w:val="center"/>
          </w:tcPr>
          <w:p w14:paraId="77013449">
            <w:pPr>
              <w:spacing w:line="240" w:lineRule="auto"/>
              <w:ind w:left="-120" w:leftChars="-50" w:right="-120" w:rightChars="-50" w:firstLine="0" w:firstLineChars="0"/>
              <w:jc w:val="center"/>
              <w:rPr>
                <w:sz w:val="21"/>
                <w:szCs w:val="21"/>
              </w:rPr>
            </w:pPr>
            <w:r>
              <w:rPr>
                <w:rFonts w:hint="eastAsia"/>
                <w:sz w:val="21"/>
                <w:szCs w:val="21"/>
              </w:rPr>
              <w:t>1小时平均</w:t>
            </w:r>
          </w:p>
        </w:tc>
        <w:tc>
          <w:tcPr>
            <w:tcW w:w="992" w:type="dxa"/>
            <w:vAlign w:val="center"/>
          </w:tcPr>
          <w:p w14:paraId="043FDE77">
            <w:pPr>
              <w:spacing w:line="240" w:lineRule="auto"/>
              <w:ind w:left="-120" w:leftChars="-50" w:right="-120" w:rightChars="-50" w:firstLine="0" w:firstLineChars="0"/>
              <w:jc w:val="center"/>
              <w:rPr>
                <w:sz w:val="21"/>
                <w:szCs w:val="21"/>
              </w:rPr>
            </w:pPr>
            <w:r>
              <w:rPr>
                <w:sz w:val="21"/>
                <w:szCs w:val="21"/>
              </w:rPr>
              <w:t>200</w:t>
            </w:r>
          </w:p>
        </w:tc>
        <w:tc>
          <w:tcPr>
            <w:tcW w:w="851" w:type="dxa"/>
            <w:vMerge w:val="continue"/>
            <w:vAlign w:val="center"/>
          </w:tcPr>
          <w:p w14:paraId="21463E25">
            <w:pPr>
              <w:spacing w:line="240" w:lineRule="auto"/>
              <w:ind w:left="-120" w:leftChars="-50" w:right="-120" w:rightChars="-50" w:firstLine="0" w:firstLineChars="0"/>
              <w:jc w:val="center"/>
              <w:rPr>
                <w:sz w:val="21"/>
                <w:szCs w:val="21"/>
              </w:rPr>
            </w:pPr>
          </w:p>
        </w:tc>
        <w:tc>
          <w:tcPr>
            <w:tcW w:w="2318" w:type="dxa"/>
            <w:vMerge w:val="continue"/>
            <w:vAlign w:val="center"/>
          </w:tcPr>
          <w:p w14:paraId="1ECACCC9">
            <w:pPr>
              <w:spacing w:line="240" w:lineRule="auto"/>
              <w:ind w:left="-120" w:leftChars="-50" w:right="-120" w:rightChars="-50" w:firstLine="0" w:firstLineChars="0"/>
              <w:jc w:val="center"/>
              <w:rPr>
                <w:sz w:val="21"/>
                <w:szCs w:val="21"/>
              </w:rPr>
            </w:pPr>
          </w:p>
        </w:tc>
      </w:tr>
      <w:tr w14:paraId="5127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73A116E7">
            <w:pPr>
              <w:spacing w:line="240" w:lineRule="auto"/>
              <w:ind w:left="-120" w:leftChars="-50" w:right="-120" w:rightChars="-50" w:firstLine="0" w:firstLineChars="0"/>
              <w:jc w:val="center"/>
              <w:rPr>
                <w:sz w:val="21"/>
                <w:szCs w:val="21"/>
              </w:rPr>
            </w:pPr>
            <w:r>
              <w:rPr>
                <w:rFonts w:hint="eastAsia"/>
                <w:sz w:val="21"/>
                <w:szCs w:val="21"/>
              </w:rPr>
              <w:t>3</w:t>
            </w:r>
          </w:p>
        </w:tc>
        <w:tc>
          <w:tcPr>
            <w:tcW w:w="1853" w:type="dxa"/>
            <w:vMerge w:val="restart"/>
            <w:vAlign w:val="center"/>
          </w:tcPr>
          <w:p w14:paraId="05F8917C">
            <w:pPr>
              <w:spacing w:line="240" w:lineRule="auto"/>
              <w:ind w:left="-120" w:leftChars="-50" w:right="-120" w:rightChars="-50" w:firstLine="0" w:firstLineChars="0"/>
              <w:jc w:val="center"/>
              <w:rPr>
                <w:sz w:val="21"/>
                <w:szCs w:val="21"/>
              </w:rPr>
            </w:pPr>
            <w:r>
              <w:rPr>
                <w:rFonts w:hint="eastAsia"/>
                <w:sz w:val="21"/>
                <w:szCs w:val="21"/>
              </w:rPr>
              <w:t>一氧化碳（CO）</w:t>
            </w:r>
          </w:p>
        </w:tc>
        <w:tc>
          <w:tcPr>
            <w:tcW w:w="1985" w:type="dxa"/>
            <w:vAlign w:val="center"/>
          </w:tcPr>
          <w:p w14:paraId="2BF1F560">
            <w:pPr>
              <w:spacing w:line="240" w:lineRule="auto"/>
              <w:ind w:left="-120" w:leftChars="-50" w:right="-120" w:rightChars="-50" w:firstLine="0" w:firstLineChars="0"/>
              <w:jc w:val="center"/>
              <w:rPr>
                <w:sz w:val="21"/>
                <w:szCs w:val="21"/>
              </w:rPr>
            </w:pPr>
            <w:r>
              <w:rPr>
                <w:rFonts w:hint="eastAsia"/>
                <w:sz w:val="21"/>
                <w:szCs w:val="21"/>
              </w:rPr>
              <w:t>24小时平均</w:t>
            </w:r>
          </w:p>
        </w:tc>
        <w:tc>
          <w:tcPr>
            <w:tcW w:w="992" w:type="dxa"/>
            <w:vAlign w:val="center"/>
          </w:tcPr>
          <w:p w14:paraId="7C5F279B">
            <w:pPr>
              <w:spacing w:line="240" w:lineRule="auto"/>
              <w:ind w:left="-120" w:leftChars="-50" w:right="-120" w:rightChars="-50" w:firstLine="0" w:firstLineChars="0"/>
              <w:jc w:val="center"/>
              <w:rPr>
                <w:sz w:val="21"/>
                <w:szCs w:val="21"/>
              </w:rPr>
            </w:pPr>
            <w:r>
              <w:rPr>
                <w:sz w:val="21"/>
                <w:szCs w:val="21"/>
              </w:rPr>
              <w:t>4</w:t>
            </w:r>
          </w:p>
        </w:tc>
        <w:tc>
          <w:tcPr>
            <w:tcW w:w="851" w:type="dxa"/>
            <w:vMerge w:val="restart"/>
            <w:vAlign w:val="center"/>
          </w:tcPr>
          <w:p w14:paraId="697F6D4D">
            <w:pPr>
              <w:spacing w:line="240" w:lineRule="auto"/>
              <w:ind w:left="-120" w:leftChars="-50" w:right="-120" w:rightChars="-50" w:firstLine="0" w:firstLineChars="0"/>
              <w:jc w:val="center"/>
              <w:rPr>
                <w:sz w:val="21"/>
                <w:szCs w:val="21"/>
              </w:rPr>
            </w:pPr>
            <w:r>
              <w:rPr>
                <w:rFonts w:hint="eastAsia"/>
                <w:sz w:val="21"/>
                <w:szCs w:val="21"/>
              </w:rPr>
              <w:t>mg/m</w:t>
            </w:r>
            <w:r>
              <w:rPr>
                <w:rFonts w:hint="eastAsia"/>
                <w:sz w:val="21"/>
                <w:szCs w:val="21"/>
                <w:vertAlign w:val="superscript"/>
              </w:rPr>
              <w:t>3</w:t>
            </w:r>
          </w:p>
        </w:tc>
        <w:tc>
          <w:tcPr>
            <w:tcW w:w="2318" w:type="dxa"/>
            <w:vMerge w:val="continue"/>
            <w:vAlign w:val="center"/>
          </w:tcPr>
          <w:p w14:paraId="589116E3">
            <w:pPr>
              <w:spacing w:line="240" w:lineRule="auto"/>
              <w:ind w:left="-120" w:leftChars="-50" w:right="-120" w:rightChars="-50" w:firstLine="0" w:firstLineChars="0"/>
              <w:jc w:val="center"/>
              <w:rPr>
                <w:sz w:val="21"/>
                <w:szCs w:val="21"/>
              </w:rPr>
            </w:pPr>
          </w:p>
        </w:tc>
      </w:tr>
      <w:tr w14:paraId="2856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01388E24">
            <w:pPr>
              <w:spacing w:line="240" w:lineRule="auto"/>
              <w:ind w:left="-120" w:leftChars="-50" w:right="-120" w:rightChars="-50" w:firstLine="0" w:firstLineChars="0"/>
              <w:jc w:val="center"/>
              <w:rPr>
                <w:sz w:val="21"/>
                <w:szCs w:val="21"/>
              </w:rPr>
            </w:pPr>
          </w:p>
        </w:tc>
        <w:tc>
          <w:tcPr>
            <w:tcW w:w="1853" w:type="dxa"/>
            <w:vMerge w:val="continue"/>
            <w:vAlign w:val="center"/>
          </w:tcPr>
          <w:p w14:paraId="71B1B239">
            <w:pPr>
              <w:spacing w:line="240" w:lineRule="auto"/>
              <w:ind w:left="-120" w:leftChars="-50" w:right="-120" w:rightChars="-50" w:firstLine="0" w:firstLineChars="0"/>
              <w:jc w:val="center"/>
              <w:rPr>
                <w:sz w:val="21"/>
                <w:szCs w:val="21"/>
              </w:rPr>
            </w:pPr>
          </w:p>
        </w:tc>
        <w:tc>
          <w:tcPr>
            <w:tcW w:w="1985" w:type="dxa"/>
            <w:vAlign w:val="center"/>
          </w:tcPr>
          <w:p w14:paraId="490F28EC">
            <w:pPr>
              <w:spacing w:line="240" w:lineRule="auto"/>
              <w:ind w:left="-120" w:leftChars="-50" w:right="-120" w:rightChars="-50" w:firstLine="0" w:firstLineChars="0"/>
              <w:jc w:val="center"/>
              <w:rPr>
                <w:sz w:val="21"/>
                <w:szCs w:val="21"/>
              </w:rPr>
            </w:pPr>
            <w:r>
              <w:rPr>
                <w:rFonts w:hint="eastAsia"/>
                <w:sz w:val="21"/>
                <w:szCs w:val="21"/>
              </w:rPr>
              <w:t>1小时平均</w:t>
            </w:r>
          </w:p>
        </w:tc>
        <w:tc>
          <w:tcPr>
            <w:tcW w:w="992" w:type="dxa"/>
            <w:vAlign w:val="center"/>
          </w:tcPr>
          <w:p w14:paraId="65A1C09F">
            <w:pPr>
              <w:spacing w:line="240" w:lineRule="auto"/>
              <w:ind w:left="-120" w:leftChars="-50" w:right="-120" w:rightChars="-50" w:firstLine="0" w:firstLineChars="0"/>
              <w:jc w:val="center"/>
              <w:rPr>
                <w:sz w:val="21"/>
                <w:szCs w:val="21"/>
              </w:rPr>
            </w:pPr>
            <w:r>
              <w:rPr>
                <w:sz w:val="21"/>
                <w:szCs w:val="21"/>
              </w:rPr>
              <w:t>10</w:t>
            </w:r>
          </w:p>
        </w:tc>
        <w:tc>
          <w:tcPr>
            <w:tcW w:w="851" w:type="dxa"/>
            <w:vMerge w:val="continue"/>
            <w:vAlign w:val="center"/>
          </w:tcPr>
          <w:p w14:paraId="09677A44">
            <w:pPr>
              <w:spacing w:line="240" w:lineRule="auto"/>
              <w:ind w:left="-120" w:leftChars="-50" w:right="-120" w:rightChars="-50" w:firstLine="0" w:firstLineChars="0"/>
              <w:jc w:val="center"/>
              <w:rPr>
                <w:sz w:val="21"/>
                <w:szCs w:val="21"/>
              </w:rPr>
            </w:pPr>
          </w:p>
        </w:tc>
        <w:tc>
          <w:tcPr>
            <w:tcW w:w="2318" w:type="dxa"/>
            <w:vMerge w:val="continue"/>
            <w:vAlign w:val="center"/>
          </w:tcPr>
          <w:p w14:paraId="61CA48C2">
            <w:pPr>
              <w:spacing w:line="240" w:lineRule="auto"/>
              <w:ind w:left="-120" w:leftChars="-50" w:right="-120" w:rightChars="-50" w:firstLine="0" w:firstLineChars="0"/>
              <w:jc w:val="center"/>
              <w:rPr>
                <w:sz w:val="21"/>
                <w:szCs w:val="21"/>
              </w:rPr>
            </w:pPr>
          </w:p>
        </w:tc>
      </w:tr>
      <w:tr w14:paraId="6A77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0E21A1E1">
            <w:pPr>
              <w:spacing w:line="240" w:lineRule="auto"/>
              <w:ind w:left="-120" w:leftChars="-50" w:right="-120" w:rightChars="-50" w:firstLine="0" w:firstLineChars="0"/>
              <w:jc w:val="center"/>
              <w:rPr>
                <w:sz w:val="21"/>
                <w:szCs w:val="21"/>
              </w:rPr>
            </w:pPr>
            <w:r>
              <w:rPr>
                <w:rFonts w:hint="eastAsia"/>
                <w:sz w:val="21"/>
                <w:szCs w:val="21"/>
              </w:rPr>
              <w:t>4</w:t>
            </w:r>
          </w:p>
        </w:tc>
        <w:tc>
          <w:tcPr>
            <w:tcW w:w="1853" w:type="dxa"/>
            <w:vMerge w:val="restart"/>
            <w:vAlign w:val="center"/>
          </w:tcPr>
          <w:p w14:paraId="3B4BECC9">
            <w:pPr>
              <w:spacing w:line="240" w:lineRule="auto"/>
              <w:ind w:left="-120" w:leftChars="-50" w:right="-120" w:rightChars="-50" w:firstLine="0" w:firstLineChars="0"/>
              <w:jc w:val="center"/>
              <w:rPr>
                <w:sz w:val="21"/>
                <w:szCs w:val="21"/>
              </w:rPr>
            </w:pPr>
            <w:r>
              <w:rPr>
                <w:rFonts w:hint="eastAsia"/>
                <w:sz w:val="21"/>
                <w:szCs w:val="21"/>
              </w:rPr>
              <w:t>臭氧（O</w:t>
            </w:r>
            <w:r>
              <w:rPr>
                <w:rFonts w:hint="eastAsia"/>
                <w:sz w:val="21"/>
                <w:szCs w:val="21"/>
                <w:vertAlign w:val="subscript"/>
              </w:rPr>
              <w:t>3</w:t>
            </w:r>
            <w:r>
              <w:rPr>
                <w:rFonts w:hint="eastAsia"/>
                <w:sz w:val="21"/>
                <w:szCs w:val="21"/>
              </w:rPr>
              <w:t>）</w:t>
            </w:r>
          </w:p>
        </w:tc>
        <w:tc>
          <w:tcPr>
            <w:tcW w:w="1985" w:type="dxa"/>
            <w:vAlign w:val="center"/>
          </w:tcPr>
          <w:p w14:paraId="6AC7AFC3">
            <w:pPr>
              <w:spacing w:line="240" w:lineRule="auto"/>
              <w:ind w:left="-120" w:leftChars="-50" w:right="-120" w:rightChars="-50" w:firstLine="0" w:firstLineChars="0"/>
              <w:jc w:val="center"/>
              <w:rPr>
                <w:sz w:val="21"/>
                <w:szCs w:val="21"/>
              </w:rPr>
            </w:pPr>
            <w:r>
              <w:rPr>
                <w:rFonts w:hint="eastAsia"/>
                <w:sz w:val="21"/>
                <w:szCs w:val="21"/>
              </w:rPr>
              <w:t>日最大8小时平均</w:t>
            </w:r>
          </w:p>
        </w:tc>
        <w:tc>
          <w:tcPr>
            <w:tcW w:w="992" w:type="dxa"/>
            <w:vAlign w:val="center"/>
          </w:tcPr>
          <w:p w14:paraId="09AEB664">
            <w:pPr>
              <w:spacing w:line="240" w:lineRule="auto"/>
              <w:ind w:left="-120" w:leftChars="-50" w:right="-120" w:rightChars="-50" w:firstLine="0" w:firstLineChars="0"/>
              <w:jc w:val="center"/>
              <w:rPr>
                <w:sz w:val="21"/>
                <w:szCs w:val="21"/>
              </w:rPr>
            </w:pPr>
            <w:r>
              <w:rPr>
                <w:sz w:val="21"/>
                <w:szCs w:val="21"/>
              </w:rPr>
              <w:t>160</w:t>
            </w:r>
          </w:p>
        </w:tc>
        <w:tc>
          <w:tcPr>
            <w:tcW w:w="851" w:type="dxa"/>
            <w:vMerge w:val="restart"/>
            <w:vAlign w:val="center"/>
          </w:tcPr>
          <w:p w14:paraId="0E97D932">
            <w:pPr>
              <w:spacing w:line="240" w:lineRule="auto"/>
              <w:ind w:left="-120" w:leftChars="-50" w:right="-120" w:rightChars="-50" w:firstLine="0" w:firstLineChars="0"/>
              <w:jc w:val="center"/>
              <w:rPr>
                <w:sz w:val="21"/>
                <w:szCs w:val="21"/>
              </w:rPr>
            </w:pPr>
            <w:r>
              <w:rPr>
                <w:sz w:val="21"/>
                <w:szCs w:val="21"/>
              </w:rPr>
              <w:t>μg/m</w:t>
            </w:r>
            <w:r>
              <w:rPr>
                <w:sz w:val="21"/>
                <w:szCs w:val="21"/>
                <w:vertAlign w:val="superscript"/>
              </w:rPr>
              <w:t>3</w:t>
            </w:r>
          </w:p>
        </w:tc>
        <w:tc>
          <w:tcPr>
            <w:tcW w:w="2318" w:type="dxa"/>
            <w:vMerge w:val="continue"/>
            <w:vAlign w:val="center"/>
          </w:tcPr>
          <w:p w14:paraId="727415D9">
            <w:pPr>
              <w:spacing w:line="240" w:lineRule="auto"/>
              <w:ind w:left="-120" w:leftChars="-50" w:right="-120" w:rightChars="-50" w:firstLine="0" w:firstLineChars="0"/>
              <w:jc w:val="center"/>
              <w:rPr>
                <w:sz w:val="21"/>
                <w:szCs w:val="21"/>
              </w:rPr>
            </w:pPr>
          </w:p>
        </w:tc>
      </w:tr>
      <w:tr w14:paraId="37F3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7606CF84">
            <w:pPr>
              <w:spacing w:line="240" w:lineRule="auto"/>
              <w:ind w:left="-120" w:leftChars="-50" w:right="-120" w:rightChars="-50" w:firstLine="0" w:firstLineChars="0"/>
              <w:jc w:val="center"/>
              <w:rPr>
                <w:sz w:val="21"/>
                <w:szCs w:val="21"/>
              </w:rPr>
            </w:pPr>
          </w:p>
        </w:tc>
        <w:tc>
          <w:tcPr>
            <w:tcW w:w="1853" w:type="dxa"/>
            <w:vMerge w:val="continue"/>
            <w:vAlign w:val="center"/>
          </w:tcPr>
          <w:p w14:paraId="7E53F5D5">
            <w:pPr>
              <w:spacing w:line="240" w:lineRule="auto"/>
              <w:ind w:left="-120" w:leftChars="-50" w:right="-120" w:rightChars="-50" w:firstLine="0" w:firstLineChars="0"/>
              <w:jc w:val="center"/>
              <w:rPr>
                <w:sz w:val="21"/>
                <w:szCs w:val="21"/>
              </w:rPr>
            </w:pPr>
          </w:p>
        </w:tc>
        <w:tc>
          <w:tcPr>
            <w:tcW w:w="1985" w:type="dxa"/>
            <w:vAlign w:val="center"/>
          </w:tcPr>
          <w:p w14:paraId="760AE862">
            <w:pPr>
              <w:spacing w:line="240" w:lineRule="auto"/>
              <w:ind w:left="-120" w:leftChars="-50" w:right="-120" w:rightChars="-50" w:firstLine="0" w:firstLineChars="0"/>
              <w:jc w:val="center"/>
              <w:rPr>
                <w:sz w:val="21"/>
                <w:szCs w:val="21"/>
              </w:rPr>
            </w:pPr>
            <w:r>
              <w:rPr>
                <w:rFonts w:hint="eastAsia"/>
                <w:sz w:val="21"/>
                <w:szCs w:val="21"/>
              </w:rPr>
              <w:t>1小时平均</w:t>
            </w:r>
          </w:p>
        </w:tc>
        <w:tc>
          <w:tcPr>
            <w:tcW w:w="992" w:type="dxa"/>
            <w:vAlign w:val="center"/>
          </w:tcPr>
          <w:p w14:paraId="1B81E91F">
            <w:pPr>
              <w:spacing w:line="240" w:lineRule="auto"/>
              <w:ind w:left="-120" w:leftChars="-50" w:right="-120" w:rightChars="-50" w:firstLine="0" w:firstLineChars="0"/>
              <w:jc w:val="center"/>
              <w:rPr>
                <w:sz w:val="21"/>
                <w:szCs w:val="21"/>
              </w:rPr>
            </w:pPr>
            <w:r>
              <w:rPr>
                <w:sz w:val="21"/>
                <w:szCs w:val="21"/>
              </w:rPr>
              <w:t>200</w:t>
            </w:r>
          </w:p>
        </w:tc>
        <w:tc>
          <w:tcPr>
            <w:tcW w:w="851" w:type="dxa"/>
            <w:vMerge w:val="continue"/>
            <w:vAlign w:val="center"/>
          </w:tcPr>
          <w:p w14:paraId="61D904EE">
            <w:pPr>
              <w:spacing w:line="240" w:lineRule="auto"/>
              <w:ind w:left="-120" w:leftChars="-50" w:right="-120" w:rightChars="-50" w:firstLine="0" w:firstLineChars="0"/>
              <w:jc w:val="center"/>
              <w:rPr>
                <w:sz w:val="21"/>
                <w:szCs w:val="21"/>
              </w:rPr>
            </w:pPr>
          </w:p>
        </w:tc>
        <w:tc>
          <w:tcPr>
            <w:tcW w:w="2318" w:type="dxa"/>
            <w:vMerge w:val="continue"/>
            <w:vAlign w:val="center"/>
          </w:tcPr>
          <w:p w14:paraId="5D9F00EA">
            <w:pPr>
              <w:spacing w:line="240" w:lineRule="auto"/>
              <w:ind w:left="-120" w:leftChars="-50" w:right="-120" w:rightChars="-50" w:firstLine="0" w:firstLineChars="0"/>
              <w:jc w:val="center"/>
              <w:rPr>
                <w:sz w:val="21"/>
                <w:szCs w:val="21"/>
              </w:rPr>
            </w:pPr>
          </w:p>
        </w:tc>
      </w:tr>
      <w:tr w14:paraId="796B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010AEBC3">
            <w:pPr>
              <w:spacing w:line="240" w:lineRule="auto"/>
              <w:ind w:left="-120" w:leftChars="-50" w:right="-120" w:rightChars="-50" w:firstLine="0" w:firstLineChars="0"/>
              <w:jc w:val="center"/>
              <w:rPr>
                <w:sz w:val="21"/>
                <w:szCs w:val="21"/>
              </w:rPr>
            </w:pPr>
            <w:r>
              <w:rPr>
                <w:rFonts w:hint="eastAsia"/>
                <w:sz w:val="21"/>
                <w:szCs w:val="21"/>
              </w:rPr>
              <w:t>5</w:t>
            </w:r>
          </w:p>
        </w:tc>
        <w:tc>
          <w:tcPr>
            <w:tcW w:w="1853" w:type="dxa"/>
            <w:vMerge w:val="restart"/>
            <w:vAlign w:val="center"/>
          </w:tcPr>
          <w:p w14:paraId="1B03446D">
            <w:pPr>
              <w:spacing w:line="240" w:lineRule="auto"/>
              <w:ind w:left="-120" w:leftChars="-50" w:right="-120" w:rightChars="-50" w:firstLine="0" w:firstLineChars="0"/>
              <w:jc w:val="center"/>
              <w:rPr>
                <w:sz w:val="21"/>
                <w:szCs w:val="21"/>
              </w:rPr>
            </w:pPr>
            <w:r>
              <w:rPr>
                <w:rFonts w:hint="eastAsia"/>
                <w:sz w:val="21"/>
                <w:szCs w:val="21"/>
              </w:rPr>
              <w:t>颗粒物（粒径小于等于10</w:t>
            </w:r>
            <w:r>
              <w:rPr>
                <w:sz w:val="21"/>
                <w:szCs w:val="21"/>
              </w:rPr>
              <w:t>μm</w:t>
            </w:r>
            <w:r>
              <w:rPr>
                <w:rFonts w:hint="eastAsia"/>
                <w:sz w:val="21"/>
                <w:szCs w:val="21"/>
              </w:rPr>
              <w:t>）</w:t>
            </w:r>
          </w:p>
        </w:tc>
        <w:tc>
          <w:tcPr>
            <w:tcW w:w="1985" w:type="dxa"/>
            <w:vAlign w:val="center"/>
          </w:tcPr>
          <w:p w14:paraId="6764BFFF">
            <w:pPr>
              <w:spacing w:line="240" w:lineRule="auto"/>
              <w:ind w:left="-120" w:leftChars="-50" w:right="-120" w:rightChars="-50" w:firstLine="0" w:firstLineChars="0"/>
              <w:jc w:val="center"/>
              <w:rPr>
                <w:sz w:val="21"/>
                <w:szCs w:val="21"/>
              </w:rPr>
            </w:pPr>
            <w:r>
              <w:rPr>
                <w:rFonts w:hint="eastAsia"/>
                <w:sz w:val="21"/>
                <w:szCs w:val="21"/>
              </w:rPr>
              <w:t>年平均</w:t>
            </w:r>
          </w:p>
        </w:tc>
        <w:tc>
          <w:tcPr>
            <w:tcW w:w="992" w:type="dxa"/>
            <w:vAlign w:val="center"/>
          </w:tcPr>
          <w:p w14:paraId="1F267A09">
            <w:pPr>
              <w:spacing w:line="240" w:lineRule="auto"/>
              <w:ind w:left="-120" w:leftChars="-50" w:right="-120" w:rightChars="-50" w:firstLine="0" w:firstLineChars="0"/>
              <w:jc w:val="center"/>
              <w:rPr>
                <w:sz w:val="21"/>
                <w:szCs w:val="21"/>
              </w:rPr>
            </w:pPr>
            <w:r>
              <w:rPr>
                <w:sz w:val="21"/>
                <w:szCs w:val="21"/>
              </w:rPr>
              <w:t>70</w:t>
            </w:r>
          </w:p>
        </w:tc>
        <w:tc>
          <w:tcPr>
            <w:tcW w:w="851" w:type="dxa"/>
            <w:vMerge w:val="continue"/>
            <w:vAlign w:val="center"/>
          </w:tcPr>
          <w:p w14:paraId="222465B7">
            <w:pPr>
              <w:spacing w:line="240" w:lineRule="auto"/>
              <w:ind w:left="-120" w:leftChars="-50" w:right="-120" w:rightChars="-50" w:firstLine="0" w:firstLineChars="0"/>
              <w:jc w:val="center"/>
              <w:rPr>
                <w:sz w:val="21"/>
                <w:szCs w:val="21"/>
              </w:rPr>
            </w:pPr>
          </w:p>
        </w:tc>
        <w:tc>
          <w:tcPr>
            <w:tcW w:w="2318" w:type="dxa"/>
            <w:vMerge w:val="continue"/>
            <w:vAlign w:val="center"/>
          </w:tcPr>
          <w:p w14:paraId="695EEB07">
            <w:pPr>
              <w:spacing w:line="240" w:lineRule="auto"/>
              <w:ind w:left="-120" w:leftChars="-50" w:right="-120" w:rightChars="-50" w:firstLine="0" w:firstLineChars="0"/>
              <w:jc w:val="center"/>
              <w:rPr>
                <w:sz w:val="21"/>
                <w:szCs w:val="21"/>
              </w:rPr>
            </w:pPr>
          </w:p>
        </w:tc>
      </w:tr>
      <w:tr w14:paraId="69D6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290E7031">
            <w:pPr>
              <w:spacing w:line="240" w:lineRule="auto"/>
              <w:ind w:left="-120" w:leftChars="-50" w:right="-120" w:rightChars="-50" w:firstLine="0" w:firstLineChars="0"/>
              <w:jc w:val="center"/>
              <w:rPr>
                <w:sz w:val="21"/>
                <w:szCs w:val="21"/>
              </w:rPr>
            </w:pPr>
          </w:p>
        </w:tc>
        <w:tc>
          <w:tcPr>
            <w:tcW w:w="1853" w:type="dxa"/>
            <w:vMerge w:val="continue"/>
            <w:vAlign w:val="center"/>
          </w:tcPr>
          <w:p w14:paraId="29F2BF06">
            <w:pPr>
              <w:spacing w:line="240" w:lineRule="auto"/>
              <w:ind w:left="-120" w:leftChars="-50" w:right="-120" w:rightChars="-50" w:firstLine="0" w:firstLineChars="0"/>
              <w:jc w:val="center"/>
              <w:rPr>
                <w:sz w:val="21"/>
                <w:szCs w:val="21"/>
              </w:rPr>
            </w:pPr>
          </w:p>
        </w:tc>
        <w:tc>
          <w:tcPr>
            <w:tcW w:w="1985" w:type="dxa"/>
            <w:vAlign w:val="center"/>
          </w:tcPr>
          <w:p w14:paraId="60971DFF">
            <w:pPr>
              <w:spacing w:line="240" w:lineRule="auto"/>
              <w:ind w:left="-120" w:leftChars="-50" w:right="-120" w:rightChars="-50" w:firstLine="0" w:firstLineChars="0"/>
              <w:jc w:val="center"/>
              <w:rPr>
                <w:sz w:val="21"/>
                <w:szCs w:val="21"/>
              </w:rPr>
            </w:pPr>
            <w:r>
              <w:rPr>
                <w:rFonts w:hint="eastAsia"/>
                <w:sz w:val="21"/>
                <w:szCs w:val="21"/>
              </w:rPr>
              <w:t>24小时平均</w:t>
            </w:r>
          </w:p>
        </w:tc>
        <w:tc>
          <w:tcPr>
            <w:tcW w:w="992" w:type="dxa"/>
            <w:vAlign w:val="center"/>
          </w:tcPr>
          <w:p w14:paraId="2066B128">
            <w:pPr>
              <w:spacing w:line="240" w:lineRule="auto"/>
              <w:ind w:left="-120" w:leftChars="-50" w:right="-120" w:rightChars="-50" w:firstLine="0" w:firstLineChars="0"/>
              <w:jc w:val="center"/>
              <w:rPr>
                <w:sz w:val="21"/>
                <w:szCs w:val="21"/>
              </w:rPr>
            </w:pPr>
            <w:r>
              <w:rPr>
                <w:sz w:val="21"/>
                <w:szCs w:val="21"/>
              </w:rPr>
              <w:t>150</w:t>
            </w:r>
          </w:p>
        </w:tc>
        <w:tc>
          <w:tcPr>
            <w:tcW w:w="851" w:type="dxa"/>
            <w:vMerge w:val="continue"/>
            <w:vAlign w:val="center"/>
          </w:tcPr>
          <w:p w14:paraId="1EA70621">
            <w:pPr>
              <w:spacing w:line="240" w:lineRule="auto"/>
              <w:ind w:left="-120" w:leftChars="-50" w:right="-120" w:rightChars="-50" w:firstLine="0" w:firstLineChars="0"/>
              <w:jc w:val="center"/>
              <w:rPr>
                <w:sz w:val="21"/>
                <w:szCs w:val="21"/>
              </w:rPr>
            </w:pPr>
          </w:p>
        </w:tc>
        <w:tc>
          <w:tcPr>
            <w:tcW w:w="2318" w:type="dxa"/>
            <w:vMerge w:val="continue"/>
            <w:vAlign w:val="center"/>
          </w:tcPr>
          <w:p w14:paraId="08A2D51E">
            <w:pPr>
              <w:spacing w:line="240" w:lineRule="auto"/>
              <w:ind w:left="-120" w:leftChars="-50" w:right="-120" w:rightChars="-50" w:firstLine="0" w:firstLineChars="0"/>
              <w:jc w:val="center"/>
              <w:rPr>
                <w:sz w:val="21"/>
                <w:szCs w:val="21"/>
              </w:rPr>
            </w:pPr>
          </w:p>
        </w:tc>
      </w:tr>
      <w:tr w14:paraId="4438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66A189E6">
            <w:pPr>
              <w:spacing w:line="240" w:lineRule="auto"/>
              <w:ind w:left="-120" w:leftChars="-50" w:right="-120" w:rightChars="-50" w:firstLine="0" w:firstLineChars="0"/>
              <w:jc w:val="center"/>
              <w:rPr>
                <w:sz w:val="21"/>
                <w:szCs w:val="21"/>
              </w:rPr>
            </w:pPr>
            <w:r>
              <w:rPr>
                <w:rFonts w:hint="eastAsia"/>
                <w:sz w:val="21"/>
                <w:szCs w:val="21"/>
              </w:rPr>
              <w:t>6</w:t>
            </w:r>
          </w:p>
        </w:tc>
        <w:tc>
          <w:tcPr>
            <w:tcW w:w="1853" w:type="dxa"/>
            <w:vMerge w:val="restart"/>
            <w:vAlign w:val="center"/>
          </w:tcPr>
          <w:p w14:paraId="5E343962">
            <w:pPr>
              <w:spacing w:line="240" w:lineRule="auto"/>
              <w:ind w:left="-120" w:leftChars="-50" w:right="-120" w:rightChars="-50" w:firstLine="0" w:firstLineChars="0"/>
              <w:jc w:val="center"/>
              <w:rPr>
                <w:sz w:val="21"/>
                <w:szCs w:val="21"/>
              </w:rPr>
            </w:pPr>
            <w:r>
              <w:rPr>
                <w:rFonts w:hint="eastAsia"/>
                <w:sz w:val="21"/>
                <w:szCs w:val="21"/>
              </w:rPr>
              <w:t>颗粒物（粒径小于等于2.5</w:t>
            </w:r>
            <w:r>
              <w:rPr>
                <w:sz w:val="21"/>
                <w:szCs w:val="21"/>
              </w:rPr>
              <w:t>μm</w:t>
            </w:r>
            <w:r>
              <w:rPr>
                <w:rFonts w:hint="eastAsia"/>
                <w:sz w:val="21"/>
                <w:szCs w:val="21"/>
              </w:rPr>
              <w:t>）</w:t>
            </w:r>
          </w:p>
        </w:tc>
        <w:tc>
          <w:tcPr>
            <w:tcW w:w="1985" w:type="dxa"/>
            <w:vAlign w:val="center"/>
          </w:tcPr>
          <w:p w14:paraId="148A55F9">
            <w:pPr>
              <w:spacing w:line="240" w:lineRule="auto"/>
              <w:ind w:left="-120" w:leftChars="-50" w:right="-120" w:rightChars="-50" w:firstLine="0" w:firstLineChars="0"/>
              <w:jc w:val="center"/>
              <w:rPr>
                <w:sz w:val="21"/>
                <w:szCs w:val="21"/>
              </w:rPr>
            </w:pPr>
            <w:r>
              <w:rPr>
                <w:rFonts w:hint="eastAsia"/>
                <w:sz w:val="21"/>
                <w:szCs w:val="21"/>
              </w:rPr>
              <w:t>年平均</w:t>
            </w:r>
          </w:p>
        </w:tc>
        <w:tc>
          <w:tcPr>
            <w:tcW w:w="992" w:type="dxa"/>
            <w:vAlign w:val="center"/>
          </w:tcPr>
          <w:p w14:paraId="1A10DE1E">
            <w:pPr>
              <w:spacing w:line="240" w:lineRule="auto"/>
              <w:ind w:left="-120" w:leftChars="-50" w:right="-120" w:rightChars="-50" w:firstLine="0" w:firstLineChars="0"/>
              <w:jc w:val="center"/>
              <w:rPr>
                <w:sz w:val="21"/>
                <w:szCs w:val="21"/>
              </w:rPr>
            </w:pPr>
            <w:r>
              <w:rPr>
                <w:sz w:val="21"/>
                <w:szCs w:val="21"/>
              </w:rPr>
              <w:t>35</w:t>
            </w:r>
          </w:p>
        </w:tc>
        <w:tc>
          <w:tcPr>
            <w:tcW w:w="851" w:type="dxa"/>
            <w:vMerge w:val="continue"/>
            <w:vAlign w:val="center"/>
          </w:tcPr>
          <w:p w14:paraId="1425E245">
            <w:pPr>
              <w:spacing w:line="240" w:lineRule="auto"/>
              <w:ind w:left="-120" w:leftChars="-50" w:right="-120" w:rightChars="-50" w:firstLine="0" w:firstLineChars="0"/>
              <w:jc w:val="center"/>
              <w:rPr>
                <w:sz w:val="21"/>
                <w:szCs w:val="21"/>
              </w:rPr>
            </w:pPr>
          </w:p>
        </w:tc>
        <w:tc>
          <w:tcPr>
            <w:tcW w:w="2318" w:type="dxa"/>
            <w:vMerge w:val="continue"/>
            <w:vAlign w:val="center"/>
          </w:tcPr>
          <w:p w14:paraId="0C661B7B">
            <w:pPr>
              <w:spacing w:line="240" w:lineRule="auto"/>
              <w:ind w:left="-120" w:leftChars="-50" w:right="-120" w:rightChars="-50" w:firstLine="0" w:firstLineChars="0"/>
              <w:jc w:val="center"/>
              <w:rPr>
                <w:sz w:val="21"/>
                <w:szCs w:val="21"/>
              </w:rPr>
            </w:pPr>
          </w:p>
        </w:tc>
      </w:tr>
      <w:tr w14:paraId="7520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566ED03D">
            <w:pPr>
              <w:spacing w:line="240" w:lineRule="auto"/>
              <w:ind w:left="-120" w:leftChars="-50" w:right="-120" w:rightChars="-50" w:firstLine="0" w:firstLineChars="0"/>
              <w:jc w:val="center"/>
              <w:rPr>
                <w:sz w:val="21"/>
                <w:szCs w:val="21"/>
              </w:rPr>
            </w:pPr>
          </w:p>
        </w:tc>
        <w:tc>
          <w:tcPr>
            <w:tcW w:w="1853" w:type="dxa"/>
            <w:vMerge w:val="continue"/>
            <w:vAlign w:val="center"/>
          </w:tcPr>
          <w:p w14:paraId="7437A1C7">
            <w:pPr>
              <w:spacing w:line="240" w:lineRule="auto"/>
              <w:ind w:left="-120" w:leftChars="-50" w:right="-120" w:rightChars="-50" w:firstLine="0" w:firstLineChars="0"/>
              <w:jc w:val="center"/>
              <w:rPr>
                <w:sz w:val="21"/>
                <w:szCs w:val="21"/>
              </w:rPr>
            </w:pPr>
          </w:p>
        </w:tc>
        <w:tc>
          <w:tcPr>
            <w:tcW w:w="1985" w:type="dxa"/>
            <w:vAlign w:val="center"/>
          </w:tcPr>
          <w:p w14:paraId="15464588">
            <w:pPr>
              <w:spacing w:line="240" w:lineRule="auto"/>
              <w:ind w:left="-120" w:leftChars="-50" w:right="-120" w:rightChars="-50" w:firstLine="0" w:firstLineChars="0"/>
              <w:jc w:val="center"/>
              <w:rPr>
                <w:sz w:val="21"/>
                <w:szCs w:val="21"/>
              </w:rPr>
            </w:pPr>
            <w:r>
              <w:rPr>
                <w:rFonts w:hint="eastAsia"/>
                <w:sz w:val="21"/>
                <w:szCs w:val="21"/>
              </w:rPr>
              <w:t>24小时平均</w:t>
            </w:r>
          </w:p>
        </w:tc>
        <w:tc>
          <w:tcPr>
            <w:tcW w:w="992" w:type="dxa"/>
            <w:vAlign w:val="center"/>
          </w:tcPr>
          <w:p w14:paraId="43E63E29">
            <w:pPr>
              <w:spacing w:line="240" w:lineRule="auto"/>
              <w:ind w:left="-120" w:leftChars="-50" w:right="-120" w:rightChars="-50" w:firstLine="0" w:firstLineChars="0"/>
              <w:jc w:val="center"/>
              <w:rPr>
                <w:sz w:val="21"/>
                <w:szCs w:val="21"/>
              </w:rPr>
            </w:pPr>
            <w:r>
              <w:rPr>
                <w:sz w:val="21"/>
                <w:szCs w:val="21"/>
              </w:rPr>
              <w:t>75</w:t>
            </w:r>
          </w:p>
        </w:tc>
        <w:tc>
          <w:tcPr>
            <w:tcW w:w="851" w:type="dxa"/>
            <w:vMerge w:val="continue"/>
            <w:vAlign w:val="center"/>
          </w:tcPr>
          <w:p w14:paraId="72EB76DE">
            <w:pPr>
              <w:spacing w:line="240" w:lineRule="auto"/>
              <w:ind w:left="-120" w:leftChars="-50" w:right="-120" w:rightChars="-50" w:firstLine="0" w:firstLineChars="0"/>
              <w:jc w:val="center"/>
              <w:rPr>
                <w:sz w:val="21"/>
                <w:szCs w:val="21"/>
              </w:rPr>
            </w:pPr>
          </w:p>
        </w:tc>
        <w:tc>
          <w:tcPr>
            <w:tcW w:w="2318" w:type="dxa"/>
            <w:vMerge w:val="continue"/>
            <w:vAlign w:val="center"/>
          </w:tcPr>
          <w:p w14:paraId="4E3C29E5">
            <w:pPr>
              <w:spacing w:line="240" w:lineRule="auto"/>
              <w:ind w:left="-120" w:leftChars="-50" w:right="-120" w:rightChars="-50" w:firstLine="0" w:firstLineChars="0"/>
              <w:jc w:val="center"/>
              <w:rPr>
                <w:sz w:val="21"/>
                <w:szCs w:val="21"/>
              </w:rPr>
            </w:pPr>
          </w:p>
        </w:tc>
      </w:tr>
      <w:tr w14:paraId="26D3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694A9DA1">
            <w:pPr>
              <w:spacing w:line="240" w:lineRule="auto"/>
              <w:ind w:left="-120" w:leftChars="-50" w:right="-120" w:rightChars="-50" w:firstLine="0" w:firstLineChars="0"/>
              <w:jc w:val="center"/>
              <w:rPr>
                <w:sz w:val="21"/>
                <w:szCs w:val="21"/>
              </w:rPr>
            </w:pPr>
            <w:r>
              <w:rPr>
                <w:rFonts w:hint="eastAsia"/>
                <w:sz w:val="21"/>
                <w:szCs w:val="21"/>
              </w:rPr>
              <w:t>7</w:t>
            </w:r>
          </w:p>
        </w:tc>
        <w:tc>
          <w:tcPr>
            <w:tcW w:w="1853" w:type="dxa"/>
            <w:vMerge w:val="restart"/>
            <w:vAlign w:val="center"/>
          </w:tcPr>
          <w:p w14:paraId="6E8E16CE">
            <w:pPr>
              <w:spacing w:line="240" w:lineRule="auto"/>
              <w:ind w:left="-120" w:leftChars="-50" w:right="-120" w:rightChars="-50" w:firstLine="0" w:firstLineChars="0"/>
              <w:jc w:val="center"/>
              <w:rPr>
                <w:sz w:val="21"/>
                <w:szCs w:val="21"/>
              </w:rPr>
            </w:pPr>
            <w:r>
              <w:rPr>
                <w:rFonts w:hint="eastAsia"/>
                <w:sz w:val="21"/>
                <w:szCs w:val="21"/>
              </w:rPr>
              <w:t>总悬浮颗粒物（TSP）</w:t>
            </w:r>
          </w:p>
        </w:tc>
        <w:tc>
          <w:tcPr>
            <w:tcW w:w="1985" w:type="dxa"/>
            <w:vAlign w:val="center"/>
          </w:tcPr>
          <w:p w14:paraId="5C0DDD90">
            <w:pPr>
              <w:spacing w:line="240" w:lineRule="auto"/>
              <w:ind w:left="-120" w:leftChars="-50" w:right="-120" w:rightChars="-50" w:firstLine="0" w:firstLineChars="0"/>
              <w:jc w:val="center"/>
              <w:rPr>
                <w:sz w:val="21"/>
                <w:szCs w:val="21"/>
              </w:rPr>
            </w:pPr>
            <w:r>
              <w:rPr>
                <w:rFonts w:hint="eastAsia"/>
                <w:sz w:val="21"/>
                <w:szCs w:val="21"/>
              </w:rPr>
              <w:t>年平均</w:t>
            </w:r>
          </w:p>
        </w:tc>
        <w:tc>
          <w:tcPr>
            <w:tcW w:w="992" w:type="dxa"/>
            <w:vAlign w:val="center"/>
          </w:tcPr>
          <w:p w14:paraId="1AF9B98D">
            <w:pPr>
              <w:spacing w:line="240" w:lineRule="auto"/>
              <w:ind w:left="-120" w:leftChars="-50" w:right="-120" w:rightChars="-50" w:firstLine="0" w:firstLineChars="0"/>
              <w:jc w:val="center"/>
              <w:rPr>
                <w:sz w:val="21"/>
                <w:szCs w:val="21"/>
              </w:rPr>
            </w:pPr>
            <w:r>
              <w:rPr>
                <w:rFonts w:hint="eastAsia"/>
                <w:sz w:val="21"/>
                <w:szCs w:val="21"/>
              </w:rPr>
              <w:t>200</w:t>
            </w:r>
          </w:p>
        </w:tc>
        <w:tc>
          <w:tcPr>
            <w:tcW w:w="851" w:type="dxa"/>
            <w:vMerge w:val="continue"/>
            <w:vAlign w:val="center"/>
          </w:tcPr>
          <w:p w14:paraId="795020B3">
            <w:pPr>
              <w:spacing w:line="240" w:lineRule="auto"/>
              <w:ind w:left="-120" w:leftChars="-50" w:right="-120" w:rightChars="-50" w:firstLine="0" w:firstLineChars="0"/>
              <w:jc w:val="center"/>
              <w:rPr>
                <w:sz w:val="21"/>
                <w:szCs w:val="21"/>
              </w:rPr>
            </w:pPr>
          </w:p>
        </w:tc>
        <w:tc>
          <w:tcPr>
            <w:tcW w:w="2318" w:type="dxa"/>
            <w:vMerge w:val="continue"/>
            <w:vAlign w:val="center"/>
          </w:tcPr>
          <w:p w14:paraId="12036200">
            <w:pPr>
              <w:spacing w:line="240" w:lineRule="auto"/>
              <w:ind w:left="-120" w:leftChars="-50" w:right="-120" w:rightChars="-50" w:firstLine="0" w:firstLineChars="0"/>
              <w:jc w:val="center"/>
              <w:rPr>
                <w:sz w:val="21"/>
                <w:szCs w:val="21"/>
              </w:rPr>
            </w:pPr>
          </w:p>
        </w:tc>
      </w:tr>
      <w:tr w14:paraId="478C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13615238">
            <w:pPr>
              <w:spacing w:line="240" w:lineRule="auto"/>
              <w:ind w:left="-120" w:leftChars="-50" w:right="-120" w:rightChars="-50" w:firstLine="0" w:firstLineChars="0"/>
              <w:jc w:val="center"/>
              <w:rPr>
                <w:sz w:val="21"/>
                <w:szCs w:val="21"/>
              </w:rPr>
            </w:pPr>
          </w:p>
        </w:tc>
        <w:tc>
          <w:tcPr>
            <w:tcW w:w="1853" w:type="dxa"/>
            <w:vMerge w:val="continue"/>
            <w:vAlign w:val="center"/>
          </w:tcPr>
          <w:p w14:paraId="179BEF02">
            <w:pPr>
              <w:spacing w:line="240" w:lineRule="auto"/>
              <w:ind w:left="-120" w:leftChars="-50" w:right="-120" w:rightChars="-50" w:firstLine="0" w:firstLineChars="0"/>
              <w:jc w:val="center"/>
              <w:rPr>
                <w:sz w:val="21"/>
                <w:szCs w:val="21"/>
              </w:rPr>
            </w:pPr>
          </w:p>
        </w:tc>
        <w:tc>
          <w:tcPr>
            <w:tcW w:w="1985" w:type="dxa"/>
            <w:vAlign w:val="center"/>
          </w:tcPr>
          <w:p w14:paraId="542CF033">
            <w:pPr>
              <w:spacing w:line="240" w:lineRule="auto"/>
              <w:ind w:left="-120" w:leftChars="-50" w:right="-120" w:rightChars="-50" w:firstLine="0" w:firstLineChars="0"/>
              <w:jc w:val="center"/>
              <w:rPr>
                <w:sz w:val="21"/>
                <w:szCs w:val="21"/>
              </w:rPr>
            </w:pPr>
            <w:r>
              <w:rPr>
                <w:rFonts w:hint="eastAsia"/>
                <w:sz w:val="21"/>
                <w:szCs w:val="21"/>
              </w:rPr>
              <w:t>24小时平均</w:t>
            </w:r>
          </w:p>
        </w:tc>
        <w:tc>
          <w:tcPr>
            <w:tcW w:w="992" w:type="dxa"/>
            <w:vAlign w:val="center"/>
          </w:tcPr>
          <w:p w14:paraId="5B07B183">
            <w:pPr>
              <w:spacing w:line="240" w:lineRule="auto"/>
              <w:ind w:left="-120" w:leftChars="-50" w:right="-120" w:rightChars="-50" w:firstLine="0" w:firstLineChars="0"/>
              <w:jc w:val="center"/>
              <w:rPr>
                <w:sz w:val="21"/>
                <w:szCs w:val="21"/>
              </w:rPr>
            </w:pPr>
            <w:r>
              <w:rPr>
                <w:rFonts w:hint="eastAsia"/>
                <w:sz w:val="21"/>
                <w:szCs w:val="21"/>
              </w:rPr>
              <w:t>300</w:t>
            </w:r>
          </w:p>
        </w:tc>
        <w:tc>
          <w:tcPr>
            <w:tcW w:w="851" w:type="dxa"/>
            <w:vMerge w:val="continue"/>
            <w:vAlign w:val="center"/>
          </w:tcPr>
          <w:p w14:paraId="5131D863">
            <w:pPr>
              <w:spacing w:line="240" w:lineRule="auto"/>
              <w:ind w:left="-120" w:leftChars="-50" w:right="-120" w:rightChars="-50" w:firstLine="0" w:firstLineChars="0"/>
              <w:jc w:val="center"/>
              <w:rPr>
                <w:sz w:val="21"/>
                <w:szCs w:val="21"/>
              </w:rPr>
            </w:pPr>
          </w:p>
        </w:tc>
        <w:tc>
          <w:tcPr>
            <w:tcW w:w="2318" w:type="dxa"/>
            <w:vMerge w:val="continue"/>
            <w:vAlign w:val="center"/>
          </w:tcPr>
          <w:p w14:paraId="00473A17">
            <w:pPr>
              <w:spacing w:line="240" w:lineRule="auto"/>
              <w:ind w:left="-120" w:leftChars="-50" w:right="-120" w:rightChars="-50" w:firstLine="0" w:firstLineChars="0"/>
              <w:jc w:val="center"/>
              <w:rPr>
                <w:sz w:val="21"/>
                <w:szCs w:val="21"/>
              </w:rPr>
            </w:pPr>
          </w:p>
        </w:tc>
      </w:tr>
      <w:tr w14:paraId="4ECB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69E4D0F0">
            <w:pPr>
              <w:spacing w:line="240" w:lineRule="auto"/>
              <w:ind w:left="-120" w:leftChars="-50" w:right="-120" w:rightChars="-50" w:firstLine="0" w:firstLineChars="0"/>
              <w:jc w:val="center"/>
              <w:rPr>
                <w:sz w:val="21"/>
                <w:szCs w:val="21"/>
              </w:rPr>
            </w:pPr>
            <w:r>
              <w:rPr>
                <w:rFonts w:hint="eastAsia"/>
                <w:sz w:val="21"/>
                <w:szCs w:val="21"/>
              </w:rPr>
              <w:t>8</w:t>
            </w:r>
          </w:p>
        </w:tc>
        <w:tc>
          <w:tcPr>
            <w:tcW w:w="1853" w:type="dxa"/>
            <w:vAlign w:val="center"/>
          </w:tcPr>
          <w:p w14:paraId="0A30727D">
            <w:pPr>
              <w:spacing w:line="240" w:lineRule="auto"/>
              <w:ind w:left="-120" w:leftChars="-50" w:right="-120" w:rightChars="-50" w:firstLine="0" w:firstLineChars="0"/>
              <w:jc w:val="center"/>
              <w:rPr>
                <w:sz w:val="21"/>
                <w:szCs w:val="21"/>
              </w:rPr>
            </w:pPr>
            <w:r>
              <w:rPr>
                <w:rFonts w:hint="eastAsia"/>
                <w:sz w:val="21"/>
                <w:szCs w:val="21"/>
              </w:rPr>
              <w:t>硫化氢（</w:t>
            </w:r>
            <w:r>
              <w:rPr>
                <w:sz w:val="21"/>
                <w:szCs w:val="21"/>
              </w:rPr>
              <w:t>H</w:t>
            </w:r>
            <w:r>
              <w:rPr>
                <w:sz w:val="21"/>
                <w:szCs w:val="21"/>
                <w:vertAlign w:val="subscript"/>
              </w:rPr>
              <w:t>2</w:t>
            </w:r>
            <w:r>
              <w:rPr>
                <w:sz w:val="21"/>
                <w:szCs w:val="21"/>
              </w:rPr>
              <w:t>S</w:t>
            </w:r>
            <w:r>
              <w:rPr>
                <w:rFonts w:hint="eastAsia"/>
                <w:sz w:val="21"/>
                <w:szCs w:val="21"/>
              </w:rPr>
              <w:t>）</w:t>
            </w:r>
          </w:p>
        </w:tc>
        <w:tc>
          <w:tcPr>
            <w:tcW w:w="1985" w:type="dxa"/>
            <w:vAlign w:val="center"/>
          </w:tcPr>
          <w:p w14:paraId="7FA4DD14">
            <w:pPr>
              <w:spacing w:line="240" w:lineRule="auto"/>
              <w:ind w:left="-120" w:leftChars="-50" w:right="-120" w:rightChars="-50" w:firstLine="0" w:firstLineChars="0"/>
              <w:jc w:val="center"/>
              <w:rPr>
                <w:sz w:val="21"/>
                <w:szCs w:val="21"/>
              </w:rPr>
            </w:pPr>
            <w:r>
              <w:rPr>
                <w:rFonts w:hint="eastAsia"/>
                <w:sz w:val="21"/>
                <w:szCs w:val="21"/>
              </w:rPr>
              <w:t>日平均</w:t>
            </w:r>
          </w:p>
        </w:tc>
        <w:tc>
          <w:tcPr>
            <w:tcW w:w="992" w:type="dxa"/>
            <w:vAlign w:val="center"/>
          </w:tcPr>
          <w:p w14:paraId="72C246E4">
            <w:pPr>
              <w:spacing w:line="240" w:lineRule="auto"/>
              <w:ind w:left="-120" w:leftChars="-50" w:right="-120" w:rightChars="-50" w:firstLine="0" w:firstLineChars="0"/>
              <w:jc w:val="center"/>
              <w:rPr>
                <w:sz w:val="21"/>
                <w:szCs w:val="21"/>
              </w:rPr>
            </w:pPr>
            <w:r>
              <w:rPr>
                <w:rFonts w:hint="eastAsia"/>
                <w:sz w:val="21"/>
                <w:szCs w:val="21"/>
              </w:rPr>
              <w:t>2</w:t>
            </w:r>
          </w:p>
        </w:tc>
        <w:tc>
          <w:tcPr>
            <w:tcW w:w="851" w:type="dxa"/>
            <w:vMerge w:val="restart"/>
            <w:vAlign w:val="center"/>
          </w:tcPr>
          <w:p w14:paraId="22269822">
            <w:pPr>
              <w:spacing w:line="240" w:lineRule="auto"/>
              <w:ind w:left="-120" w:leftChars="-50" w:right="-120" w:rightChars="-50" w:firstLine="0" w:firstLineChars="0"/>
              <w:jc w:val="center"/>
              <w:rPr>
                <w:sz w:val="21"/>
                <w:szCs w:val="21"/>
              </w:rPr>
            </w:pPr>
            <w:r>
              <w:rPr>
                <w:rFonts w:hint="eastAsia"/>
                <w:sz w:val="21"/>
                <w:szCs w:val="21"/>
              </w:rPr>
              <w:t>mg/m</w:t>
            </w:r>
            <w:r>
              <w:rPr>
                <w:rFonts w:hint="eastAsia"/>
                <w:sz w:val="21"/>
                <w:szCs w:val="21"/>
                <w:vertAlign w:val="superscript"/>
              </w:rPr>
              <w:t>3</w:t>
            </w:r>
          </w:p>
        </w:tc>
        <w:tc>
          <w:tcPr>
            <w:tcW w:w="2318" w:type="dxa"/>
            <w:vMerge w:val="restart"/>
            <w:vAlign w:val="center"/>
          </w:tcPr>
          <w:p w14:paraId="3DA71B35">
            <w:pPr>
              <w:spacing w:line="240" w:lineRule="auto"/>
              <w:ind w:left="-120" w:leftChars="-50" w:right="-120" w:rightChars="-50" w:firstLine="0" w:firstLineChars="0"/>
              <w:jc w:val="center"/>
              <w:rPr>
                <w:sz w:val="21"/>
                <w:szCs w:val="21"/>
              </w:rPr>
            </w:pPr>
            <w:r>
              <w:rPr>
                <w:sz w:val="21"/>
                <w:szCs w:val="21"/>
              </w:rPr>
              <w:t>《畜禽养殖产地环境评价规范》（HJ568-2010）中表5标准限值</w:t>
            </w:r>
          </w:p>
        </w:tc>
      </w:tr>
      <w:tr w14:paraId="52F2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70C72036">
            <w:pPr>
              <w:spacing w:line="240" w:lineRule="auto"/>
              <w:ind w:left="-120" w:leftChars="-50" w:right="-120" w:rightChars="-50" w:firstLine="0" w:firstLineChars="0"/>
              <w:jc w:val="center"/>
              <w:rPr>
                <w:sz w:val="21"/>
                <w:szCs w:val="21"/>
              </w:rPr>
            </w:pPr>
            <w:r>
              <w:rPr>
                <w:rFonts w:hint="eastAsia"/>
                <w:sz w:val="21"/>
                <w:szCs w:val="21"/>
              </w:rPr>
              <w:t>9</w:t>
            </w:r>
          </w:p>
        </w:tc>
        <w:tc>
          <w:tcPr>
            <w:tcW w:w="1853" w:type="dxa"/>
            <w:vAlign w:val="center"/>
          </w:tcPr>
          <w:p w14:paraId="222BAE02">
            <w:pPr>
              <w:spacing w:line="240" w:lineRule="auto"/>
              <w:ind w:left="-120" w:leftChars="-50" w:right="-120" w:rightChars="-50" w:firstLine="0" w:firstLineChars="0"/>
              <w:jc w:val="center"/>
              <w:rPr>
                <w:sz w:val="21"/>
                <w:szCs w:val="21"/>
              </w:rPr>
            </w:pPr>
            <w:r>
              <w:rPr>
                <w:rFonts w:hint="eastAsia"/>
                <w:sz w:val="21"/>
                <w:szCs w:val="21"/>
              </w:rPr>
              <w:t>氨（NH</w:t>
            </w:r>
            <w:r>
              <w:rPr>
                <w:rFonts w:hint="eastAsia"/>
                <w:sz w:val="21"/>
                <w:szCs w:val="21"/>
                <w:vertAlign w:val="subscript"/>
              </w:rPr>
              <w:t>3</w:t>
            </w:r>
            <w:r>
              <w:rPr>
                <w:rFonts w:hint="eastAsia"/>
                <w:sz w:val="21"/>
                <w:szCs w:val="21"/>
              </w:rPr>
              <w:t>）</w:t>
            </w:r>
          </w:p>
        </w:tc>
        <w:tc>
          <w:tcPr>
            <w:tcW w:w="1985" w:type="dxa"/>
            <w:vAlign w:val="center"/>
          </w:tcPr>
          <w:p w14:paraId="00BF35E8">
            <w:pPr>
              <w:spacing w:line="240" w:lineRule="auto"/>
              <w:ind w:left="-120" w:leftChars="-50" w:right="-120" w:rightChars="-50" w:firstLine="0" w:firstLineChars="0"/>
              <w:jc w:val="center"/>
              <w:rPr>
                <w:sz w:val="21"/>
                <w:szCs w:val="21"/>
              </w:rPr>
            </w:pPr>
            <w:r>
              <w:rPr>
                <w:rFonts w:hint="eastAsia"/>
                <w:sz w:val="21"/>
                <w:szCs w:val="21"/>
              </w:rPr>
              <w:t>日平均</w:t>
            </w:r>
          </w:p>
        </w:tc>
        <w:tc>
          <w:tcPr>
            <w:tcW w:w="992" w:type="dxa"/>
            <w:vAlign w:val="center"/>
          </w:tcPr>
          <w:p w14:paraId="4283BB14">
            <w:pPr>
              <w:spacing w:line="240" w:lineRule="auto"/>
              <w:ind w:left="-120" w:leftChars="-50" w:right="-120" w:rightChars="-50" w:firstLine="0" w:firstLineChars="0"/>
              <w:jc w:val="center"/>
              <w:rPr>
                <w:sz w:val="21"/>
                <w:szCs w:val="21"/>
              </w:rPr>
            </w:pPr>
            <w:r>
              <w:rPr>
                <w:rFonts w:hint="eastAsia"/>
                <w:sz w:val="21"/>
                <w:szCs w:val="21"/>
              </w:rPr>
              <w:t>5</w:t>
            </w:r>
          </w:p>
        </w:tc>
        <w:tc>
          <w:tcPr>
            <w:tcW w:w="851" w:type="dxa"/>
            <w:vMerge w:val="continue"/>
            <w:vAlign w:val="center"/>
          </w:tcPr>
          <w:p w14:paraId="52ACD824">
            <w:pPr>
              <w:spacing w:line="240" w:lineRule="auto"/>
              <w:ind w:left="-120" w:leftChars="-50" w:right="-120" w:rightChars="-50" w:firstLine="0" w:firstLineChars="0"/>
              <w:jc w:val="center"/>
              <w:rPr>
                <w:sz w:val="21"/>
                <w:szCs w:val="21"/>
              </w:rPr>
            </w:pPr>
          </w:p>
        </w:tc>
        <w:tc>
          <w:tcPr>
            <w:tcW w:w="2318" w:type="dxa"/>
            <w:vMerge w:val="continue"/>
            <w:vAlign w:val="center"/>
          </w:tcPr>
          <w:p w14:paraId="4BECB545">
            <w:pPr>
              <w:spacing w:line="240" w:lineRule="auto"/>
              <w:ind w:left="-120" w:leftChars="-50" w:right="-120" w:rightChars="-50" w:firstLine="0" w:firstLineChars="0"/>
              <w:jc w:val="center"/>
              <w:rPr>
                <w:sz w:val="21"/>
                <w:szCs w:val="21"/>
              </w:rPr>
            </w:pPr>
          </w:p>
        </w:tc>
      </w:tr>
    </w:tbl>
    <w:p w14:paraId="4C0390CA">
      <w:pPr>
        <w:ind w:firstLine="480"/>
      </w:pPr>
      <w:r>
        <w:rPr>
          <w:rFonts w:hint="eastAsia"/>
        </w:rPr>
        <w:t>（2）地下水执行《地下水质量标准》（GB/T14848-2017）中的Ⅲ类标准，标准值见表2.5-3。</w:t>
      </w:r>
    </w:p>
    <w:p w14:paraId="3FD681BB">
      <w:pPr>
        <w:pStyle w:val="11"/>
      </w:pPr>
      <w:r>
        <w:rPr>
          <w:rFonts w:hint="eastAsia"/>
        </w:rPr>
        <w:t>表2.5-3地下水质量指标及标准限值</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473"/>
        <w:gridCol w:w="2474"/>
        <w:gridCol w:w="2474"/>
      </w:tblGrid>
      <w:tr w14:paraId="5CF7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14:paraId="233BAF70">
            <w:pPr>
              <w:spacing w:line="240" w:lineRule="auto"/>
              <w:ind w:firstLine="0" w:firstLineChars="0"/>
              <w:jc w:val="center"/>
              <w:rPr>
                <w:sz w:val="21"/>
                <w:szCs w:val="21"/>
              </w:rPr>
            </w:pPr>
            <w:r>
              <w:rPr>
                <w:rFonts w:hint="eastAsia"/>
                <w:sz w:val="21"/>
                <w:szCs w:val="21"/>
              </w:rPr>
              <w:t>序号</w:t>
            </w:r>
          </w:p>
        </w:tc>
        <w:tc>
          <w:tcPr>
            <w:tcW w:w="2473" w:type="dxa"/>
            <w:vAlign w:val="center"/>
          </w:tcPr>
          <w:p w14:paraId="43C6209F">
            <w:pPr>
              <w:spacing w:line="240" w:lineRule="auto"/>
              <w:ind w:firstLine="0" w:firstLineChars="0"/>
              <w:jc w:val="center"/>
              <w:rPr>
                <w:sz w:val="21"/>
                <w:szCs w:val="21"/>
              </w:rPr>
            </w:pPr>
            <w:r>
              <w:rPr>
                <w:rFonts w:hint="eastAsia"/>
                <w:sz w:val="21"/>
                <w:szCs w:val="21"/>
              </w:rPr>
              <w:t>项目</w:t>
            </w:r>
          </w:p>
        </w:tc>
        <w:tc>
          <w:tcPr>
            <w:tcW w:w="2474" w:type="dxa"/>
            <w:vAlign w:val="center"/>
          </w:tcPr>
          <w:p w14:paraId="22DE51CD">
            <w:pPr>
              <w:spacing w:line="240" w:lineRule="auto"/>
              <w:ind w:firstLine="0" w:firstLineChars="0"/>
              <w:jc w:val="center"/>
              <w:rPr>
                <w:sz w:val="21"/>
                <w:szCs w:val="21"/>
              </w:rPr>
            </w:pPr>
            <w:r>
              <w:rPr>
                <w:rFonts w:hint="eastAsia"/>
                <w:sz w:val="21"/>
                <w:szCs w:val="21"/>
              </w:rPr>
              <w:t>单位</w:t>
            </w:r>
          </w:p>
        </w:tc>
        <w:tc>
          <w:tcPr>
            <w:tcW w:w="2474" w:type="dxa"/>
            <w:vAlign w:val="center"/>
          </w:tcPr>
          <w:p w14:paraId="45F4D760">
            <w:pPr>
              <w:spacing w:line="240" w:lineRule="auto"/>
              <w:ind w:firstLine="0" w:firstLineChars="0"/>
              <w:jc w:val="center"/>
              <w:rPr>
                <w:sz w:val="21"/>
                <w:szCs w:val="21"/>
              </w:rPr>
            </w:pPr>
            <w:r>
              <w:rPr>
                <w:rFonts w:hint="eastAsia"/>
                <w:sz w:val="21"/>
                <w:szCs w:val="21"/>
              </w:rPr>
              <w:t>标准限值</w:t>
            </w:r>
          </w:p>
        </w:tc>
      </w:tr>
      <w:tr w14:paraId="3292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17C49AF7">
            <w:pPr>
              <w:spacing w:line="240" w:lineRule="auto"/>
              <w:ind w:firstLine="0" w:firstLineChars="0"/>
              <w:jc w:val="center"/>
              <w:rPr>
                <w:sz w:val="21"/>
                <w:szCs w:val="21"/>
              </w:rPr>
            </w:pPr>
            <w:r>
              <w:rPr>
                <w:sz w:val="21"/>
                <w:szCs w:val="21"/>
              </w:rPr>
              <w:t>1</w:t>
            </w:r>
          </w:p>
        </w:tc>
        <w:tc>
          <w:tcPr>
            <w:tcW w:w="2473" w:type="dxa"/>
          </w:tcPr>
          <w:p w14:paraId="6C79BC16">
            <w:pPr>
              <w:spacing w:line="240" w:lineRule="auto"/>
              <w:ind w:firstLine="0" w:firstLineChars="0"/>
              <w:jc w:val="center"/>
              <w:rPr>
                <w:sz w:val="21"/>
                <w:szCs w:val="21"/>
              </w:rPr>
            </w:pPr>
            <w:r>
              <w:rPr>
                <w:sz w:val="21"/>
                <w:szCs w:val="21"/>
              </w:rPr>
              <w:t>pH</w:t>
            </w:r>
          </w:p>
        </w:tc>
        <w:tc>
          <w:tcPr>
            <w:tcW w:w="2474" w:type="dxa"/>
          </w:tcPr>
          <w:p w14:paraId="15318757">
            <w:pPr>
              <w:spacing w:line="240" w:lineRule="auto"/>
              <w:ind w:firstLine="0" w:firstLineChars="0"/>
              <w:jc w:val="center"/>
              <w:rPr>
                <w:sz w:val="21"/>
                <w:szCs w:val="21"/>
              </w:rPr>
            </w:pPr>
            <w:r>
              <w:rPr>
                <w:sz w:val="21"/>
                <w:szCs w:val="21"/>
              </w:rPr>
              <w:t>/</w:t>
            </w:r>
          </w:p>
        </w:tc>
        <w:tc>
          <w:tcPr>
            <w:tcW w:w="2474" w:type="dxa"/>
          </w:tcPr>
          <w:p w14:paraId="2821C516">
            <w:pPr>
              <w:spacing w:line="240" w:lineRule="auto"/>
              <w:ind w:firstLine="0" w:firstLineChars="0"/>
              <w:jc w:val="center"/>
              <w:rPr>
                <w:sz w:val="21"/>
                <w:szCs w:val="21"/>
              </w:rPr>
            </w:pPr>
            <w:r>
              <w:rPr>
                <w:sz w:val="21"/>
                <w:szCs w:val="21"/>
              </w:rPr>
              <w:t>6.5</w:t>
            </w:r>
            <w:r>
              <w:rPr>
                <w:rFonts w:hint="eastAsia"/>
                <w:sz w:val="21"/>
                <w:szCs w:val="21"/>
              </w:rPr>
              <w:t>~</w:t>
            </w:r>
            <w:r>
              <w:rPr>
                <w:sz w:val="21"/>
                <w:szCs w:val="21"/>
              </w:rPr>
              <w:t>8.5</w:t>
            </w:r>
          </w:p>
        </w:tc>
      </w:tr>
      <w:tr w14:paraId="7D5B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EBC9ABC">
            <w:pPr>
              <w:spacing w:line="240" w:lineRule="auto"/>
              <w:ind w:firstLine="0" w:firstLineChars="0"/>
              <w:jc w:val="center"/>
              <w:rPr>
                <w:sz w:val="21"/>
                <w:szCs w:val="21"/>
              </w:rPr>
            </w:pPr>
            <w:r>
              <w:rPr>
                <w:rFonts w:hint="eastAsia"/>
                <w:sz w:val="21"/>
                <w:szCs w:val="21"/>
              </w:rPr>
              <w:t>2</w:t>
            </w:r>
          </w:p>
        </w:tc>
        <w:tc>
          <w:tcPr>
            <w:tcW w:w="2473" w:type="dxa"/>
          </w:tcPr>
          <w:p w14:paraId="648903E6">
            <w:pPr>
              <w:spacing w:line="240" w:lineRule="auto"/>
              <w:ind w:firstLine="0" w:firstLineChars="0"/>
              <w:jc w:val="center"/>
              <w:rPr>
                <w:sz w:val="21"/>
                <w:szCs w:val="21"/>
              </w:rPr>
            </w:pPr>
            <w:r>
              <w:rPr>
                <w:rFonts w:hint="eastAsia"/>
                <w:sz w:val="21"/>
                <w:szCs w:val="21"/>
              </w:rPr>
              <w:t>氨氮</w:t>
            </w:r>
          </w:p>
        </w:tc>
        <w:tc>
          <w:tcPr>
            <w:tcW w:w="2474" w:type="dxa"/>
          </w:tcPr>
          <w:p w14:paraId="77677414">
            <w:pPr>
              <w:spacing w:line="240" w:lineRule="auto"/>
              <w:ind w:firstLine="0" w:firstLineChars="0"/>
              <w:jc w:val="center"/>
              <w:rPr>
                <w:sz w:val="21"/>
                <w:szCs w:val="21"/>
              </w:rPr>
            </w:pPr>
            <w:r>
              <w:rPr>
                <w:rFonts w:hint="eastAsia"/>
                <w:sz w:val="21"/>
                <w:szCs w:val="21"/>
              </w:rPr>
              <w:t>mg/L</w:t>
            </w:r>
          </w:p>
        </w:tc>
        <w:tc>
          <w:tcPr>
            <w:tcW w:w="2474" w:type="dxa"/>
          </w:tcPr>
          <w:p w14:paraId="56DD2830">
            <w:pPr>
              <w:spacing w:line="240" w:lineRule="auto"/>
              <w:ind w:firstLine="0" w:firstLineChars="0"/>
              <w:jc w:val="center"/>
              <w:rPr>
                <w:sz w:val="21"/>
                <w:szCs w:val="21"/>
              </w:rPr>
            </w:pPr>
            <w:r>
              <w:rPr>
                <w:rFonts w:hint="eastAsia"/>
                <w:sz w:val="21"/>
                <w:szCs w:val="21"/>
              </w:rPr>
              <w:t>≤0.5</w:t>
            </w:r>
          </w:p>
        </w:tc>
      </w:tr>
      <w:tr w14:paraId="4315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E86CCF2">
            <w:pPr>
              <w:spacing w:line="240" w:lineRule="auto"/>
              <w:ind w:firstLine="0" w:firstLineChars="0"/>
              <w:jc w:val="center"/>
              <w:rPr>
                <w:sz w:val="21"/>
                <w:szCs w:val="21"/>
              </w:rPr>
            </w:pPr>
            <w:r>
              <w:rPr>
                <w:rFonts w:hint="eastAsia"/>
                <w:sz w:val="21"/>
                <w:szCs w:val="21"/>
              </w:rPr>
              <w:t>3</w:t>
            </w:r>
          </w:p>
        </w:tc>
        <w:tc>
          <w:tcPr>
            <w:tcW w:w="2473" w:type="dxa"/>
          </w:tcPr>
          <w:p w14:paraId="54713DA6">
            <w:pPr>
              <w:spacing w:line="240" w:lineRule="auto"/>
              <w:ind w:firstLine="0" w:firstLineChars="0"/>
              <w:jc w:val="center"/>
              <w:rPr>
                <w:sz w:val="21"/>
                <w:szCs w:val="21"/>
              </w:rPr>
            </w:pPr>
            <w:r>
              <w:rPr>
                <w:rFonts w:hint="eastAsia"/>
                <w:sz w:val="21"/>
                <w:szCs w:val="21"/>
              </w:rPr>
              <w:t>挥发酚</w:t>
            </w:r>
          </w:p>
        </w:tc>
        <w:tc>
          <w:tcPr>
            <w:tcW w:w="2474" w:type="dxa"/>
          </w:tcPr>
          <w:p w14:paraId="1756EC10">
            <w:pPr>
              <w:spacing w:line="240" w:lineRule="auto"/>
              <w:ind w:firstLine="0" w:firstLineChars="0"/>
              <w:jc w:val="center"/>
              <w:rPr>
                <w:sz w:val="21"/>
                <w:szCs w:val="21"/>
              </w:rPr>
            </w:pPr>
            <w:r>
              <w:rPr>
                <w:rFonts w:hint="eastAsia"/>
                <w:sz w:val="21"/>
                <w:szCs w:val="21"/>
              </w:rPr>
              <w:t>mg/L</w:t>
            </w:r>
          </w:p>
        </w:tc>
        <w:tc>
          <w:tcPr>
            <w:tcW w:w="2474" w:type="dxa"/>
          </w:tcPr>
          <w:p w14:paraId="7CAAE4B8">
            <w:pPr>
              <w:spacing w:line="240" w:lineRule="auto"/>
              <w:ind w:firstLine="0" w:firstLineChars="0"/>
              <w:jc w:val="center"/>
              <w:rPr>
                <w:sz w:val="21"/>
                <w:szCs w:val="21"/>
              </w:rPr>
            </w:pPr>
            <w:r>
              <w:rPr>
                <w:rFonts w:hint="eastAsia"/>
                <w:sz w:val="21"/>
                <w:szCs w:val="21"/>
              </w:rPr>
              <w:t>≤0.002</w:t>
            </w:r>
          </w:p>
        </w:tc>
      </w:tr>
      <w:tr w14:paraId="77F2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284CDB74">
            <w:pPr>
              <w:spacing w:line="240" w:lineRule="auto"/>
              <w:ind w:firstLine="0" w:firstLineChars="0"/>
              <w:jc w:val="center"/>
              <w:rPr>
                <w:sz w:val="21"/>
                <w:szCs w:val="21"/>
              </w:rPr>
            </w:pPr>
            <w:r>
              <w:rPr>
                <w:rFonts w:hint="eastAsia"/>
                <w:sz w:val="21"/>
                <w:szCs w:val="21"/>
              </w:rPr>
              <w:t>4</w:t>
            </w:r>
          </w:p>
        </w:tc>
        <w:tc>
          <w:tcPr>
            <w:tcW w:w="2473" w:type="dxa"/>
          </w:tcPr>
          <w:p w14:paraId="278BBFD1">
            <w:pPr>
              <w:spacing w:line="240" w:lineRule="auto"/>
              <w:ind w:firstLine="0" w:firstLineChars="0"/>
              <w:jc w:val="center"/>
              <w:rPr>
                <w:sz w:val="21"/>
                <w:szCs w:val="21"/>
              </w:rPr>
            </w:pPr>
            <w:r>
              <w:rPr>
                <w:rFonts w:hint="eastAsia"/>
                <w:sz w:val="21"/>
                <w:szCs w:val="21"/>
              </w:rPr>
              <w:t>六价铬</w:t>
            </w:r>
          </w:p>
        </w:tc>
        <w:tc>
          <w:tcPr>
            <w:tcW w:w="2474" w:type="dxa"/>
          </w:tcPr>
          <w:p w14:paraId="374A8420">
            <w:pPr>
              <w:spacing w:line="240" w:lineRule="auto"/>
              <w:ind w:firstLine="0" w:firstLineChars="0"/>
              <w:jc w:val="center"/>
              <w:rPr>
                <w:sz w:val="21"/>
                <w:szCs w:val="21"/>
              </w:rPr>
            </w:pPr>
            <w:r>
              <w:rPr>
                <w:rFonts w:hint="eastAsia"/>
                <w:sz w:val="21"/>
                <w:szCs w:val="21"/>
              </w:rPr>
              <w:t>个/L</w:t>
            </w:r>
          </w:p>
        </w:tc>
        <w:tc>
          <w:tcPr>
            <w:tcW w:w="2474" w:type="dxa"/>
          </w:tcPr>
          <w:p w14:paraId="40BB993D">
            <w:pPr>
              <w:spacing w:line="240" w:lineRule="auto"/>
              <w:ind w:firstLine="0" w:firstLineChars="0"/>
              <w:jc w:val="center"/>
              <w:rPr>
                <w:sz w:val="21"/>
                <w:szCs w:val="21"/>
              </w:rPr>
            </w:pPr>
            <w:r>
              <w:rPr>
                <w:rFonts w:hint="eastAsia"/>
                <w:sz w:val="21"/>
                <w:szCs w:val="21"/>
              </w:rPr>
              <w:t>≤0.05</w:t>
            </w:r>
          </w:p>
        </w:tc>
      </w:tr>
      <w:tr w14:paraId="0F03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162A8A3">
            <w:pPr>
              <w:spacing w:line="240" w:lineRule="auto"/>
              <w:ind w:firstLine="0" w:firstLineChars="0"/>
              <w:jc w:val="center"/>
              <w:rPr>
                <w:sz w:val="21"/>
                <w:szCs w:val="21"/>
              </w:rPr>
            </w:pPr>
            <w:r>
              <w:rPr>
                <w:rFonts w:hint="eastAsia"/>
                <w:sz w:val="21"/>
                <w:szCs w:val="21"/>
              </w:rPr>
              <w:t>5</w:t>
            </w:r>
          </w:p>
        </w:tc>
        <w:tc>
          <w:tcPr>
            <w:tcW w:w="2473" w:type="dxa"/>
          </w:tcPr>
          <w:p w14:paraId="30EC4278">
            <w:pPr>
              <w:spacing w:line="240" w:lineRule="auto"/>
              <w:ind w:firstLine="0" w:firstLineChars="0"/>
              <w:jc w:val="center"/>
              <w:rPr>
                <w:sz w:val="21"/>
                <w:szCs w:val="21"/>
              </w:rPr>
            </w:pPr>
            <w:r>
              <w:rPr>
                <w:rFonts w:hint="eastAsia"/>
                <w:sz w:val="21"/>
                <w:szCs w:val="21"/>
              </w:rPr>
              <w:t>亚硝酸盐</w:t>
            </w:r>
          </w:p>
        </w:tc>
        <w:tc>
          <w:tcPr>
            <w:tcW w:w="2474" w:type="dxa"/>
          </w:tcPr>
          <w:p w14:paraId="72BEB37B">
            <w:pPr>
              <w:spacing w:line="240" w:lineRule="auto"/>
              <w:ind w:firstLine="0" w:firstLineChars="0"/>
              <w:jc w:val="center"/>
              <w:rPr>
                <w:sz w:val="21"/>
                <w:szCs w:val="21"/>
              </w:rPr>
            </w:pPr>
            <w:r>
              <w:rPr>
                <w:rFonts w:hint="eastAsia"/>
                <w:sz w:val="21"/>
                <w:szCs w:val="21"/>
              </w:rPr>
              <w:t>mg/L</w:t>
            </w:r>
          </w:p>
        </w:tc>
        <w:tc>
          <w:tcPr>
            <w:tcW w:w="2474" w:type="dxa"/>
          </w:tcPr>
          <w:p w14:paraId="18F8773D">
            <w:pPr>
              <w:spacing w:line="240" w:lineRule="auto"/>
              <w:ind w:firstLine="0" w:firstLineChars="0"/>
              <w:jc w:val="center"/>
              <w:rPr>
                <w:sz w:val="21"/>
                <w:szCs w:val="21"/>
              </w:rPr>
            </w:pPr>
            <w:r>
              <w:rPr>
                <w:rFonts w:hint="eastAsia"/>
                <w:sz w:val="21"/>
                <w:szCs w:val="21"/>
              </w:rPr>
              <w:t>≤0.02</w:t>
            </w:r>
          </w:p>
        </w:tc>
      </w:tr>
      <w:tr w14:paraId="0EA9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4450503">
            <w:pPr>
              <w:spacing w:line="240" w:lineRule="auto"/>
              <w:ind w:firstLine="0" w:firstLineChars="0"/>
              <w:jc w:val="center"/>
              <w:rPr>
                <w:sz w:val="21"/>
                <w:szCs w:val="21"/>
              </w:rPr>
            </w:pPr>
            <w:r>
              <w:rPr>
                <w:rFonts w:hint="eastAsia"/>
                <w:sz w:val="21"/>
                <w:szCs w:val="21"/>
              </w:rPr>
              <w:t>6</w:t>
            </w:r>
          </w:p>
        </w:tc>
        <w:tc>
          <w:tcPr>
            <w:tcW w:w="2473" w:type="dxa"/>
          </w:tcPr>
          <w:p w14:paraId="66DDEE92">
            <w:pPr>
              <w:spacing w:line="240" w:lineRule="auto"/>
              <w:ind w:firstLine="0" w:firstLineChars="0"/>
              <w:jc w:val="center"/>
              <w:rPr>
                <w:sz w:val="21"/>
                <w:szCs w:val="21"/>
              </w:rPr>
            </w:pPr>
            <w:r>
              <w:rPr>
                <w:rFonts w:hint="eastAsia"/>
                <w:sz w:val="21"/>
                <w:szCs w:val="21"/>
              </w:rPr>
              <w:t>硝酸盐氮</w:t>
            </w:r>
          </w:p>
        </w:tc>
        <w:tc>
          <w:tcPr>
            <w:tcW w:w="2474" w:type="dxa"/>
          </w:tcPr>
          <w:p w14:paraId="6B1656DD">
            <w:pPr>
              <w:spacing w:line="240" w:lineRule="auto"/>
              <w:ind w:firstLine="0" w:firstLineChars="0"/>
              <w:jc w:val="center"/>
              <w:rPr>
                <w:sz w:val="21"/>
                <w:szCs w:val="21"/>
              </w:rPr>
            </w:pPr>
            <w:r>
              <w:rPr>
                <w:rFonts w:hint="eastAsia"/>
                <w:sz w:val="21"/>
                <w:szCs w:val="21"/>
              </w:rPr>
              <w:t>mg/L</w:t>
            </w:r>
          </w:p>
        </w:tc>
        <w:tc>
          <w:tcPr>
            <w:tcW w:w="2474" w:type="dxa"/>
          </w:tcPr>
          <w:p w14:paraId="530F57D7">
            <w:pPr>
              <w:spacing w:line="240" w:lineRule="auto"/>
              <w:ind w:firstLine="0" w:firstLineChars="0"/>
              <w:jc w:val="center"/>
              <w:rPr>
                <w:sz w:val="21"/>
                <w:szCs w:val="21"/>
              </w:rPr>
            </w:pPr>
            <w:r>
              <w:rPr>
                <w:rFonts w:hint="eastAsia"/>
                <w:sz w:val="21"/>
                <w:szCs w:val="21"/>
              </w:rPr>
              <w:t>≤20</w:t>
            </w:r>
          </w:p>
        </w:tc>
      </w:tr>
      <w:tr w14:paraId="65C9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2164AEAC">
            <w:pPr>
              <w:spacing w:line="240" w:lineRule="auto"/>
              <w:ind w:firstLine="0" w:firstLineChars="0"/>
              <w:jc w:val="center"/>
              <w:rPr>
                <w:sz w:val="21"/>
                <w:szCs w:val="21"/>
              </w:rPr>
            </w:pPr>
            <w:r>
              <w:rPr>
                <w:rFonts w:hint="eastAsia"/>
                <w:sz w:val="21"/>
                <w:szCs w:val="21"/>
              </w:rPr>
              <w:t>7</w:t>
            </w:r>
          </w:p>
        </w:tc>
        <w:tc>
          <w:tcPr>
            <w:tcW w:w="2473" w:type="dxa"/>
          </w:tcPr>
          <w:p w14:paraId="2E8DAF5D">
            <w:pPr>
              <w:spacing w:line="240" w:lineRule="auto"/>
              <w:ind w:firstLine="0" w:firstLineChars="0"/>
              <w:jc w:val="center"/>
              <w:rPr>
                <w:sz w:val="21"/>
                <w:szCs w:val="21"/>
              </w:rPr>
            </w:pPr>
            <w:r>
              <w:rPr>
                <w:rFonts w:hint="eastAsia"/>
                <w:sz w:val="21"/>
                <w:szCs w:val="21"/>
              </w:rPr>
              <w:t>氰化物</w:t>
            </w:r>
          </w:p>
        </w:tc>
        <w:tc>
          <w:tcPr>
            <w:tcW w:w="2474" w:type="dxa"/>
          </w:tcPr>
          <w:p w14:paraId="0C8D4314">
            <w:pPr>
              <w:spacing w:line="240" w:lineRule="auto"/>
              <w:ind w:firstLine="0" w:firstLineChars="0"/>
              <w:jc w:val="center"/>
              <w:rPr>
                <w:sz w:val="21"/>
                <w:szCs w:val="21"/>
              </w:rPr>
            </w:pPr>
            <w:r>
              <w:rPr>
                <w:rFonts w:hint="eastAsia"/>
                <w:sz w:val="21"/>
                <w:szCs w:val="21"/>
              </w:rPr>
              <w:t>mg/L</w:t>
            </w:r>
          </w:p>
        </w:tc>
        <w:tc>
          <w:tcPr>
            <w:tcW w:w="2474" w:type="dxa"/>
          </w:tcPr>
          <w:p w14:paraId="225303E6">
            <w:pPr>
              <w:spacing w:line="240" w:lineRule="auto"/>
              <w:ind w:firstLine="0" w:firstLineChars="0"/>
              <w:jc w:val="center"/>
              <w:rPr>
                <w:sz w:val="21"/>
                <w:szCs w:val="21"/>
              </w:rPr>
            </w:pPr>
            <w:r>
              <w:rPr>
                <w:rFonts w:hint="eastAsia"/>
                <w:sz w:val="21"/>
                <w:szCs w:val="21"/>
              </w:rPr>
              <w:t>≤0.05</w:t>
            </w:r>
          </w:p>
        </w:tc>
      </w:tr>
      <w:tr w14:paraId="51C9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78863594">
            <w:pPr>
              <w:spacing w:line="240" w:lineRule="auto"/>
              <w:ind w:firstLine="0" w:firstLineChars="0"/>
              <w:jc w:val="center"/>
              <w:rPr>
                <w:sz w:val="21"/>
                <w:szCs w:val="21"/>
              </w:rPr>
            </w:pPr>
            <w:r>
              <w:rPr>
                <w:rFonts w:hint="eastAsia"/>
                <w:sz w:val="21"/>
                <w:szCs w:val="21"/>
              </w:rPr>
              <w:t>8</w:t>
            </w:r>
          </w:p>
        </w:tc>
        <w:tc>
          <w:tcPr>
            <w:tcW w:w="2473" w:type="dxa"/>
          </w:tcPr>
          <w:p w14:paraId="4FC26C7F">
            <w:pPr>
              <w:spacing w:line="240" w:lineRule="auto"/>
              <w:ind w:firstLine="0" w:firstLineChars="0"/>
              <w:jc w:val="center"/>
              <w:rPr>
                <w:sz w:val="21"/>
                <w:szCs w:val="21"/>
              </w:rPr>
            </w:pPr>
            <w:r>
              <w:rPr>
                <w:rFonts w:hint="eastAsia"/>
                <w:sz w:val="21"/>
                <w:szCs w:val="21"/>
              </w:rPr>
              <w:t>溶解性总固体</w:t>
            </w:r>
          </w:p>
        </w:tc>
        <w:tc>
          <w:tcPr>
            <w:tcW w:w="2474" w:type="dxa"/>
          </w:tcPr>
          <w:p w14:paraId="70C9162E">
            <w:pPr>
              <w:spacing w:line="240" w:lineRule="auto"/>
              <w:ind w:firstLine="0" w:firstLineChars="0"/>
              <w:jc w:val="center"/>
              <w:rPr>
                <w:sz w:val="21"/>
                <w:szCs w:val="21"/>
              </w:rPr>
            </w:pPr>
            <w:r>
              <w:rPr>
                <w:rFonts w:hint="eastAsia"/>
                <w:sz w:val="21"/>
                <w:szCs w:val="21"/>
              </w:rPr>
              <w:t>mg/L</w:t>
            </w:r>
          </w:p>
        </w:tc>
        <w:tc>
          <w:tcPr>
            <w:tcW w:w="2474" w:type="dxa"/>
          </w:tcPr>
          <w:p w14:paraId="6D64DEF1">
            <w:pPr>
              <w:spacing w:line="240" w:lineRule="auto"/>
              <w:ind w:firstLine="0" w:firstLineChars="0"/>
              <w:jc w:val="center"/>
              <w:rPr>
                <w:sz w:val="21"/>
                <w:szCs w:val="21"/>
              </w:rPr>
            </w:pPr>
            <w:r>
              <w:rPr>
                <w:rFonts w:hint="eastAsia"/>
                <w:sz w:val="21"/>
                <w:szCs w:val="21"/>
              </w:rPr>
              <w:t>≤1000</w:t>
            </w:r>
          </w:p>
        </w:tc>
      </w:tr>
      <w:tr w14:paraId="4AC1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F994C36">
            <w:pPr>
              <w:spacing w:line="240" w:lineRule="auto"/>
              <w:ind w:firstLine="0" w:firstLineChars="0"/>
              <w:jc w:val="center"/>
              <w:rPr>
                <w:sz w:val="21"/>
                <w:szCs w:val="21"/>
              </w:rPr>
            </w:pPr>
            <w:r>
              <w:rPr>
                <w:rFonts w:hint="eastAsia"/>
                <w:sz w:val="21"/>
                <w:szCs w:val="21"/>
              </w:rPr>
              <w:t>9</w:t>
            </w:r>
          </w:p>
        </w:tc>
        <w:tc>
          <w:tcPr>
            <w:tcW w:w="2473" w:type="dxa"/>
          </w:tcPr>
          <w:p w14:paraId="770D9313">
            <w:pPr>
              <w:spacing w:line="240" w:lineRule="auto"/>
              <w:ind w:firstLine="0" w:firstLineChars="0"/>
              <w:jc w:val="center"/>
              <w:rPr>
                <w:sz w:val="21"/>
                <w:szCs w:val="21"/>
              </w:rPr>
            </w:pPr>
            <w:r>
              <w:rPr>
                <w:rFonts w:hint="eastAsia"/>
                <w:sz w:val="21"/>
                <w:szCs w:val="21"/>
              </w:rPr>
              <w:t>硫酸盐</w:t>
            </w:r>
          </w:p>
        </w:tc>
        <w:tc>
          <w:tcPr>
            <w:tcW w:w="2474" w:type="dxa"/>
          </w:tcPr>
          <w:p w14:paraId="5ED0297A">
            <w:pPr>
              <w:spacing w:line="240" w:lineRule="auto"/>
              <w:ind w:firstLine="0" w:firstLineChars="0"/>
              <w:jc w:val="center"/>
              <w:rPr>
                <w:sz w:val="21"/>
                <w:szCs w:val="21"/>
              </w:rPr>
            </w:pPr>
            <w:r>
              <w:rPr>
                <w:rFonts w:hint="eastAsia"/>
                <w:sz w:val="21"/>
                <w:szCs w:val="21"/>
              </w:rPr>
              <w:t>mg/L</w:t>
            </w:r>
          </w:p>
        </w:tc>
        <w:tc>
          <w:tcPr>
            <w:tcW w:w="2474" w:type="dxa"/>
          </w:tcPr>
          <w:p w14:paraId="72D4049C">
            <w:pPr>
              <w:spacing w:line="240" w:lineRule="auto"/>
              <w:ind w:firstLine="0" w:firstLineChars="0"/>
              <w:jc w:val="center"/>
              <w:rPr>
                <w:sz w:val="21"/>
                <w:szCs w:val="21"/>
              </w:rPr>
            </w:pPr>
            <w:r>
              <w:rPr>
                <w:rFonts w:hint="eastAsia"/>
                <w:sz w:val="21"/>
                <w:szCs w:val="21"/>
              </w:rPr>
              <w:t>≤250</w:t>
            </w:r>
          </w:p>
        </w:tc>
      </w:tr>
      <w:tr w14:paraId="33E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6D460C9">
            <w:pPr>
              <w:spacing w:line="240" w:lineRule="auto"/>
              <w:ind w:firstLine="0" w:firstLineChars="0"/>
              <w:jc w:val="center"/>
              <w:rPr>
                <w:sz w:val="21"/>
                <w:szCs w:val="21"/>
              </w:rPr>
            </w:pPr>
            <w:r>
              <w:rPr>
                <w:rFonts w:hint="eastAsia"/>
                <w:sz w:val="21"/>
                <w:szCs w:val="21"/>
              </w:rPr>
              <w:t>10</w:t>
            </w:r>
          </w:p>
        </w:tc>
        <w:tc>
          <w:tcPr>
            <w:tcW w:w="2473" w:type="dxa"/>
          </w:tcPr>
          <w:p w14:paraId="1C91C082">
            <w:pPr>
              <w:spacing w:line="240" w:lineRule="auto"/>
              <w:ind w:firstLine="0" w:firstLineChars="0"/>
              <w:jc w:val="center"/>
              <w:rPr>
                <w:sz w:val="21"/>
                <w:szCs w:val="21"/>
              </w:rPr>
            </w:pPr>
            <w:r>
              <w:rPr>
                <w:rFonts w:hint="eastAsia"/>
                <w:sz w:val="21"/>
                <w:szCs w:val="21"/>
              </w:rPr>
              <w:t>氯化物</w:t>
            </w:r>
          </w:p>
        </w:tc>
        <w:tc>
          <w:tcPr>
            <w:tcW w:w="2474" w:type="dxa"/>
          </w:tcPr>
          <w:p w14:paraId="1E930BA1">
            <w:pPr>
              <w:spacing w:line="240" w:lineRule="auto"/>
              <w:ind w:firstLine="0" w:firstLineChars="0"/>
              <w:jc w:val="center"/>
              <w:rPr>
                <w:sz w:val="21"/>
                <w:szCs w:val="21"/>
              </w:rPr>
            </w:pPr>
            <w:r>
              <w:rPr>
                <w:rFonts w:hint="eastAsia"/>
                <w:sz w:val="21"/>
                <w:szCs w:val="21"/>
              </w:rPr>
              <w:t>mg/L</w:t>
            </w:r>
          </w:p>
        </w:tc>
        <w:tc>
          <w:tcPr>
            <w:tcW w:w="2474" w:type="dxa"/>
          </w:tcPr>
          <w:p w14:paraId="0A31CF25">
            <w:pPr>
              <w:spacing w:line="240" w:lineRule="auto"/>
              <w:ind w:firstLine="0" w:firstLineChars="0"/>
              <w:jc w:val="center"/>
              <w:rPr>
                <w:sz w:val="21"/>
                <w:szCs w:val="21"/>
              </w:rPr>
            </w:pPr>
            <w:r>
              <w:rPr>
                <w:rFonts w:hint="eastAsia"/>
                <w:sz w:val="21"/>
                <w:szCs w:val="21"/>
              </w:rPr>
              <w:t>≤250</w:t>
            </w:r>
          </w:p>
        </w:tc>
      </w:tr>
      <w:tr w14:paraId="0F4A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60F57362">
            <w:pPr>
              <w:spacing w:line="240" w:lineRule="auto"/>
              <w:ind w:firstLine="0" w:firstLineChars="0"/>
              <w:jc w:val="center"/>
              <w:rPr>
                <w:sz w:val="21"/>
                <w:szCs w:val="21"/>
              </w:rPr>
            </w:pPr>
            <w:r>
              <w:rPr>
                <w:rFonts w:hint="eastAsia"/>
                <w:sz w:val="21"/>
                <w:szCs w:val="21"/>
              </w:rPr>
              <w:t>11</w:t>
            </w:r>
          </w:p>
        </w:tc>
        <w:tc>
          <w:tcPr>
            <w:tcW w:w="2473" w:type="dxa"/>
          </w:tcPr>
          <w:p w14:paraId="43585815">
            <w:pPr>
              <w:spacing w:line="240" w:lineRule="auto"/>
              <w:ind w:firstLine="0" w:firstLineChars="0"/>
              <w:jc w:val="center"/>
              <w:rPr>
                <w:sz w:val="21"/>
                <w:szCs w:val="21"/>
              </w:rPr>
            </w:pPr>
            <w:r>
              <w:rPr>
                <w:rFonts w:hint="eastAsia"/>
                <w:sz w:val="21"/>
                <w:szCs w:val="21"/>
              </w:rPr>
              <w:t>总硬度</w:t>
            </w:r>
          </w:p>
        </w:tc>
        <w:tc>
          <w:tcPr>
            <w:tcW w:w="2474" w:type="dxa"/>
          </w:tcPr>
          <w:p w14:paraId="2F380388">
            <w:pPr>
              <w:spacing w:line="240" w:lineRule="auto"/>
              <w:ind w:firstLine="0" w:firstLineChars="0"/>
              <w:jc w:val="center"/>
              <w:rPr>
                <w:sz w:val="21"/>
                <w:szCs w:val="21"/>
              </w:rPr>
            </w:pPr>
            <w:r>
              <w:rPr>
                <w:rFonts w:hint="eastAsia"/>
                <w:sz w:val="21"/>
                <w:szCs w:val="21"/>
              </w:rPr>
              <w:t>mg/L</w:t>
            </w:r>
          </w:p>
        </w:tc>
        <w:tc>
          <w:tcPr>
            <w:tcW w:w="2474" w:type="dxa"/>
          </w:tcPr>
          <w:p w14:paraId="12EC5372">
            <w:pPr>
              <w:spacing w:line="240" w:lineRule="auto"/>
              <w:ind w:firstLine="0" w:firstLineChars="0"/>
              <w:jc w:val="center"/>
              <w:rPr>
                <w:sz w:val="21"/>
                <w:szCs w:val="21"/>
              </w:rPr>
            </w:pPr>
            <w:r>
              <w:rPr>
                <w:rFonts w:hint="eastAsia"/>
                <w:sz w:val="21"/>
                <w:szCs w:val="21"/>
              </w:rPr>
              <w:t>≤450</w:t>
            </w:r>
          </w:p>
        </w:tc>
      </w:tr>
      <w:tr w14:paraId="27C1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26814197">
            <w:pPr>
              <w:spacing w:line="240" w:lineRule="auto"/>
              <w:ind w:firstLine="0" w:firstLineChars="0"/>
              <w:jc w:val="center"/>
              <w:rPr>
                <w:sz w:val="21"/>
                <w:szCs w:val="21"/>
              </w:rPr>
            </w:pPr>
            <w:r>
              <w:rPr>
                <w:rFonts w:hint="eastAsia"/>
                <w:sz w:val="21"/>
                <w:szCs w:val="21"/>
              </w:rPr>
              <w:t>12</w:t>
            </w:r>
          </w:p>
        </w:tc>
        <w:tc>
          <w:tcPr>
            <w:tcW w:w="2473" w:type="dxa"/>
          </w:tcPr>
          <w:p w14:paraId="47BE1213">
            <w:pPr>
              <w:spacing w:line="240" w:lineRule="auto"/>
              <w:ind w:firstLine="0" w:firstLineChars="0"/>
              <w:jc w:val="center"/>
              <w:rPr>
                <w:sz w:val="21"/>
                <w:szCs w:val="21"/>
              </w:rPr>
            </w:pPr>
            <w:r>
              <w:rPr>
                <w:rFonts w:hint="eastAsia"/>
                <w:sz w:val="21"/>
                <w:szCs w:val="21"/>
              </w:rPr>
              <w:t>砷</w:t>
            </w:r>
          </w:p>
        </w:tc>
        <w:tc>
          <w:tcPr>
            <w:tcW w:w="2474" w:type="dxa"/>
          </w:tcPr>
          <w:p w14:paraId="61C84309">
            <w:pPr>
              <w:spacing w:line="240" w:lineRule="auto"/>
              <w:ind w:firstLine="0" w:firstLineChars="0"/>
              <w:jc w:val="center"/>
              <w:rPr>
                <w:sz w:val="21"/>
                <w:szCs w:val="21"/>
              </w:rPr>
            </w:pPr>
            <w:r>
              <w:rPr>
                <w:rFonts w:hint="eastAsia"/>
                <w:sz w:val="21"/>
                <w:szCs w:val="21"/>
              </w:rPr>
              <w:t>mg/L</w:t>
            </w:r>
          </w:p>
        </w:tc>
        <w:tc>
          <w:tcPr>
            <w:tcW w:w="2474" w:type="dxa"/>
          </w:tcPr>
          <w:p w14:paraId="5AC08BD5">
            <w:pPr>
              <w:spacing w:line="240" w:lineRule="auto"/>
              <w:ind w:firstLine="0" w:firstLineChars="0"/>
              <w:jc w:val="center"/>
              <w:rPr>
                <w:sz w:val="21"/>
                <w:szCs w:val="21"/>
              </w:rPr>
            </w:pPr>
            <w:r>
              <w:rPr>
                <w:rFonts w:hint="eastAsia"/>
                <w:sz w:val="21"/>
                <w:szCs w:val="21"/>
              </w:rPr>
              <w:t>≤0.01</w:t>
            </w:r>
          </w:p>
        </w:tc>
      </w:tr>
      <w:tr w14:paraId="1846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C2F2C58">
            <w:pPr>
              <w:spacing w:line="240" w:lineRule="auto"/>
              <w:ind w:firstLine="0" w:firstLineChars="0"/>
              <w:jc w:val="center"/>
              <w:rPr>
                <w:sz w:val="21"/>
                <w:szCs w:val="21"/>
              </w:rPr>
            </w:pPr>
            <w:r>
              <w:rPr>
                <w:rFonts w:hint="eastAsia"/>
                <w:sz w:val="21"/>
                <w:szCs w:val="21"/>
              </w:rPr>
              <w:t>13</w:t>
            </w:r>
          </w:p>
        </w:tc>
        <w:tc>
          <w:tcPr>
            <w:tcW w:w="2473" w:type="dxa"/>
          </w:tcPr>
          <w:p w14:paraId="78C502CF">
            <w:pPr>
              <w:spacing w:line="240" w:lineRule="auto"/>
              <w:ind w:firstLine="0" w:firstLineChars="0"/>
              <w:jc w:val="center"/>
              <w:rPr>
                <w:sz w:val="21"/>
                <w:szCs w:val="21"/>
              </w:rPr>
            </w:pPr>
            <w:r>
              <w:rPr>
                <w:rFonts w:hint="eastAsia"/>
                <w:sz w:val="21"/>
                <w:szCs w:val="21"/>
              </w:rPr>
              <w:t>汞</w:t>
            </w:r>
          </w:p>
        </w:tc>
        <w:tc>
          <w:tcPr>
            <w:tcW w:w="2474" w:type="dxa"/>
          </w:tcPr>
          <w:p w14:paraId="3909AD0B">
            <w:pPr>
              <w:spacing w:line="240" w:lineRule="auto"/>
              <w:ind w:firstLine="0" w:firstLineChars="0"/>
              <w:jc w:val="center"/>
              <w:rPr>
                <w:sz w:val="21"/>
                <w:szCs w:val="21"/>
              </w:rPr>
            </w:pPr>
            <w:r>
              <w:rPr>
                <w:rFonts w:hint="eastAsia"/>
                <w:sz w:val="21"/>
                <w:szCs w:val="21"/>
              </w:rPr>
              <w:t>mg/L</w:t>
            </w:r>
          </w:p>
        </w:tc>
        <w:tc>
          <w:tcPr>
            <w:tcW w:w="2474" w:type="dxa"/>
          </w:tcPr>
          <w:p w14:paraId="434063ED">
            <w:pPr>
              <w:spacing w:line="240" w:lineRule="auto"/>
              <w:ind w:firstLine="0" w:firstLineChars="0"/>
              <w:jc w:val="center"/>
              <w:rPr>
                <w:sz w:val="21"/>
                <w:szCs w:val="21"/>
              </w:rPr>
            </w:pPr>
            <w:r>
              <w:rPr>
                <w:rFonts w:hint="eastAsia"/>
                <w:sz w:val="21"/>
                <w:szCs w:val="21"/>
              </w:rPr>
              <w:t>≤0.001</w:t>
            </w:r>
          </w:p>
        </w:tc>
      </w:tr>
      <w:tr w14:paraId="5C76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5B4F82B7">
            <w:pPr>
              <w:spacing w:line="240" w:lineRule="auto"/>
              <w:ind w:firstLine="0" w:firstLineChars="0"/>
              <w:jc w:val="center"/>
              <w:rPr>
                <w:sz w:val="21"/>
                <w:szCs w:val="21"/>
              </w:rPr>
            </w:pPr>
            <w:r>
              <w:rPr>
                <w:rFonts w:hint="eastAsia"/>
                <w:sz w:val="21"/>
                <w:szCs w:val="21"/>
              </w:rPr>
              <w:t>14</w:t>
            </w:r>
          </w:p>
        </w:tc>
        <w:tc>
          <w:tcPr>
            <w:tcW w:w="2473" w:type="dxa"/>
          </w:tcPr>
          <w:p w14:paraId="145685CB">
            <w:pPr>
              <w:spacing w:line="240" w:lineRule="auto"/>
              <w:ind w:firstLine="0" w:firstLineChars="0"/>
              <w:jc w:val="center"/>
              <w:rPr>
                <w:sz w:val="21"/>
                <w:szCs w:val="21"/>
              </w:rPr>
            </w:pPr>
            <w:r>
              <w:rPr>
                <w:rFonts w:hint="eastAsia"/>
                <w:sz w:val="21"/>
                <w:szCs w:val="21"/>
              </w:rPr>
              <w:t>铅</w:t>
            </w:r>
          </w:p>
        </w:tc>
        <w:tc>
          <w:tcPr>
            <w:tcW w:w="2474" w:type="dxa"/>
          </w:tcPr>
          <w:p w14:paraId="56577205">
            <w:pPr>
              <w:spacing w:line="240" w:lineRule="auto"/>
              <w:ind w:firstLine="0" w:firstLineChars="0"/>
              <w:jc w:val="center"/>
              <w:rPr>
                <w:sz w:val="21"/>
                <w:szCs w:val="21"/>
              </w:rPr>
            </w:pPr>
            <w:r>
              <w:rPr>
                <w:rFonts w:hint="eastAsia"/>
                <w:sz w:val="21"/>
                <w:szCs w:val="21"/>
              </w:rPr>
              <w:t>mg/L</w:t>
            </w:r>
          </w:p>
        </w:tc>
        <w:tc>
          <w:tcPr>
            <w:tcW w:w="2474" w:type="dxa"/>
          </w:tcPr>
          <w:p w14:paraId="73BE0946">
            <w:pPr>
              <w:spacing w:line="240" w:lineRule="auto"/>
              <w:ind w:firstLine="0" w:firstLineChars="0"/>
              <w:jc w:val="center"/>
              <w:rPr>
                <w:sz w:val="21"/>
                <w:szCs w:val="21"/>
              </w:rPr>
            </w:pPr>
            <w:r>
              <w:rPr>
                <w:rFonts w:hint="eastAsia"/>
                <w:sz w:val="21"/>
                <w:szCs w:val="21"/>
              </w:rPr>
              <w:t>≤0.01</w:t>
            </w:r>
          </w:p>
        </w:tc>
      </w:tr>
      <w:tr w14:paraId="3857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4FB179A7">
            <w:pPr>
              <w:spacing w:line="240" w:lineRule="auto"/>
              <w:ind w:firstLine="0" w:firstLineChars="0"/>
              <w:jc w:val="center"/>
              <w:rPr>
                <w:sz w:val="21"/>
                <w:szCs w:val="21"/>
              </w:rPr>
            </w:pPr>
            <w:r>
              <w:rPr>
                <w:rFonts w:hint="eastAsia"/>
                <w:sz w:val="21"/>
                <w:szCs w:val="21"/>
              </w:rPr>
              <w:t>15</w:t>
            </w:r>
          </w:p>
        </w:tc>
        <w:tc>
          <w:tcPr>
            <w:tcW w:w="2473" w:type="dxa"/>
          </w:tcPr>
          <w:p w14:paraId="6694ECF5">
            <w:pPr>
              <w:spacing w:line="240" w:lineRule="auto"/>
              <w:ind w:firstLine="0" w:firstLineChars="0"/>
              <w:jc w:val="center"/>
              <w:rPr>
                <w:sz w:val="21"/>
                <w:szCs w:val="21"/>
              </w:rPr>
            </w:pPr>
            <w:r>
              <w:rPr>
                <w:rFonts w:hint="eastAsia"/>
                <w:sz w:val="21"/>
                <w:szCs w:val="21"/>
              </w:rPr>
              <w:t>镉</w:t>
            </w:r>
          </w:p>
        </w:tc>
        <w:tc>
          <w:tcPr>
            <w:tcW w:w="2474" w:type="dxa"/>
          </w:tcPr>
          <w:p w14:paraId="7A53656B">
            <w:pPr>
              <w:spacing w:line="240" w:lineRule="auto"/>
              <w:ind w:firstLine="0" w:firstLineChars="0"/>
              <w:jc w:val="center"/>
              <w:rPr>
                <w:sz w:val="21"/>
                <w:szCs w:val="21"/>
              </w:rPr>
            </w:pPr>
            <w:r>
              <w:rPr>
                <w:rFonts w:hint="eastAsia"/>
                <w:sz w:val="21"/>
                <w:szCs w:val="21"/>
              </w:rPr>
              <w:t>mg/L</w:t>
            </w:r>
          </w:p>
        </w:tc>
        <w:tc>
          <w:tcPr>
            <w:tcW w:w="2474" w:type="dxa"/>
          </w:tcPr>
          <w:p w14:paraId="6C66A1B8">
            <w:pPr>
              <w:spacing w:line="240" w:lineRule="auto"/>
              <w:ind w:firstLine="0" w:firstLineChars="0"/>
              <w:jc w:val="center"/>
              <w:rPr>
                <w:sz w:val="21"/>
                <w:szCs w:val="21"/>
              </w:rPr>
            </w:pPr>
            <w:r>
              <w:rPr>
                <w:rFonts w:hint="eastAsia"/>
                <w:sz w:val="21"/>
                <w:szCs w:val="21"/>
              </w:rPr>
              <w:t>≤0.005</w:t>
            </w:r>
          </w:p>
        </w:tc>
      </w:tr>
      <w:tr w14:paraId="3B8B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7DAAFE24">
            <w:pPr>
              <w:spacing w:line="240" w:lineRule="auto"/>
              <w:ind w:firstLine="0" w:firstLineChars="0"/>
              <w:jc w:val="center"/>
              <w:rPr>
                <w:sz w:val="21"/>
                <w:szCs w:val="21"/>
              </w:rPr>
            </w:pPr>
            <w:r>
              <w:rPr>
                <w:rFonts w:hint="eastAsia"/>
                <w:sz w:val="21"/>
                <w:szCs w:val="21"/>
              </w:rPr>
              <w:t>16</w:t>
            </w:r>
          </w:p>
        </w:tc>
        <w:tc>
          <w:tcPr>
            <w:tcW w:w="2473" w:type="dxa"/>
          </w:tcPr>
          <w:p w14:paraId="23E497BA">
            <w:pPr>
              <w:spacing w:line="240" w:lineRule="auto"/>
              <w:ind w:firstLine="0" w:firstLineChars="0"/>
              <w:jc w:val="center"/>
              <w:rPr>
                <w:sz w:val="21"/>
                <w:szCs w:val="21"/>
              </w:rPr>
            </w:pPr>
            <w:r>
              <w:rPr>
                <w:rFonts w:hint="eastAsia"/>
                <w:sz w:val="21"/>
                <w:szCs w:val="21"/>
              </w:rPr>
              <w:t>氟化物</w:t>
            </w:r>
          </w:p>
        </w:tc>
        <w:tc>
          <w:tcPr>
            <w:tcW w:w="2474" w:type="dxa"/>
          </w:tcPr>
          <w:p w14:paraId="139D7CBC">
            <w:pPr>
              <w:spacing w:line="240" w:lineRule="auto"/>
              <w:ind w:firstLine="0" w:firstLineChars="0"/>
              <w:jc w:val="center"/>
              <w:rPr>
                <w:sz w:val="21"/>
                <w:szCs w:val="21"/>
              </w:rPr>
            </w:pPr>
            <w:r>
              <w:rPr>
                <w:rFonts w:hint="eastAsia"/>
                <w:sz w:val="21"/>
                <w:szCs w:val="21"/>
              </w:rPr>
              <w:t>mg/L</w:t>
            </w:r>
          </w:p>
        </w:tc>
        <w:tc>
          <w:tcPr>
            <w:tcW w:w="2474" w:type="dxa"/>
          </w:tcPr>
          <w:p w14:paraId="1BC6FAB0">
            <w:pPr>
              <w:spacing w:line="240" w:lineRule="auto"/>
              <w:ind w:firstLine="0" w:firstLineChars="0"/>
              <w:jc w:val="center"/>
              <w:rPr>
                <w:sz w:val="21"/>
                <w:szCs w:val="21"/>
              </w:rPr>
            </w:pPr>
            <w:r>
              <w:rPr>
                <w:rFonts w:hint="eastAsia"/>
                <w:sz w:val="21"/>
                <w:szCs w:val="21"/>
              </w:rPr>
              <w:t>≤1.0</w:t>
            </w:r>
          </w:p>
        </w:tc>
      </w:tr>
      <w:tr w14:paraId="768A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08B2995">
            <w:pPr>
              <w:spacing w:line="240" w:lineRule="auto"/>
              <w:ind w:firstLine="0" w:firstLineChars="0"/>
              <w:jc w:val="center"/>
              <w:rPr>
                <w:sz w:val="21"/>
                <w:szCs w:val="21"/>
              </w:rPr>
            </w:pPr>
            <w:r>
              <w:rPr>
                <w:rFonts w:hint="eastAsia"/>
                <w:sz w:val="21"/>
                <w:szCs w:val="21"/>
              </w:rPr>
              <w:t>17</w:t>
            </w:r>
          </w:p>
        </w:tc>
        <w:tc>
          <w:tcPr>
            <w:tcW w:w="2473" w:type="dxa"/>
          </w:tcPr>
          <w:p w14:paraId="75C6DED1">
            <w:pPr>
              <w:spacing w:line="240" w:lineRule="auto"/>
              <w:ind w:firstLine="0" w:firstLineChars="0"/>
              <w:jc w:val="center"/>
              <w:rPr>
                <w:sz w:val="21"/>
                <w:szCs w:val="21"/>
              </w:rPr>
            </w:pPr>
            <w:r>
              <w:rPr>
                <w:rFonts w:hint="eastAsia"/>
                <w:sz w:val="21"/>
                <w:szCs w:val="21"/>
              </w:rPr>
              <w:t>耗氧量</w:t>
            </w:r>
          </w:p>
        </w:tc>
        <w:tc>
          <w:tcPr>
            <w:tcW w:w="2474" w:type="dxa"/>
          </w:tcPr>
          <w:p w14:paraId="695EDFC6">
            <w:pPr>
              <w:spacing w:line="240" w:lineRule="auto"/>
              <w:ind w:firstLine="0" w:firstLineChars="0"/>
              <w:jc w:val="center"/>
              <w:rPr>
                <w:sz w:val="21"/>
                <w:szCs w:val="21"/>
              </w:rPr>
            </w:pPr>
            <w:r>
              <w:rPr>
                <w:rFonts w:hint="eastAsia"/>
                <w:sz w:val="21"/>
                <w:szCs w:val="21"/>
              </w:rPr>
              <w:t>mg/L</w:t>
            </w:r>
          </w:p>
        </w:tc>
        <w:tc>
          <w:tcPr>
            <w:tcW w:w="2474" w:type="dxa"/>
          </w:tcPr>
          <w:p w14:paraId="77BBB13A">
            <w:pPr>
              <w:spacing w:line="240" w:lineRule="auto"/>
              <w:ind w:firstLine="0" w:firstLineChars="0"/>
              <w:jc w:val="center"/>
              <w:rPr>
                <w:sz w:val="21"/>
                <w:szCs w:val="21"/>
              </w:rPr>
            </w:pPr>
            <w:r>
              <w:rPr>
                <w:rFonts w:hint="eastAsia"/>
                <w:sz w:val="21"/>
                <w:szCs w:val="21"/>
              </w:rPr>
              <w:t>≤3.0</w:t>
            </w:r>
          </w:p>
        </w:tc>
      </w:tr>
      <w:tr w14:paraId="76EF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4C8EBDA8">
            <w:pPr>
              <w:spacing w:line="240" w:lineRule="auto"/>
              <w:ind w:firstLine="0" w:firstLineChars="0"/>
              <w:jc w:val="center"/>
              <w:rPr>
                <w:sz w:val="21"/>
                <w:szCs w:val="21"/>
              </w:rPr>
            </w:pPr>
            <w:r>
              <w:rPr>
                <w:rFonts w:hint="eastAsia"/>
                <w:sz w:val="21"/>
                <w:szCs w:val="21"/>
              </w:rPr>
              <w:t>18</w:t>
            </w:r>
          </w:p>
        </w:tc>
        <w:tc>
          <w:tcPr>
            <w:tcW w:w="2473" w:type="dxa"/>
          </w:tcPr>
          <w:p w14:paraId="1B0EBCC3">
            <w:pPr>
              <w:spacing w:line="240" w:lineRule="auto"/>
              <w:ind w:firstLine="0" w:firstLineChars="0"/>
              <w:jc w:val="center"/>
              <w:rPr>
                <w:sz w:val="21"/>
                <w:szCs w:val="21"/>
              </w:rPr>
            </w:pPr>
            <w:r>
              <w:rPr>
                <w:rFonts w:hint="eastAsia"/>
                <w:sz w:val="21"/>
                <w:szCs w:val="21"/>
              </w:rPr>
              <w:t>铁</w:t>
            </w:r>
          </w:p>
        </w:tc>
        <w:tc>
          <w:tcPr>
            <w:tcW w:w="2474" w:type="dxa"/>
          </w:tcPr>
          <w:p w14:paraId="1F6C3971">
            <w:pPr>
              <w:spacing w:line="240" w:lineRule="auto"/>
              <w:ind w:firstLine="0" w:firstLineChars="0"/>
              <w:jc w:val="center"/>
              <w:rPr>
                <w:sz w:val="21"/>
                <w:szCs w:val="21"/>
              </w:rPr>
            </w:pPr>
            <w:r>
              <w:rPr>
                <w:rFonts w:hint="eastAsia"/>
                <w:sz w:val="21"/>
                <w:szCs w:val="21"/>
              </w:rPr>
              <w:t>mg/L</w:t>
            </w:r>
          </w:p>
        </w:tc>
        <w:tc>
          <w:tcPr>
            <w:tcW w:w="2474" w:type="dxa"/>
          </w:tcPr>
          <w:p w14:paraId="15E46B29">
            <w:pPr>
              <w:spacing w:line="240" w:lineRule="auto"/>
              <w:ind w:firstLine="0" w:firstLineChars="0"/>
              <w:jc w:val="center"/>
              <w:rPr>
                <w:sz w:val="21"/>
                <w:szCs w:val="21"/>
              </w:rPr>
            </w:pPr>
            <w:r>
              <w:rPr>
                <w:rFonts w:hint="eastAsia"/>
                <w:sz w:val="21"/>
                <w:szCs w:val="21"/>
              </w:rPr>
              <w:t>≤0.3</w:t>
            </w:r>
          </w:p>
        </w:tc>
      </w:tr>
      <w:tr w14:paraId="5DE9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67855039">
            <w:pPr>
              <w:spacing w:line="240" w:lineRule="auto"/>
              <w:ind w:firstLine="0" w:firstLineChars="0"/>
              <w:jc w:val="center"/>
              <w:rPr>
                <w:sz w:val="21"/>
                <w:szCs w:val="21"/>
              </w:rPr>
            </w:pPr>
            <w:r>
              <w:rPr>
                <w:rFonts w:hint="eastAsia"/>
                <w:sz w:val="21"/>
                <w:szCs w:val="21"/>
              </w:rPr>
              <w:t>19</w:t>
            </w:r>
          </w:p>
        </w:tc>
        <w:tc>
          <w:tcPr>
            <w:tcW w:w="2473" w:type="dxa"/>
          </w:tcPr>
          <w:p w14:paraId="00637E71">
            <w:pPr>
              <w:spacing w:line="240" w:lineRule="auto"/>
              <w:ind w:firstLine="0" w:firstLineChars="0"/>
              <w:jc w:val="center"/>
              <w:rPr>
                <w:sz w:val="21"/>
                <w:szCs w:val="21"/>
              </w:rPr>
            </w:pPr>
            <w:r>
              <w:rPr>
                <w:rFonts w:hint="eastAsia"/>
                <w:sz w:val="21"/>
                <w:szCs w:val="21"/>
              </w:rPr>
              <w:t>锰</w:t>
            </w:r>
          </w:p>
        </w:tc>
        <w:tc>
          <w:tcPr>
            <w:tcW w:w="2474" w:type="dxa"/>
          </w:tcPr>
          <w:p w14:paraId="03F65F77">
            <w:pPr>
              <w:spacing w:line="240" w:lineRule="auto"/>
              <w:ind w:firstLine="0" w:firstLineChars="0"/>
              <w:jc w:val="center"/>
              <w:rPr>
                <w:sz w:val="21"/>
                <w:szCs w:val="21"/>
              </w:rPr>
            </w:pPr>
            <w:r>
              <w:rPr>
                <w:rFonts w:hint="eastAsia"/>
                <w:sz w:val="21"/>
                <w:szCs w:val="21"/>
              </w:rPr>
              <w:t>mg/L</w:t>
            </w:r>
          </w:p>
        </w:tc>
        <w:tc>
          <w:tcPr>
            <w:tcW w:w="2474" w:type="dxa"/>
          </w:tcPr>
          <w:p w14:paraId="1DB9045E">
            <w:pPr>
              <w:spacing w:line="240" w:lineRule="auto"/>
              <w:ind w:firstLine="0" w:firstLineChars="0"/>
              <w:jc w:val="center"/>
              <w:rPr>
                <w:sz w:val="21"/>
                <w:szCs w:val="21"/>
              </w:rPr>
            </w:pPr>
            <w:r>
              <w:rPr>
                <w:rFonts w:hint="eastAsia"/>
                <w:sz w:val="21"/>
                <w:szCs w:val="21"/>
              </w:rPr>
              <w:t>≤0.1</w:t>
            </w:r>
          </w:p>
        </w:tc>
      </w:tr>
      <w:tr w14:paraId="7C91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5A0132E4">
            <w:pPr>
              <w:spacing w:line="240" w:lineRule="auto"/>
              <w:ind w:firstLine="0" w:firstLineChars="0"/>
              <w:jc w:val="center"/>
              <w:rPr>
                <w:sz w:val="21"/>
                <w:szCs w:val="21"/>
              </w:rPr>
            </w:pPr>
            <w:r>
              <w:rPr>
                <w:rFonts w:hint="eastAsia"/>
                <w:sz w:val="21"/>
                <w:szCs w:val="21"/>
              </w:rPr>
              <w:t>20</w:t>
            </w:r>
          </w:p>
        </w:tc>
        <w:tc>
          <w:tcPr>
            <w:tcW w:w="2473" w:type="dxa"/>
          </w:tcPr>
          <w:p w14:paraId="7B0A3362">
            <w:pPr>
              <w:spacing w:line="240" w:lineRule="auto"/>
              <w:ind w:firstLine="0" w:firstLineChars="0"/>
              <w:jc w:val="center"/>
              <w:rPr>
                <w:sz w:val="21"/>
                <w:szCs w:val="21"/>
              </w:rPr>
            </w:pPr>
            <w:r>
              <w:rPr>
                <w:rFonts w:hint="eastAsia"/>
                <w:sz w:val="21"/>
                <w:szCs w:val="21"/>
              </w:rPr>
              <w:t>铜</w:t>
            </w:r>
          </w:p>
        </w:tc>
        <w:tc>
          <w:tcPr>
            <w:tcW w:w="2474" w:type="dxa"/>
          </w:tcPr>
          <w:p w14:paraId="51623FA5">
            <w:pPr>
              <w:spacing w:line="240" w:lineRule="auto"/>
              <w:ind w:firstLine="0" w:firstLineChars="0"/>
              <w:jc w:val="center"/>
              <w:rPr>
                <w:sz w:val="21"/>
                <w:szCs w:val="21"/>
              </w:rPr>
            </w:pPr>
            <w:r>
              <w:rPr>
                <w:rFonts w:hint="eastAsia"/>
                <w:sz w:val="21"/>
                <w:szCs w:val="21"/>
              </w:rPr>
              <w:t>mg/L</w:t>
            </w:r>
          </w:p>
        </w:tc>
        <w:tc>
          <w:tcPr>
            <w:tcW w:w="2474" w:type="dxa"/>
          </w:tcPr>
          <w:p w14:paraId="41307F53">
            <w:pPr>
              <w:spacing w:line="240" w:lineRule="auto"/>
              <w:ind w:firstLine="0" w:firstLineChars="0"/>
              <w:jc w:val="center"/>
              <w:rPr>
                <w:sz w:val="21"/>
                <w:szCs w:val="21"/>
              </w:rPr>
            </w:pPr>
            <w:r>
              <w:rPr>
                <w:rFonts w:hint="eastAsia"/>
                <w:sz w:val="21"/>
                <w:szCs w:val="21"/>
              </w:rPr>
              <w:t>≤1.0</w:t>
            </w:r>
          </w:p>
        </w:tc>
      </w:tr>
      <w:tr w14:paraId="40C9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6F269F70">
            <w:pPr>
              <w:spacing w:line="240" w:lineRule="auto"/>
              <w:ind w:firstLine="0" w:firstLineChars="0"/>
              <w:jc w:val="center"/>
              <w:rPr>
                <w:sz w:val="21"/>
                <w:szCs w:val="21"/>
              </w:rPr>
            </w:pPr>
            <w:r>
              <w:rPr>
                <w:rFonts w:hint="eastAsia"/>
                <w:sz w:val="21"/>
                <w:szCs w:val="21"/>
              </w:rPr>
              <w:t>21</w:t>
            </w:r>
          </w:p>
        </w:tc>
        <w:tc>
          <w:tcPr>
            <w:tcW w:w="2473" w:type="dxa"/>
          </w:tcPr>
          <w:p w14:paraId="37BF84B3">
            <w:pPr>
              <w:spacing w:line="240" w:lineRule="auto"/>
              <w:ind w:firstLine="0" w:firstLineChars="0"/>
              <w:jc w:val="center"/>
              <w:rPr>
                <w:sz w:val="21"/>
                <w:szCs w:val="21"/>
              </w:rPr>
            </w:pPr>
            <w:r>
              <w:rPr>
                <w:rFonts w:hint="eastAsia"/>
                <w:sz w:val="21"/>
                <w:szCs w:val="21"/>
              </w:rPr>
              <w:t>锌</w:t>
            </w:r>
          </w:p>
        </w:tc>
        <w:tc>
          <w:tcPr>
            <w:tcW w:w="2474" w:type="dxa"/>
          </w:tcPr>
          <w:p w14:paraId="495287FD">
            <w:pPr>
              <w:spacing w:line="240" w:lineRule="auto"/>
              <w:ind w:firstLine="0" w:firstLineChars="0"/>
              <w:jc w:val="center"/>
              <w:rPr>
                <w:sz w:val="21"/>
                <w:szCs w:val="21"/>
              </w:rPr>
            </w:pPr>
            <w:r>
              <w:rPr>
                <w:rFonts w:hint="eastAsia"/>
                <w:sz w:val="21"/>
                <w:szCs w:val="21"/>
              </w:rPr>
              <w:t>mg/L</w:t>
            </w:r>
          </w:p>
        </w:tc>
        <w:tc>
          <w:tcPr>
            <w:tcW w:w="2474" w:type="dxa"/>
          </w:tcPr>
          <w:p w14:paraId="7E37E141">
            <w:pPr>
              <w:spacing w:line="240" w:lineRule="auto"/>
              <w:ind w:firstLine="0" w:firstLineChars="0"/>
              <w:jc w:val="center"/>
              <w:rPr>
                <w:sz w:val="21"/>
                <w:szCs w:val="21"/>
              </w:rPr>
            </w:pPr>
            <w:r>
              <w:rPr>
                <w:rFonts w:hint="eastAsia"/>
                <w:sz w:val="21"/>
                <w:szCs w:val="21"/>
              </w:rPr>
              <w:t>≤1.0</w:t>
            </w:r>
          </w:p>
        </w:tc>
      </w:tr>
      <w:tr w14:paraId="08AB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A79CCB2">
            <w:pPr>
              <w:spacing w:line="240" w:lineRule="auto"/>
              <w:ind w:firstLine="0" w:firstLineChars="0"/>
              <w:jc w:val="center"/>
              <w:rPr>
                <w:sz w:val="21"/>
                <w:szCs w:val="21"/>
              </w:rPr>
            </w:pPr>
            <w:r>
              <w:rPr>
                <w:rFonts w:hint="eastAsia"/>
                <w:sz w:val="21"/>
                <w:szCs w:val="21"/>
              </w:rPr>
              <w:t>22</w:t>
            </w:r>
          </w:p>
        </w:tc>
        <w:tc>
          <w:tcPr>
            <w:tcW w:w="2473" w:type="dxa"/>
          </w:tcPr>
          <w:p w14:paraId="7DAE874D">
            <w:pPr>
              <w:spacing w:line="240" w:lineRule="auto"/>
              <w:ind w:firstLine="0" w:firstLineChars="0"/>
              <w:jc w:val="center"/>
              <w:rPr>
                <w:sz w:val="21"/>
                <w:szCs w:val="21"/>
              </w:rPr>
            </w:pPr>
            <w:r>
              <w:rPr>
                <w:rFonts w:hint="eastAsia"/>
                <w:sz w:val="21"/>
                <w:szCs w:val="21"/>
              </w:rPr>
              <w:t>铝</w:t>
            </w:r>
          </w:p>
        </w:tc>
        <w:tc>
          <w:tcPr>
            <w:tcW w:w="2474" w:type="dxa"/>
          </w:tcPr>
          <w:p w14:paraId="2B898F7B">
            <w:pPr>
              <w:spacing w:line="240" w:lineRule="auto"/>
              <w:ind w:firstLine="0" w:firstLineChars="0"/>
              <w:jc w:val="center"/>
              <w:rPr>
                <w:sz w:val="21"/>
                <w:szCs w:val="21"/>
              </w:rPr>
            </w:pPr>
            <w:r>
              <w:rPr>
                <w:rFonts w:hint="eastAsia"/>
                <w:sz w:val="21"/>
                <w:szCs w:val="21"/>
              </w:rPr>
              <w:t>mg/L</w:t>
            </w:r>
          </w:p>
        </w:tc>
        <w:tc>
          <w:tcPr>
            <w:tcW w:w="2474" w:type="dxa"/>
          </w:tcPr>
          <w:p w14:paraId="57523AEC">
            <w:pPr>
              <w:spacing w:line="240" w:lineRule="auto"/>
              <w:ind w:firstLine="0" w:firstLineChars="0"/>
              <w:jc w:val="center"/>
              <w:rPr>
                <w:sz w:val="21"/>
                <w:szCs w:val="21"/>
              </w:rPr>
            </w:pPr>
            <w:r>
              <w:rPr>
                <w:rFonts w:hint="eastAsia"/>
                <w:sz w:val="21"/>
                <w:szCs w:val="21"/>
              </w:rPr>
              <w:t>/</w:t>
            </w:r>
          </w:p>
        </w:tc>
      </w:tr>
      <w:tr w14:paraId="5F2F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01DE7F6">
            <w:pPr>
              <w:spacing w:line="240" w:lineRule="auto"/>
              <w:ind w:firstLine="0" w:firstLineChars="0"/>
              <w:jc w:val="center"/>
              <w:rPr>
                <w:sz w:val="21"/>
                <w:szCs w:val="21"/>
              </w:rPr>
            </w:pPr>
            <w:r>
              <w:rPr>
                <w:rFonts w:hint="eastAsia"/>
                <w:sz w:val="21"/>
                <w:szCs w:val="21"/>
              </w:rPr>
              <w:t>23</w:t>
            </w:r>
          </w:p>
        </w:tc>
        <w:tc>
          <w:tcPr>
            <w:tcW w:w="2473" w:type="dxa"/>
          </w:tcPr>
          <w:p w14:paraId="06589399">
            <w:pPr>
              <w:spacing w:line="240" w:lineRule="auto"/>
              <w:ind w:firstLine="0" w:firstLineChars="0"/>
              <w:jc w:val="center"/>
              <w:rPr>
                <w:sz w:val="21"/>
                <w:szCs w:val="21"/>
              </w:rPr>
            </w:pPr>
            <w:r>
              <w:rPr>
                <w:rFonts w:hint="eastAsia"/>
                <w:sz w:val="21"/>
                <w:szCs w:val="21"/>
              </w:rPr>
              <w:t>总大肠菌群</w:t>
            </w:r>
          </w:p>
        </w:tc>
        <w:tc>
          <w:tcPr>
            <w:tcW w:w="2474" w:type="dxa"/>
          </w:tcPr>
          <w:p w14:paraId="0F231626">
            <w:pPr>
              <w:spacing w:line="240" w:lineRule="auto"/>
              <w:ind w:firstLine="0" w:firstLineChars="0"/>
              <w:jc w:val="center"/>
              <w:rPr>
                <w:sz w:val="21"/>
                <w:szCs w:val="21"/>
              </w:rPr>
            </w:pPr>
            <w:r>
              <w:rPr>
                <w:rFonts w:hint="eastAsia"/>
                <w:sz w:val="21"/>
                <w:szCs w:val="21"/>
              </w:rPr>
              <w:t>MPN/100ml</w:t>
            </w:r>
          </w:p>
        </w:tc>
        <w:tc>
          <w:tcPr>
            <w:tcW w:w="2474" w:type="dxa"/>
          </w:tcPr>
          <w:p w14:paraId="501560CF">
            <w:pPr>
              <w:spacing w:line="240" w:lineRule="auto"/>
              <w:ind w:firstLine="0" w:firstLineChars="0"/>
              <w:jc w:val="center"/>
              <w:rPr>
                <w:sz w:val="21"/>
                <w:szCs w:val="21"/>
              </w:rPr>
            </w:pPr>
            <w:r>
              <w:rPr>
                <w:rFonts w:hint="eastAsia"/>
                <w:sz w:val="21"/>
                <w:szCs w:val="21"/>
              </w:rPr>
              <w:t>≤3.0</w:t>
            </w:r>
          </w:p>
        </w:tc>
      </w:tr>
    </w:tbl>
    <w:p w14:paraId="44900203">
      <w:pPr>
        <w:ind w:firstLine="480"/>
      </w:pPr>
      <w:r>
        <w:rPr>
          <w:rFonts w:hint="eastAsia"/>
        </w:rPr>
        <w:t>（3）声环境质量标准</w:t>
      </w:r>
    </w:p>
    <w:p w14:paraId="63AA1550">
      <w:pPr>
        <w:ind w:firstLine="480"/>
      </w:pPr>
      <w:r>
        <w:rPr>
          <w:rFonts w:hint="eastAsia"/>
        </w:rPr>
        <w:t>根据声环境功能区划分，项目所在地为2类声环境功能区，执行《声环境质量标准》（GB3096-2008）的2类标准限值见表2.5-4。</w:t>
      </w:r>
    </w:p>
    <w:p w14:paraId="0F00914E">
      <w:pPr>
        <w:pStyle w:val="11"/>
      </w:pPr>
      <w:r>
        <w:rPr>
          <w:rFonts w:hint="eastAsia"/>
        </w:rPr>
        <w:t>表2.5-4声环境质量标准限值</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044F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vAlign w:val="center"/>
          </w:tcPr>
          <w:p w14:paraId="23D31EC0">
            <w:pPr>
              <w:spacing w:line="240" w:lineRule="auto"/>
              <w:ind w:firstLine="0" w:firstLineChars="0"/>
              <w:jc w:val="center"/>
              <w:rPr>
                <w:sz w:val="21"/>
                <w:szCs w:val="21"/>
              </w:rPr>
            </w:pPr>
            <w:r>
              <w:rPr>
                <w:rFonts w:hint="eastAsia"/>
                <w:sz w:val="21"/>
                <w:szCs w:val="21"/>
              </w:rPr>
              <w:t>声环境功能区类别</w:t>
            </w:r>
          </w:p>
        </w:tc>
        <w:tc>
          <w:tcPr>
            <w:tcW w:w="5682" w:type="dxa"/>
            <w:gridSpan w:val="2"/>
            <w:vAlign w:val="center"/>
          </w:tcPr>
          <w:p w14:paraId="754F752D">
            <w:pPr>
              <w:spacing w:line="240" w:lineRule="auto"/>
              <w:ind w:firstLine="0" w:firstLineChars="0"/>
              <w:jc w:val="center"/>
              <w:rPr>
                <w:sz w:val="21"/>
                <w:szCs w:val="21"/>
              </w:rPr>
            </w:pPr>
            <w:r>
              <w:rPr>
                <w:rFonts w:hint="eastAsia"/>
                <w:sz w:val="21"/>
                <w:szCs w:val="21"/>
              </w:rPr>
              <w:t>时段</w:t>
            </w:r>
          </w:p>
        </w:tc>
      </w:tr>
      <w:tr w14:paraId="158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vAlign w:val="center"/>
          </w:tcPr>
          <w:p w14:paraId="6F515573">
            <w:pPr>
              <w:spacing w:line="240" w:lineRule="auto"/>
              <w:ind w:firstLine="0" w:firstLineChars="0"/>
              <w:jc w:val="center"/>
              <w:rPr>
                <w:sz w:val="21"/>
                <w:szCs w:val="21"/>
              </w:rPr>
            </w:pPr>
          </w:p>
        </w:tc>
        <w:tc>
          <w:tcPr>
            <w:tcW w:w="2841" w:type="dxa"/>
            <w:vAlign w:val="center"/>
          </w:tcPr>
          <w:p w14:paraId="1E481304">
            <w:pPr>
              <w:spacing w:line="240" w:lineRule="auto"/>
              <w:ind w:firstLine="0" w:firstLineChars="0"/>
              <w:jc w:val="center"/>
              <w:rPr>
                <w:sz w:val="21"/>
                <w:szCs w:val="21"/>
              </w:rPr>
            </w:pPr>
            <w:r>
              <w:rPr>
                <w:rFonts w:hint="eastAsia"/>
                <w:sz w:val="21"/>
                <w:szCs w:val="21"/>
              </w:rPr>
              <w:t>昼间、dB（A）</w:t>
            </w:r>
          </w:p>
        </w:tc>
        <w:tc>
          <w:tcPr>
            <w:tcW w:w="2841" w:type="dxa"/>
            <w:vAlign w:val="center"/>
          </w:tcPr>
          <w:p w14:paraId="4E0E4C35">
            <w:pPr>
              <w:spacing w:line="240" w:lineRule="auto"/>
              <w:ind w:firstLine="0" w:firstLineChars="0"/>
              <w:jc w:val="center"/>
              <w:rPr>
                <w:sz w:val="21"/>
                <w:szCs w:val="21"/>
              </w:rPr>
            </w:pPr>
            <w:r>
              <w:rPr>
                <w:rFonts w:hint="eastAsia"/>
                <w:sz w:val="21"/>
                <w:szCs w:val="21"/>
              </w:rPr>
              <w:t>夜间、dB（A）</w:t>
            </w:r>
          </w:p>
        </w:tc>
      </w:tr>
      <w:tr w14:paraId="69D5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0" w:type="dxa"/>
            <w:vAlign w:val="center"/>
          </w:tcPr>
          <w:p w14:paraId="11020D52">
            <w:pPr>
              <w:spacing w:line="240" w:lineRule="auto"/>
              <w:ind w:firstLine="0" w:firstLineChars="0"/>
              <w:jc w:val="center"/>
              <w:rPr>
                <w:sz w:val="21"/>
                <w:szCs w:val="21"/>
              </w:rPr>
            </w:pPr>
            <w:r>
              <w:rPr>
                <w:rFonts w:hint="eastAsia"/>
                <w:sz w:val="21"/>
                <w:szCs w:val="21"/>
              </w:rPr>
              <w:t>2类</w:t>
            </w:r>
          </w:p>
        </w:tc>
        <w:tc>
          <w:tcPr>
            <w:tcW w:w="2841" w:type="dxa"/>
            <w:vAlign w:val="center"/>
          </w:tcPr>
          <w:p w14:paraId="16C5B0F3">
            <w:pPr>
              <w:spacing w:line="240" w:lineRule="auto"/>
              <w:ind w:firstLine="0" w:firstLineChars="0"/>
              <w:jc w:val="center"/>
              <w:rPr>
                <w:sz w:val="21"/>
                <w:szCs w:val="21"/>
              </w:rPr>
            </w:pPr>
            <w:r>
              <w:rPr>
                <w:rFonts w:hint="eastAsia"/>
                <w:sz w:val="21"/>
                <w:szCs w:val="21"/>
              </w:rPr>
              <w:t>60</w:t>
            </w:r>
          </w:p>
        </w:tc>
        <w:tc>
          <w:tcPr>
            <w:tcW w:w="2841" w:type="dxa"/>
            <w:vAlign w:val="center"/>
          </w:tcPr>
          <w:p w14:paraId="3922098F">
            <w:pPr>
              <w:spacing w:line="240" w:lineRule="auto"/>
              <w:ind w:firstLine="0" w:firstLineChars="0"/>
              <w:jc w:val="center"/>
              <w:rPr>
                <w:sz w:val="21"/>
                <w:szCs w:val="21"/>
              </w:rPr>
            </w:pPr>
            <w:r>
              <w:rPr>
                <w:rFonts w:hint="eastAsia"/>
                <w:sz w:val="21"/>
                <w:szCs w:val="21"/>
              </w:rPr>
              <w:t>50</w:t>
            </w:r>
          </w:p>
        </w:tc>
      </w:tr>
    </w:tbl>
    <w:p w14:paraId="3E50AC88">
      <w:pPr>
        <w:ind w:firstLine="480"/>
      </w:pPr>
      <w:r>
        <w:rPr>
          <w:rFonts w:hint="eastAsia"/>
        </w:rPr>
        <w:t>（4）土壤环境质量标准</w:t>
      </w:r>
    </w:p>
    <w:p w14:paraId="37F7BD04">
      <w:pPr>
        <w:ind w:firstLine="480"/>
      </w:pPr>
      <w:r>
        <w:rPr>
          <w:rFonts w:hint="eastAsia"/>
        </w:rPr>
        <w:t>本项目土壤环境执行《土壤环境质量农用地土壤污染风险管控标准（试行）》（GB15618-2018）中其他用地风险筛选值和《畜禽养殖产地环境评价规范》（HJ568-2010）中表4限值要求，其标准值见表2.5-5。</w:t>
      </w:r>
    </w:p>
    <w:p w14:paraId="361B139A">
      <w:pPr>
        <w:pStyle w:val="11"/>
      </w:pPr>
      <w:r>
        <w:rPr>
          <w:rFonts w:hint="eastAsia"/>
        </w:rPr>
        <w:t>表2.5-5GB15618-2018农用地土壤污染风险筛选值</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5"/>
        <w:gridCol w:w="1725"/>
        <w:gridCol w:w="1047"/>
        <w:gridCol w:w="1818"/>
        <w:gridCol w:w="1818"/>
        <w:gridCol w:w="1206"/>
      </w:tblGrid>
      <w:tr w14:paraId="6AD6F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Merge w:val="restart"/>
            <w:vAlign w:val="center"/>
          </w:tcPr>
          <w:p w14:paraId="47CBC9EB">
            <w:pPr>
              <w:spacing w:line="360" w:lineRule="exact"/>
              <w:ind w:firstLine="0" w:firstLineChars="0"/>
              <w:jc w:val="center"/>
              <w:rPr>
                <w:rFonts w:cs="宋体"/>
                <w:sz w:val="21"/>
                <w:szCs w:val="21"/>
              </w:rPr>
            </w:pPr>
            <w:r>
              <w:rPr>
                <w:rFonts w:cs="宋体"/>
                <w:sz w:val="21"/>
                <w:szCs w:val="21"/>
              </w:rPr>
              <w:t>序号</w:t>
            </w:r>
          </w:p>
        </w:tc>
        <w:tc>
          <w:tcPr>
            <w:tcW w:w="1038" w:type="pct"/>
            <w:vMerge w:val="restart"/>
            <w:vAlign w:val="center"/>
          </w:tcPr>
          <w:p w14:paraId="700E2771">
            <w:pPr>
              <w:spacing w:line="360" w:lineRule="exact"/>
              <w:ind w:firstLine="0" w:firstLineChars="0"/>
              <w:jc w:val="center"/>
              <w:rPr>
                <w:rFonts w:cs="宋体"/>
                <w:sz w:val="21"/>
                <w:szCs w:val="21"/>
              </w:rPr>
            </w:pPr>
            <w:r>
              <w:rPr>
                <w:rFonts w:cs="宋体"/>
                <w:sz w:val="21"/>
                <w:szCs w:val="21"/>
              </w:rPr>
              <w:t>污染物项目</w:t>
            </w:r>
          </w:p>
        </w:tc>
        <w:tc>
          <w:tcPr>
            <w:tcW w:w="3543" w:type="pct"/>
            <w:gridSpan w:val="4"/>
            <w:vAlign w:val="center"/>
          </w:tcPr>
          <w:p w14:paraId="6A0C098B">
            <w:pPr>
              <w:spacing w:line="360" w:lineRule="exact"/>
              <w:ind w:firstLine="0" w:firstLineChars="0"/>
              <w:jc w:val="center"/>
              <w:rPr>
                <w:rFonts w:cs="宋体"/>
                <w:sz w:val="21"/>
                <w:szCs w:val="21"/>
              </w:rPr>
            </w:pPr>
            <w:r>
              <w:rPr>
                <w:rFonts w:cs="宋体"/>
                <w:sz w:val="21"/>
                <w:szCs w:val="21"/>
              </w:rPr>
              <w:t>筛选值</w:t>
            </w:r>
            <w:r>
              <w:rPr>
                <w:rFonts w:hint="eastAsia" w:cs="宋体"/>
                <w:sz w:val="21"/>
                <w:szCs w:val="21"/>
              </w:rPr>
              <w:t>（</w:t>
            </w:r>
            <w:r>
              <w:rPr>
                <w:sz w:val="21"/>
                <w:szCs w:val="21"/>
              </w:rPr>
              <w:t>mg/kg</w:t>
            </w:r>
            <w:r>
              <w:rPr>
                <w:rFonts w:hint="eastAsia" w:cs="宋体"/>
                <w:sz w:val="21"/>
                <w:szCs w:val="21"/>
              </w:rPr>
              <w:t>）</w:t>
            </w:r>
          </w:p>
        </w:tc>
      </w:tr>
      <w:tr w14:paraId="2D477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Merge w:val="continue"/>
            <w:vAlign w:val="center"/>
          </w:tcPr>
          <w:p w14:paraId="54DFE94A">
            <w:pPr>
              <w:spacing w:line="360" w:lineRule="exact"/>
              <w:ind w:firstLine="0" w:firstLineChars="0"/>
              <w:jc w:val="center"/>
              <w:rPr>
                <w:sz w:val="21"/>
              </w:rPr>
            </w:pPr>
          </w:p>
        </w:tc>
        <w:tc>
          <w:tcPr>
            <w:tcW w:w="1038" w:type="pct"/>
            <w:vMerge w:val="continue"/>
            <w:vAlign w:val="center"/>
          </w:tcPr>
          <w:p w14:paraId="2D05A9CE">
            <w:pPr>
              <w:spacing w:line="360" w:lineRule="exact"/>
              <w:ind w:firstLine="0" w:firstLineChars="0"/>
              <w:jc w:val="center"/>
              <w:rPr>
                <w:sz w:val="21"/>
              </w:rPr>
            </w:pPr>
          </w:p>
        </w:tc>
        <w:tc>
          <w:tcPr>
            <w:tcW w:w="630" w:type="pct"/>
            <w:vAlign w:val="center"/>
          </w:tcPr>
          <w:p w14:paraId="4D500938">
            <w:pPr>
              <w:spacing w:line="360" w:lineRule="exact"/>
              <w:ind w:firstLine="0" w:firstLineChars="0"/>
              <w:jc w:val="center"/>
              <w:rPr>
                <w:sz w:val="21"/>
                <w:szCs w:val="21"/>
              </w:rPr>
            </w:pPr>
            <w:r>
              <w:rPr>
                <w:sz w:val="21"/>
                <w:szCs w:val="21"/>
              </w:rPr>
              <w:t>pH</w:t>
            </w:r>
            <w:r>
              <w:rPr>
                <w:rFonts w:cs="宋体"/>
                <w:sz w:val="21"/>
                <w:szCs w:val="21"/>
              </w:rPr>
              <w:t>≤</w:t>
            </w:r>
            <w:r>
              <w:rPr>
                <w:sz w:val="21"/>
                <w:szCs w:val="21"/>
              </w:rPr>
              <w:t>5.5</w:t>
            </w:r>
          </w:p>
        </w:tc>
        <w:tc>
          <w:tcPr>
            <w:tcW w:w="1094" w:type="pct"/>
            <w:vAlign w:val="center"/>
          </w:tcPr>
          <w:p w14:paraId="127E8AD4">
            <w:pPr>
              <w:spacing w:line="360" w:lineRule="exact"/>
              <w:ind w:firstLine="0" w:firstLineChars="0"/>
              <w:jc w:val="center"/>
              <w:rPr>
                <w:sz w:val="21"/>
                <w:szCs w:val="21"/>
              </w:rPr>
            </w:pPr>
            <w:r>
              <w:rPr>
                <w:sz w:val="21"/>
                <w:szCs w:val="21"/>
              </w:rPr>
              <w:t>5.5</w:t>
            </w:r>
            <w:r>
              <w:rPr>
                <w:rFonts w:cs="宋体"/>
                <w:sz w:val="21"/>
                <w:szCs w:val="21"/>
              </w:rPr>
              <w:t>＜</w:t>
            </w:r>
            <w:r>
              <w:rPr>
                <w:sz w:val="21"/>
                <w:szCs w:val="21"/>
              </w:rPr>
              <w:t>pH</w:t>
            </w:r>
            <w:r>
              <w:rPr>
                <w:rFonts w:cs="宋体"/>
                <w:sz w:val="21"/>
                <w:szCs w:val="21"/>
              </w:rPr>
              <w:t>≤</w:t>
            </w:r>
            <w:r>
              <w:rPr>
                <w:sz w:val="21"/>
                <w:szCs w:val="21"/>
              </w:rPr>
              <w:t>6.5</w:t>
            </w:r>
          </w:p>
        </w:tc>
        <w:tc>
          <w:tcPr>
            <w:tcW w:w="1094" w:type="pct"/>
            <w:vAlign w:val="center"/>
          </w:tcPr>
          <w:p w14:paraId="1BA0A68F">
            <w:pPr>
              <w:spacing w:line="360" w:lineRule="exact"/>
              <w:ind w:firstLine="0" w:firstLineChars="0"/>
              <w:jc w:val="center"/>
              <w:rPr>
                <w:sz w:val="21"/>
                <w:szCs w:val="21"/>
              </w:rPr>
            </w:pPr>
            <w:r>
              <w:rPr>
                <w:sz w:val="21"/>
                <w:szCs w:val="21"/>
              </w:rPr>
              <w:t>6.5</w:t>
            </w:r>
            <w:r>
              <w:rPr>
                <w:rFonts w:cs="宋体"/>
                <w:sz w:val="21"/>
                <w:szCs w:val="21"/>
              </w:rPr>
              <w:t>＜</w:t>
            </w:r>
            <w:r>
              <w:rPr>
                <w:sz w:val="21"/>
                <w:szCs w:val="21"/>
              </w:rPr>
              <w:t>pH</w:t>
            </w:r>
            <w:r>
              <w:rPr>
                <w:rFonts w:cs="宋体"/>
                <w:sz w:val="21"/>
                <w:szCs w:val="21"/>
              </w:rPr>
              <w:t>≤</w:t>
            </w:r>
            <w:r>
              <w:rPr>
                <w:sz w:val="21"/>
                <w:szCs w:val="21"/>
              </w:rPr>
              <w:t>7.5</w:t>
            </w:r>
          </w:p>
        </w:tc>
        <w:tc>
          <w:tcPr>
            <w:tcW w:w="723" w:type="pct"/>
            <w:vAlign w:val="center"/>
          </w:tcPr>
          <w:p w14:paraId="7D22709F">
            <w:pPr>
              <w:spacing w:line="360" w:lineRule="exact"/>
              <w:ind w:firstLine="0" w:firstLineChars="0"/>
              <w:jc w:val="center"/>
              <w:rPr>
                <w:sz w:val="21"/>
                <w:szCs w:val="21"/>
              </w:rPr>
            </w:pPr>
            <w:r>
              <w:rPr>
                <w:sz w:val="21"/>
                <w:szCs w:val="21"/>
              </w:rPr>
              <w:t>pH</w:t>
            </w:r>
            <w:r>
              <w:rPr>
                <w:rFonts w:cs="宋体"/>
                <w:sz w:val="21"/>
                <w:szCs w:val="21"/>
              </w:rPr>
              <w:t>＞</w:t>
            </w:r>
            <w:r>
              <w:rPr>
                <w:sz w:val="21"/>
                <w:szCs w:val="21"/>
              </w:rPr>
              <w:t>7.5</w:t>
            </w:r>
          </w:p>
        </w:tc>
      </w:tr>
      <w:tr w14:paraId="1A968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14:paraId="29DB20DC">
            <w:pPr>
              <w:spacing w:line="360" w:lineRule="exact"/>
              <w:ind w:firstLine="0" w:firstLineChars="0"/>
              <w:jc w:val="center"/>
              <w:rPr>
                <w:sz w:val="21"/>
                <w:szCs w:val="21"/>
              </w:rPr>
            </w:pPr>
            <w:r>
              <w:rPr>
                <w:sz w:val="21"/>
                <w:szCs w:val="21"/>
              </w:rPr>
              <w:t>1</w:t>
            </w:r>
          </w:p>
        </w:tc>
        <w:tc>
          <w:tcPr>
            <w:tcW w:w="1038" w:type="pct"/>
            <w:vAlign w:val="center"/>
          </w:tcPr>
          <w:p w14:paraId="568853B7">
            <w:pPr>
              <w:spacing w:line="360" w:lineRule="exact"/>
              <w:ind w:firstLine="0" w:firstLineChars="0"/>
              <w:jc w:val="center"/>
              <w:rPr>
                <w:rFonts w:cs="宋体"/>
                <w:sz w:val="21"/>
                <w:szCs w:val="21"/>
              </w:rPr>
            </w:pPr>
            <w:r>
              <w:rPr>
                <w:rFonts w:cs="宋体"/>
                <w:sz w:val="21"/>
                <w:szCs w:val="21"/>
              </w:rPr>
              <w:t>镉</w:t>
            </w:r>
          </w:p>
        </w:tc>
        <w:tc>
          <w:tcPr>
            <w:tcW w:w="630" w:type="pct"/>
            <w:vAlign w:val="center"/>
          </w:tcPr>
          <w:p w14:paraId="47006B5F">
            <w:pPr>
              <w:spacing w:line="360" w:lineRule="exact"/>
              <w:ind w:firstLine="0" w:firstLineChars="0"/>
              <w:jc w:val="center"/>
              <w:rPr>
                <w:sz w:val="21"/>
                <w:szCs w:val="21"/>
              </w:rPr>
            </w:pPr>
            <w:r>
              <w:rPr>
                <w:sz w:val="21"/>
                <w:szCs w:val="21"/>
              </w:rPr>
              <w:t>0.3</w:t>
            </w:r>
          </w:p>
        </w:tc>
        <w:tc>
          <w:tcPr>
            <w:tcW w:w="1094" w:type="pct"/>
            <w:vAlign w:val="center"/>
          </w:tcPr>
          <w:p w14:paraId="7623F7D2">
            <w:pPr>
              <w:spacing w:line="360" w:lineRule="exact"/>
              <w:ind w:firstLine="0" w:firstLineChars="0"/>
              <w:jc w:val="center"/>
              <w:rPr>
                <w:sz w:val="21"/>
                <w:szCs w:val="21"/>
              </w:rPr>
            </w:pPr>
            <w:r>
              <w:rPr>
                <w:sz w:val="21"/>
                <w:szCs w:val="21"/>
              </w:rPr>
              <w:t>0.3</w:t>
            </w:r>
          </w:p>
        </w:tc>
        <w:tc>
          <w:tcPr>
            <w:tcW w:w="1094" w:type="pct"/>
            <w:vAlign w:val="center"/>
          </w:tcPr>
          <w:p w14:paraId="5CE72B19">
            <w:pPr>
              <w:spacing w:line="360" w:lineRule="exact"/>
              <w:ind w:firstLine="0" w:firstLineChars="0"/>
              <w:jc w:val="center"/>
              <w:rPr>
                <w:sz w:val="21"/>
                <w:szCs w:val="21"/>
              </w:rPr>
            </w:pPr>
            <w:r>
              <w:rPr>
                <w:sz w:val="21"/>
                <w:szCs w:val="21"/>
              </w:rPr>
              <w:t>0.3</w:t>
            </w:r>
          </w:p>
        </w:tc>
        <w:tc>
          <w:tcPr>
            <w:tcW w:w="723" w:type="pct"/>
            <w:vAlign w:val="center"/>
          </w:tcPr>
          <w:p w14:paraId="2B6D4902">
            <w:pPr>
              <w:spacing w:line="360" w:lineRule="exact"/>
              <w:ind w:firstLine="0" w:firstLineChars="0"/>
              <w:jc w:val="center"/>
              <w:rPr>
                <w:sz w:val="21"/>
                <w:szCs w:val="21"/>
              </w:rPr>
            </w:pPr>
            <w:r>
              <w:rPr>
                <w:sz w:val="21"/>
                <w:szCs w:val="21"/>
              </w:rPr>
              <w:t>0.6</w:t>
            </w:r>
          </w:p>
        </w:tc>
      </w:tr>
      <w:tr w14:paraId="1E6BF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1CA9003F">
            <w:pPr>
              <w:spacing w:line="360" w:lineRule="exact"/>
              <w:ind w:firstLine="0" w:firstLineChars="0"/>
              <w:jc w:val="center"/>
              <w:rPr>
                <w:sz w:val="21"/>
                <w:szCs w:val="21"/>
              </w:rPr>
            </w:pPr>
            <w:r>
              <w:rPr>
                <w:sz w:val="21"/>
                <w:szCs w:val="21"/>
              </w:rPr>
              <w:t>2</w:t>
            </w:r>
          </w:p>
        </w:tc>
        <w:tc>
          <w:tcPr>
            <w:tcW w:w="1038" w:type="pct"/>
            <w:vAlign w:val="center"/>
          </w:tcPr>
          <w:p w14:paraId="1A7B2171">
            <w:pPr>
              <w:spacing w:line="360" w:lineRule="exact"/>
              <w:ind w:firstLine="0" w:firstLineChars="0"/>
              <w:jc w:val="center"/>
              <w:rPr>
                <w:rFonts w:cs="宋体"/>
                <w:sz w:val="21"/>
                <w:szCs w:val="21"/>
              </w:rPr>
            </w:pPr>
            <w:r>
              <w:rPr>
                <w:rFonts w:cs="宋体"/>
                <w:sz w:val="21"/>
                <w:szCs w:val="21"/>
              </w:rPr>
              <w:t>汞</w:t>
            </w:r>
          </w:p>
        </w:tc>
        <w:tc>
          <w:tcPr>
            <w:tcW w:w="630" w:type="pct"/>
            <w:vAlign w:val="center"/>
          </w:tcPr>
          <w:p w14:paraId="00BEBA81">
            <w:pPr>
              <w:spacing w:line="360" w:lineRule="exact"/>
              <w:ind w:firstLine="0" w:firstLineChars="0"/>
              <w:jc w:val="center"/>
              <w:rPr>
                <w:sz w:val="21"/>
                <w:szCs w:val="21"/>
              </w:rPr>
            </w:pPr>
            <w:r>
              <w:rPr>
                <w:sz w:val="21"/>
                <w:szCs w:val="21"/>
              </w:rPr>
              <w:t>1.3</w:t>
            </w:r>
          </w:p>
        </w:tc>
        <w:tc>
          <w:tcPr>
            <w:tcW w:w="1094" w:type="pct"/>
            <w:vAlign w:val="center"/>
          </w:tcPr>
          <w:p w14:paraId="3005A129">
            <w:pPr>
              <w:spacing w:line="360" w:lineRule="exact"/>
              <w:ind w:firstLine="0" w:firstLineChars="0"/>
              <w:jc w:val="center"/>
              <w:rPr>
                <w:sz w:val="21"/>
                <w:szCs w:val="21"/>
              </w:rPr>
            </w:pPr>
            <w:r>
              <w:rPr>
                <w:sz w:val="21"/>
                <w:szCs w:val="21"/>
              </w:rPr>
              <w:t>1.8</w:t>
            </w:r>
          </w:p>
        </w:tc>
        <w:tc>
          <w:tcPr>
            <w:tcW w:w="1094" w:type="pct"/>
            <w:vAlign w:val="center"/>
          </w:tcPr>
          <w:p w14:paraId="63046182">
            <w:pPr>
              <w:spacing w:line="360" w:lineRule="exact"/>
              <w:ind w:firstLine="0" w:firstLineChars="0"/>
              <w:jc w:val="center"/>
              <w:rPr>
                <w:sz w:val="21"/>
                <w:szCs w:val="21"/>
              </w:rPr>
            </w:pPr>
            <w:r>
              <w:rPr>
                <w:sz w:val="21"/>
                <w:szCs w:val="21"/>
              </w:rPr>
              <w:t>2.4</w:t>
            </w:r>
          </w:p>
        </w:tc>
        <w:tc>
          <w:tcPr>
            <w:tcW w:w="723" w:type="pct"/>
            <w:vAlign w:val="center"/>
          </w:tcPr>
          <w:p w14:paraId="3A1DA5BC">
            <w:pPr>
              <w:spacing w:line="360" w:lineRule="exact"/>
              <w:ind w:firstLine="0" w:firstLineChars="0"/>
              <w:jc w:val="center"/>
              <w:rPr>
                <w:sz w:val="21"/>
                <w:szCs w:val="21"/>
              </w:rPr>
            </w:pPr>
            <w:r>
              <w:rPr>
                <w:sz w:val="21"/>
                <w:szCs w:val="21"/>
              </w:rPr>
              <w:t>3.4</w:t>
            </w:r>
          </w:p>
        </w:tc>
      </w:tr>
      <w:tr w14:paraId="5A84C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2EC3ED96">
            <w:pPr>
              <w:spacing w:line="360" w:lineRule="exact"/>
              <w:ind w:firstLine="0" w:firstLineChars="0"/>
              <w:jc w:val="center"/>
              <w:rPr>
                <w:sz w:val="21"/>
                <w:szCs w:val="21"/>
              </w:rPr>
            </w:pPr>
            <w:r>
              <w:rPr>
                <w:sz w:val="21"/>
                <w:szCs w:val="21"/>
              </w:rPr>
              <w:t>3</w:t>
            </w:r>
          </w:p>
        </w:tc>
        <w:tc>
          <w:tcPr>
            <w:tcW w:w="1038" w:type="pct"/>
            <w:vAlign w:val="center"/>
          </w:tcPr>
          <w:p w14:paraId="2D7E6637">
            <w:pPr>
              <w:spacing w:line="360" w:lineRule="exact"/>
              <w:ind w:firstLine="0" w:firstLineChars="0"/>
              <w:jc w:val="center"/>
              <w:rPr>
                <w:rFonts w:cs="宋体"/>
                <w:sz w:val="21"/>
                <w:szCs w:val="21"/>
              </w:rPr>
            </w:pPr>
            <w:r>
              <w:rPr>
                <w:rFonts w:cs="宋体"/>
                <w:sz w:val="21"/>
                <w:szCs w:val="21"/>
              </w:rPr>
              <w:t>砷</w:t>
            </w:r>
          </w:p>
        </w:tc>
        <w:tc>
          <w:tcPr>
            <w:tcW w:w="630" w:type="pct"/>
            <w:vAlign w:val="center"/>
          </w:tcPr>
          <w:p w14:paraId="652413D6">
            <w:pPr>
              <w:spacing w:line="360" w:lineRule="exact"/>
              <w:ind w:firstLine="0" w:firstLineChars="0"/>
              <w:jc w:val="center"/>
              <w:rPr>
                <w:sz w:val="21"/>
                <w:szCs w:val="21"/>
              </w:rPr>
            </w:pPr>
            <w:r>
              <w:rPr>
                <w:sz w:val="21"/>
                <w:szCs w:val="21"/>
              </w:rPr>
              <w:t>40</w:t>
            </w:r>
          </w:p>
        </w:tc>
        <w:tc>
          <w:tcPr>
            <w:tcW w:w="1094" w:type="pct"/>
            <w:vAlign w:val="center"/>
          </w:tcPr>
          <w:p w14:paraId="3419DA00">
            <w:pPr>
              <w:spacing w:line="360" w:lineRule="exact"/>
              <w:ind w:firstLine="0" w:firstLineChars="0"/>
              <w:jc w:val="center"/>
              <w:rPr>
                <w:sz w:val="21"/>
                <w:szCs w:val="21"/>
              </w:rPr>
            </w:pPr>
            <w:r>
              <w:rPr>
                <w:sz w:val="21"/>
                <w:szCs w:val="21"/>
              </w:rPr>
              <w:t>40</w:t>
            </w:r>
          </w:p>
        </w:tc>
        <w:tc>
          <w:tcPr>
            <w:tcW w:w="1094" w:type="pct"/>
            <w:vAlign w:val="center"/>
          </w:tcPr>
          <w:p w14:paraId="5ECD02FF">
            <w:pPr>
              <w:spacing w:line="360" w:lineRule="exact"/>
              <w:ind w:firstLine="0" w:firstLineChars="0"/>
              <w:jc w:val="center"/>
              <w:rPr>
                <w:sz w:val="21"/>
                <w:szCs w:val="21"/>
              </w:rPr>
            </w:pPr>
            <w:r>
              <w:rPr>
                <w:sz w:val="21"/>
                <w:szCs w:val="21"/>
              </w:rPr>
              <w:t>30</w:t>
            </w:r>
          </w:p>
        </w:tc>
        <w:tc>
          <w:tcPr>
            <w:tcW w:w="723" w:type="pct"/>
            <w:vAlign w:val="center"/>
          </w:tcPr>
          <w:p w14:paraId="79F8D809">
            <w:pPr>
              <w:spacing w:line="360" w:lineRule="exact"/>
              <w:ind w:firstLine="0" w:firstLineChars="0"/>
              <w:jc w:val="center"/>
              <w:rPr>
                <w:sz w:val="21"/>
                <w:szCs w:val="21"/>
              </w:rPr>
            </w:pPr>
            <w:r>
              <w:rPr>
                <w:sz w:val="21"/>
                <w:szCs w:val="21"/>
              </w:rPr>
              <w:t>25</w:t>
            </w:r>
          </w:p>
        </w:tc>
      </w:tr>
      <w:tr w14:paraId="6D864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14:paraId="327676F3">
            <w:pPr>
              <w:spacing w:line="360" w:lineRule="exact"/>
              <w:ind w:firstLine="0" w:firstLineChars="0"/>
              <w:jc w:val="center"/>
              <w:rPr>
                <w:sz w:val="21"/>
                <w:szCs w:val="21"/>
              </w:rPr>
            </w:pPr>
            <w:r>
              <w:rPr>
                <w:sz w:val="21"/>
                <w:szCs w:val="21"/>
              </w:rPr>
              <w:t>4</w:t>
            </w:r>
          </w:p>
        </w:tc>
        <w:tc>
          <w:tcPr>
            <w:tcW w:w="1038" w:type="pct"/>
            <w:vAlign w:val="center"/>
          </w:tcPr>
          <w:p w14:paraId="05BE148F">
            <w:pPr>
              <w:spacing w:line="360" w:lineRule="exact"/>
              <w:ind w:firstLine="0" w:firstLineChars="0"/>
              <w:jc w:val="center"/>
              <w:rPr>
                <w:rFonts w:cs="宋体"/>
                <w:sz w:val="21"/>
                <w:szCs w:val="21"/>
              </w:rPr>
            </w:pPr>
            <w:r>
              <w:rPr>
                <w:rFonts w:cs="宋体"/>
                <w:sz w:val="21"/>
                <w:szCs w:val="21"/>
              </w:rPr>
              <w:t>铅</w:t>
            </w:r>
          </w:p>
        </w:tc>
        <w:tc>
          <w:tcPr>
            <w:tcW w:w="630" w:type="pct"/>
            <w:vAlign w:val="center"/>
          </w:tcPr>
          <w:p w14:paraId="682761FA">
            <w:pPr>
              <w:spacing w:line="360" w:lineRule="exact"/>
              <w:ind w:firstLine="0" w:firstLineChars="0"/>
              <w:jc w:val="center"/>
              <w:rPr>
                <w:sz w:val="21"/>
                <w:szCs w:val="21"/>
              </w:rPr>
            </w:pPr>
            <w:r>
              <w:rPr>
                <w:sz w:val="21"/>
                <w:szCs w:val="21"/>
              </w:rPr>
              <w:t>70</w:t>
            </w:r>
          </w:p>
        </w:tc>
        <w:tc>
          <w:tcPr>
            <w:tcW w:w="1094" w:type="pct"/>
            <w:vAlign w:val="center"/>
          </w:tcPr>
          <w:p w14:paraId="49E69E38">
            <w:pPr>
              <w:spacing w:line="360" w:lineRule="exact"/>
              <w:ind w:firstLine="0" w:firstLineChars="0"/>
              <w:jc w:val="center"/>
              <w:rPr>
                <w:sz w:val="21"/>
                <w:szCs w:val="21"/>
              </w:rPr>
            </w:pPr>
            <w:r>
              <w:rPr>
                <w:sz w:val="21"/>
                <w:szCs w:val="21"/>
              </w:rPr>
              <w:t>90</w:t>
            </w:r>
          </w:p>
        </w:tc>
        <w:tc>
          <w:tcPr>
            <w:tcW w:w="1094" w:type="pct"/>
            <w:vAlign w:val="center"/>
          </w:tcPr>
          <w:p w14:paraId="2F50A17D">
            <w:pPr>
              <w:spacing w:line="360" w:lineRule="exact"/>
              <w:ind w:firstLine="0" w:firstLineChars="0"/>
              <w:jc w:val="center"/>
              <w:rPr>
                <w:sz w:val="21"/>
                <w:szCs w:val="21"/>
              </w:rPr>
            </w:pPr>
            <w:r>
              <w:rPr>
                <w:sz w:val="21"/>
                <w:szCs w:val="21"/>
              </w:rPr>
              <w:t>120</w:t>
            </w:r>
          </w:p>
        </w:tc>
        <w:tc>
          <w:tcPr>
            <w:tcW w:w="723" w:type="pct"/>
            <w:vAlign w:val="center"/>
          </w:tcPr>
          <w:p w14:paraId="434FF567">
            <w:pPr>
              <w:spacing w:line="360" w:lineRule="exact"/>
              <w:ind w:firstLine="0" w:firstLineChars="0"/>
              <w:jc w:val="center"/>
              <w:rPr>
                <w:sz w:val="21"/>
                <w:szCs w:val="21"/>
              </w:rPr>
            </w:pPr>
            <w:r>
              <w:rPr>
                <w:sz w:val="21"/>
                <w:szCs w:val="21"/>
              </w:rPr>
              <w:t>170</w:t>
            </w:r>
          </w:p>
        </w:tc>
      </w:tr>
      <w:tr w14:paraId="4756A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5306E138">
            <w:pPr>
              <w:spacing w:line="360" w:lineRule="exact"/>
              <w:ind w:firstLine="0" w:firstLineChars="0"/>
              <w:jc w:val="center"/>
              <w:rPr>
                <w:sz w:val="21"/>
                <w:szCs w:val="21"/>
              </w:rPr>
            </w:pPr>
            <w:r>
              <w:rPr>
                <w:sz w:val="21"/>
                <w:szCs w:val="21"/>
              </w:rPr>
              <w:t>5</w:t>
            </w:r>
          </w:p>
        </w:tc>
        <w:tc>
          <w:tcPr>
            <w:tcW w:w="1038" w:type="pct"/>
            <w:vAlign w:val="center"/>
          </w:tcPr>
          <w:p w14:paraId="49FAF8C9">
            <w:pPr>
              <w:spacing w:line="360" w:lineRule="exact"/>
              <w:ind w:firstLine="0" w:firstLineChars="0"/>
              <w:jc w:val="center"/>
              <w:rPr>
                <w:rFonts w:cs="宋体"/>
                <w:sz w:val="21"/>
                <w:szCs w:val="21"/>
              </w:rPr>
            </w:pPr>
            <w:r>
              <w:rPr>
                <w:rFonts w:cs="宋体"/>
                <w:sz w:val="21"/>
                <w:szCs w:val="21"/>
              </w:rPr>
              <w:t>铬</w:t>
            </w:r>
          </w:p>
        </w:tc>
        <w:tc>
          <w:tcPr>
            <w:tcW w:w="630" w:type="pct"/>
            <w:vAlign w:val="center"/>
          </w:tcPr>
          <w:p w14:paraId="3C270FE3">
            <w:pPr>
              <w:spacing w:line="360" w:lineRule="exact"/>
              <w:ind w:firstLine="0" w:firstLineChars="0"/>
              <w:jc w:val="center"/>
              <w:rPr>
                <w:sz w:val="21"/>
                <w:szCs w:val="21"/>
              </w:rPr>
            </w:pPr>
            <w:r>
              <w:rPr>
                <w:sz w:val="21"/>
                <w:szCs w:val="21"/>
              </w:rPr>
              <w:t>150</w:t>
            </w:r>
          </w:p>
        </w:tc>
        <w:tc>
          <w:tcPr>
            <w:tcW w:w="1094" w:type="pct"/>
            <w:vAlign w:val="center"/>
          </w:tcPr>
          <w:p w14:paraId="41993B46">
            <w:pPr>
              <w:spacing w:line="360" w:lineRule="exact"/>
              <w:ind w:firstLine="0" w:firstLineChars="0"/>
              <w:jc w:val="center"/>
              <w:rPr>
                <w:sz w:val="21"/>
                <w:szCs w:val="21"/>
              </w:rPr>
            </w:pPr>
            <w:r>
              <w:rPr>
                <w:sz w:val="21"/>
                <w:szCs w:val="21"/>
              </w:rPr>
              <w:t>150</w:t>
            </w:r>
          </w:p>
        </w:tc>
        <w:tc>
          <w:tcPr>
            <w:tcW w:w="1094" w:type="pct"/>
            <w:vAlign w:val="center"/>
          </w:tcPr>
          <w:p w14:paraId="2E83D508">
            <w:pPr>
              <w:spacing w:line="360" w:lineRule="exact"/>
              <w:ind w:firstLine="0" w:firstLineChars="0"/>
              <w:jc w:val="center"/>
              <w:rPr>
                <w:sz w:val="21"/>
                <w:szCs w:val="21"/>
              </w:rPr>
            </w:pPr>
            <w:r>
              <w:rPr>
                <w:sz w:val="21"/>
                <w:szCs w:val="21"/>
              </w:rPr>
              <w:t>200</w:t>
            </w:r>
          </w:p>
        </w:tc>
        <w:tc>
          <w:tcPr>
            <w:tcW w:w="723" w:type="pct"/>
            <w:vAlign w:val="center"/>
          </w:tcPr>
          <w:p w14:paraId="12905D44">
            <w:pPr>
              <w:spacing w:line="360" w:lineRule="exact"/>
              <w:ind w:firstLine="0" w:firstLineChars="0"/>
              <w:jc w:val="center"/>
              <w:rPr>
                <w:sz w:val="21"/>
                <w:szCs w:val="21"/>
              </w:rPr>
            </w:pPr>
            <w:r>
              <w:rPr>
                <w:sz w:val="21"/>
                <w:szCs w:val="21"/>
              </w:rPr>
              <w:t>250</w:t>
            </w:r>
          </w:p>
        </w:tc>
      </w:tr>
      <w:tr w14:paraId="500D5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623EBAE4">
            <w:pPr>
              <w:spacing w:line="360" w:lineRule="exact"/>
              <w:ind w:firstLine="0" w:firstLineChars="0"/>
              <w:jc w:val="center"/>
              <w:rPr>
                <w:sz w:val="21"/>
                <w:szCs w:val="21"/>
              </w:rPr>
            </w:pPr>
            <w:r>
              <w:rPr>
                <w:sz w:val="21"/>
                <w:szCs w:val="21"/>
              </w:rPr>
              <w:t>6</w:t>
            </w:r>
          </w:p>
        </w:tc>
        <w:tc>
          <w:tcPr>
            <w:tcW w:w="1038" w:type="pct"/>
            <w:vAlign w:val="center"/>
          </w:tcPr>
          <w:p w14:paraId="1B94ABB9">
            <w:pPr>
              <w:spacing w:line="360" w:lineRule="exact"/>
              <w:ind w:firstLine="0" w:firstLineChars="0"/>
              <w:jc w:val="center"/>
              <w:rPr>
                <w:rFonts w:cs="宋体"/>
                <w:sz w:val="21"/>
                <w:szCs w:val="21"/>
              </w:rPr>
            </w:pPr>
            <w:r>
              <w:rPr>
                <w:rFonts w:cs="宋体"/>
                <w:sz w:val="21"/>
                <w:szCs w:val="21"/>
              </w:rPr>
              <w:t>铜</w:t>
            </w:r>
          </w:p>
        </w:tc>
        <w:tc>
          <w:tcPr>
            <w:tcW w:w="630" w:type="pct"/>
            <w:vAlign w:val="center"/>
          </w:tcPr>
          <w:p w14:paraId="318CAB74">
            <w:pPr>
              <w:spacing w:line="360" w:lineRule="exact"/>
              <w:ind w:firstLine="0" w:firstLineChars="0"/>
              <w:jc w:val="center"/>
              <w:rPr>
                <w:sz w:val="21"/>
                <w:szCs w:val="21"/>
              </w:rPr>
            </w:pPr>
            <w:r>
              <w:rPr>
                <w:sz w:val="21"/>
                <w:szCs w:val="21"/>
              </w:rPr>
              <w:t>50</w:t>
            </w:r>
          </w:p>
        </w:tc>
        <w:tc>
          <w:tcPr>
            <w:tcW w:w="1094" w:type="pct"/>
            <w:vAlign w:val="center"/>
          </w:tcPr>
          <w:p w14:paraId="7C9A5369">
            <w:pPr>
              <w:spacing w:line="360" w:lineRule="exact"/>
              <w:ind w:firstLine="0" w:firstLineChars="0"/>
              <w:jc w:val="center"/>
              <w:rPr>
                <w:sz w:val="21"/>
                <w:szCs w:val="21"/>
              </w:rPr>
            </w:pPr>
            <w:r>
              <w:rPr>
                <w:sz w:val="21"/>
                <w:szCs w:val="21"/>
              </w:rPr>
              <w:t>50</w:t>
            </w:r>
          </w:p>
        </w:tc>
        <w:tc>
          <w:tcPr>
            <w:tcW w:w="1094" w:type="pct"/>
            <w:vAlign w:val="center"/>
          </w:tcPr>
          <w:p w14:paraId="477ECDEB">
            <w:pPr>
              <w:spacing w:line="360" w:lineRule="exact"/>
              <w:ind w:firstLine="0" w:firstLineChars="0"/>
              <w:jc w:val="center"/>
              <w:rPr>
                <w:sz w:val="21"/>
                <w:szCs w:val="21"/>
              </w:rPr>
            </w:pPr>
            <w:r>
              <w:rPr>
                <w:sz w:val="21"/>
                <w:szCs w:val="21"/>
              </w:rPr>
              <w:t>100</w:t>
            </w:r>
          </w:p>
        </w:tc>
        <w:tc>
          <w:tcPr>
            <w:tcW w:w="723" w:type="pct"/>
            <w:vAlign w:val="center"/>
          </w:tcPr>
          <w:p w14:paraId="66AE8410">
            <w:pPr>
              <w:spacing w:line="360" w:lineRule="exact"/>
              <w:ind w:firstLine="0" w:firstLineChars="0"/>
              <w:jc w:val="center"/>
              <w:rPr>
                <w:sz w:val="21"/>
                <w:szCs w:val="21"/>
              </w:rPr>
            </w:pPr>
            <w:r>
              <w:rPr>
                <w:sz w:val="21"/>
                <w:szCs w:val="21"/>
              </w:rPr>
              <w:t>100</w:t>
            </w:r>
          </w:p>
        </w:tc>
      </w:tr>
      <w:tr w14:paraId="112AE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14:paraId="2AA5043D">
            <w:pPr>
              <w:spacing w:line="360" w:lineRule="exact"/>
              <w:ind w:firstLine="0" w:firstLineChars="0"/>
              <w:jc w:val="center"/>
              <w:rPr>
                <w:sz w:val="21"/>
                <w:szCs w:val="21"/>
              </w:rPr>
            </w:pPr>
            <w:r>
              <w:rPr>
                <w:sz w:val="21"/>
                <w:szCs w:val="21"/>
              </w:rPr>
              <w:t>7</w:t>
            </w:r>
          </w:p>
        </w:tc>
        <w:tc>
          <w:tcPr>
            <w:tcW w:w="1038" w:type="pct"/>
            <w:vAlign w:val="center"/>
          </w:tcPr>
          <w:p w14:paraId="17A06E08">
            <w:pPr>
              <w:spacing w:line="360" w:lineRule="exact"/>
              <w:ind w:firstLine="0" w:firstLineChars="0"/>
              <w:jc w:val="center"/>
              <w:rPr>
                <w:rFonts w:cs="宋体"/>
                <w:sz w:val="21"/>
                <w:szCs w:val="21"/>
              </w:rPr>
            </w:pPr>
            <w:r>
              <w:rPr>
                <w:rFonts w:cs="宋体"/>
                <w:sz w:val="21"/>
                <w:szCs w:val="21"/>
              </w:rPr>
              <w:t>镍</w:t>
            </w:r>
          </w:p>
        </w:tc>
        <w:tc>
          <w:tcPr>
            <w:tcW w:w="630" w:type="pct"/>
            <w:vAlign w:val="center"/>
          </w:tcPr>
          <w:p w14:paraId="00A9E288">
            <w:pPr>
              <w:spacing w:line="360" w:lineRule="exact"/>
              <w:ind w:firstLine="0" w:firstLineChars="0"/>
              <w:jc w:val="center"/>
              <w:rPr>
                <w:sz w:val="21"/>
                <w:szCs w:val="21"/>
              </w:rPr>
            </w:pPr>
            <w:r>
              <w:rPr>
                <w:sz w:val="21"/>
                <w:szCs w:val="21"/>
              </w:rPr>
              <w:t>60</w:t>
            </w:r>
          </w:p>
        </w:tc>
        <w:tc>
          <w:tcPr>
            <w:tcW w:w="1094" w:type="pct"/>
            <w:vAlign w:val="center"/>
          </w:tcPr>
          <w:p w14:paraId="106422AC">
            <w:pPr>
              <w:spacing w:line="360" w:lineRule="exact"/>
              <w:ind w:firstLine="0" w:firstLineChars="0"/>
              <w:jc w:val="center"/>
              <w:rPr>
                <w:sz w:val="21"/>
                <w:szCs w:val="21"/>
              </w:rPr>
            </w:pPr>
            <w:r>
              <w:rPr>
                <w:sz w:val="21"/>
                <w:szCs w:val="21"/>
              </w:rPr>
              <w:t>70</w:t>
            </w:r>
          </w:p>
        </w:tc>
        <w:tc>
          <w:tcPr>
            <w:tcW w:w="1094" w:type="pct"/>
            <w:vAlign w:val="center"/>
          </w:tcPr>
          <w:p w14:paraId="6C92DADA">
            <w:pPr>
              <w:spacing w:line="360" w:lineRule="exact"/>
              <w:ind w:firstLine="0" w:firstLineChars="0"/>
              <w:jc w:val="center"/>
              <w:rPr>
                <w:sz w:val="21"/>
                <w:szCs w:val="21"/>
              </w:rPr>
            </w:pPr>
            <w:r>
              <w:rPr>
                <w:sz w:val="21"/>
                <w:szCs w:val="21"/>
              </w:rPr>
              <w:t>100</w:t>
            </w:r>
          </w:p>
        </w:tc>
        <w:tc>
          <w:tcPr>
            <w:tcW w:w="723" w:type="pct"/>
            <w:vAlign w:val="center"/>
          </w:tcPr>
          <w:p w14:paraId="58E2D5A4">
            <w:pPr>
              <w:spacing w:line="360" w:lineRule="exact"/>
              <w:ind w:firstLine="0" w:firstLineChars="0"/>
              <w:jc w:val="center"/>
              <w:rPr>
                <w:sz w:val="21"/>
                <w:szCs w:val="21"/>
              </w:rPr>
            </w:pPr>
            <w:r>
              <w:rPr>
                <w:sz w:val="21"/>
                <w:szCs w:val="21"/>
              </w:rPr>
              <w:t>190</w:t>
            </w:r>
          </w:p>
        </w:tc>
      </w:tr>
      <w:tr w14:paraId="0C3B6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350C5036">
            <w:pPr>
              <w:spacing w:line="360" w:lineRule="exact"/>
              <w:ind w:firstLine="0" w:firstLineChars="0"/>
              <w:jc w:val="center"/>
              <w:rPr>
                <w:sz w:val="21"/>
                <w:szCs w:val="21"/>
              </w:rPr>
            </w:pPr>
            <w:r>
              <w:rPr>
                <w:sz w:val="21"/>
                <w:szCs w:val="21"/>
              </w:rPr>
              <w:t>8</w:t>
            </w:r>
          </w:p>
        </w:tc>
        <w:tc>
          <w:tcPr>
            <w:tcW w:w="1038" w:type="pct"/>
            <w:vAlign w:val="center"/>
          </w:tcPr>
          <w:p w14:paraId="346E068D">
            <w:pPr>
              <w:spacing w:line="360" w:lineRule="exact"/>
              <w:ind w:firstLine="0" w:firstLineChars="0"/>
              <w:jc w:val="center"/>
              <w:rPr>
                <w:rFonts w:cs="宋体"/>
                <w:sz w:val="21"/>
                <w:szCs w:val="21"/>
              </w:rPr>
            </w:pPr>
            <w:r>
              <w:rPr>
                <w:rFonts w:cs="宋体"/>
                <w:sz w:val="21"/>
                <w:szCs w:val="21"/>
              </w:rPr>
              <w:t>锌</w:t>
            </w:r>
          </w:p>
        </w:tc>
        <w:tc>
          <w:tcPr>
            <w:tcW w:w="630" w:type="pct"/>
            <w:vAlign w:val="center"/>
          </w:tcPr>
          <w:p w14:paraId="7BFE2E61">
            <w:pPr>
              <w:spacing w:line="360" w:lineRule="exact"/>
              <w:ind w:firstLine="0" w:firstLineChars="0"/>
              <w:jc w:val="center"/>
              <w:rPr>
                <w:sz w:val="21"/>
                <w:szCs w:val="21"/>
              </w:rPr>
            </w:pPr>
            <w:r>
              <w:rPr>
                <w:sz w:val="21"/>
                <w:szCs w:val="21"/>
              </w:rPr>
              <w:t>200</w:t>
            </w:r>
          </w:p>
        </w:tc>
        <w:tc>
          <w:tcPr>
            <w:tcW w:w="1094" w:type="pct"/>
            <w:vAlign w:val="center"/>
          </w:tcPr>
          <w:p w14:paraId="6146334D">
            <w:pPr>
              <w:spacing w:line="360" w:lineRule="exact"/>
              <w:ind w:firstLine="0" w:firstLineChars="0"/>
              <w:jc w:val="center"/>
              <w:rPr>
                <w:sz w:val="21"/>
                <w:szCs w:val="21"/>
              </w:rPr>
            </w:pPr>
            <w:r>
              <w:rPr>
                <w:sz w:val="21"/>
                <w:szCs w:val="21"/>
              </w:rPr>
              <w:t>200</w:t>
            </w:r>
          </w:p>
        </w:tc>
        <w:tc>
          <w:tcPr>
            <w:tcW w:w="1094" w:type="pct"/>
            <w:vAlign w:val="center"/>
          </w:tcPr>
          <w:p w14:paraId="5D2AF8BF">
            <w:pPr>
              <w:spacing w:line="360" w:lineRule="exact"/>
              <w:ind w:firstLine="0" w:firstLineChars="0"/>
              <w:jc w:val="center"/>
              <w:rPr>
                <w:sz w:val="21"/>
                <w:szCs w:val="21"/>
              </w:rPr>
            </w:pPr>
            <w:r>
              <w:rPr>
                <w:sz w:val="21"/>
                <w:szCs w:val="21"/>
              </w:rPr>
              <w:t>250</w:t>
            </w:r>
          </w:p>
        </w:tc>
        <w:tc>
          <w:tcPr>
            <w:tcW w:w="723" w:type="pct"/>
            <w:vAlign w:val="center"/>
          </w:tcPr>
          <w:p w14:paraId="5495A72E">
            <w:pPr>
              <w:spacing w:line="360" w:lineRule="exact"/>
              <w:ind w:firstLine="0" w:firstLineChars="0"/>
              <w:jc w:val="center"/>
              <w:rPr>
                <w:sz w:val="21"/>
                <w:szCs w:val="21"/>
              </w:rPr>
            </w:pPr>
            <w:r>
              <w:rPr>
                <w:sz w:val="21"/>
                <w:szCs w:val="21"/>
              </w:rPr>
              <w:t>300</w:t>
            </w:r>
          </w:p>
        </w:tc>
      </w:tr>
      <w:tr w14:paraId="4EF09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5E589760">
            <w:pPr>
              <w:spacing w:line="360" w:lineRule="exact"/>
              <w:ind w:firstLine="0" w:firstLineChars="0"/>
              <w:jc w:val="center"/>
              <w:rPr>
                <w:sz w:val="21"/>
                <w:szCs w:val="21"/>
              </w:rPr>
            </w:pPr>
            <w:r>
              <w:rPr>
                <w:sz w:val="21"/>
                <w:szCs w:val="21"/>
              </w:rPr>
              <w:t>9</w:t>
            </w:r>
          </w:p>
        </w:tc>
        <w:tc>
          <w:tcPr>
            <w:tcW w:w="1038" w:type="pct"/>
            <w:vAlign w:val="center"/>
          </w:tcPr>
          <w:p w14:paraId="07B42D26">
            <w:pPr>
              <w:spacing w:line="360" w:lineRule="exact"/>
              <w:ind w:firstLine="0" w:firstLineChars="0"/>
              <w:jc w:val="center"/>
              <w:rPr>
                <w:rFonts w:cs="宋体"/>
                <w:sz w:val="21"/>
                <w:szCs w:val="21"/>
              </w:rPr>
            </w:pPr>
            <w:r>
              <w:rPr>
                <w:rFonts w:cs="宋体"/>
                <w:sz w:val="21"/>
                <w:szCs w:val="21"/>
              </w:rPr>
              <w:t>六六六总量</w:t>
            </w:r>
          </w:p>
        </w:tc>
        <w:tc>
          <w:tcPr>
            <w:tcW w:w="3543" w:type="pct"/>
            <w:gridSpan w:val="4"/>
            <w:vAlign w:val="center"/>
          </w:tcPr>
          <w:p w14:paraId="2634B42B">
            <w:pPr>
              <w:spacing w:line="360" w:lineRule="exact"/>
              <w:ind w:firstLine="0" w:firstLineChars="0"/>
              <w:jc w:val="center"/>
              <w:rPr>
                <w:sz w:val="21"/>
                <w:szCs w:val="21"/>
              </w:rPr>
            </w:pPr>
            <w:r>
              <w:rPr>
                <w:sz w:val="21"/>
                <w:szCs w:val="21"/>
              </w:rPr>
              <w:t>0.10</w:t>
            </w:r>
          </w:p>
        </w:tc>
      </w:tr>
      <w:tr w14:paraId="66F29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Align w:val="center"/>
          </w:tcPr>
          <w:p w14:paraId="7E4F4429">
            <w:pPr>
              <w:spacing w:line="360" w:lineRule="exact"/>
              <w:ind w:firstLine="0" w:firstLineChars="0"/>
              <w:jc w:val="center"/>
              <w:rPr>
                <w:sz w:val="21"/>
                <w:szCs w:val="21"/>
              </w:rPr>
            </w:pPr>
            <w:r>
              <w:rPr>
                <w:sz w:val="21"/>
                <w:szCs w:val="21"/>
              </w:rPr>
              <w:t>10</w:t>
            </w:r>
          </w:p>
        </w:tc>
        <w:tc>
          <w:tcPr>
            <w:tcW w:w="1038" w:type="pct"/>
            <w:vAlign w:val="center"/>
          </w:tcPr>
          <w:p w14:paraId="41F6E7A2">
            <w:pPr>
              <w:spacing w:line="360" w:lineRule="exact"/>
              <w:ind w:firstLine="0" w:firstLineChars="0"/>
              <w:jc w:val="center"/>
              <w:rPr>
                <w:rFonts w:cs="宋体"/>
                <w:sz w:val="21"/>
                <w:szCs w:val="21"/>
              </w:rPr>
            </w:pPr>
            <w:r>
              <w:rPr>
                <w:rFonts w:cs="宋体"/>
                <w:sz w:val="21"/>
                <w:szCs w:val="21"/>
              </w:rPr>
              <w:t>滴滴涕总量</w:t>
            </w:r>
          </w:p>
        </w:tc>
        <w:tc>
          <w:tcPr>
            <w:tcW w:w="3543" w:type="pct"/>
            <w:gridSpan w:val="4"/>
            <w:vAlign w:val="center"/>
          </w:tcPr>
          <w:p w14:paraId="38210CBE">
            <w:pPr>
              <w:spacing w:line="360" w:lineRule="exact"/>
              <w:ind w:firstLine="0" w:firstLineChars="0"/>
              <w:jc w:val="center"/>
              <w:rPr>
                <w:sz w:val="21"/>
                <w:szCs w:val="21"/>
              </w:rPr>
            </w:pPr>
            <w:r>
              <w:rPr>
                <w:sz w:val="21"/>
                <w:szCs w:val="21"/>
              </w:rPr>
              <w:t>0.10</w:t>
            </w:r>
          </w:p>
        </w:tc>
      </w:tr>
    </w:tbl>
    <w:p w14:paraId="03513252">
      <w:pPr>
        <w:spacing w:line="214" w:lineRule="auto"/>
        <w:ind w:firstLine="0" w:firstLineChars="0"/>
        <w:jc w:val="center"/>
        <w:rPr>
          <w:rFonts w:cstheme="majorBidi"/>
          <w:b/>
          <w:sz w:val="21"/>
        </w:rPr>
      </w:pPr>
      <w:r>
        <w:rPr>
          <w:rFonts w:hint="eastAsia" w:cstheme="majorBidi"/>
          <w:b/>
          <w:sz w:val="21"/>
        </w:rPr>
        <w:t>表2.5-6HJ568-2010畜禽养殖产地环境评价规范</w:t>
      </w:r>
    </w:p>
    <w:tbl>
      <w:tblPr>
        <w:tblStyle w:val="183"/>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3"/>
        <w:gridCol w:w="2608"/>
        <w:gridCol w:w="4299"/>
      </w:tblGrid>
      <w:tr w14:paraId="5E16F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44" w:type="pct"/>
          </w:tcPr>
          <w:p w14:paraId="5D0420E5">
            <w:pPr>
              <w:spacing w:line="360" w:lineRule="exact"/>
              <w:ind w:firstLine="0" w:firstLineChars="0"/>
              <w:jc w:val="center"/>
              <w:rPr>
                <w:rFonts w:cs="宋体"/>
                <w:sz w:val="21"/>
                <w:szCs w:val="21"/>
              </w:rPr>
            </w:pPr>
            <w:r>
              <w:rPr>
                <w:rFonts w:cs="宋体"/>
                <w:sz w:val="21"/>
                <w:szCs w:val="21"/>
              </w:rPr>
              <w:t>序号</w:t>
            </w:r>
          </w:p>
        </w:tc>
        <w:tc>
          <w:tcPr>
            <w:tcW w:w="1569" w:type="pct"/>
          </w:tcPr>
          <w:p w14:paraId="026ED860">
            <w:pPr>
              <w:spacing w:line="360" w:lineRule="exact"/>
              <w:ind w:firstLine="0" w:firstLineChars="0"/>
              <w:jc w:val="center"/>
              <w:rPr>
                <w:rFonts w:cs="宋体"/>
                <w:sz w:val="21"/>
                <w:szCs w:val="21"/>
              </w:rPr>
            </w:pPr>
            <w:r>
              <w:rPr>
                <w:rFonts w:cs="宋体"/>
                <w:sz w:val="21"/>
                <w:szCs w:val="21"/>
              </w:rPr>
              <w:t>污染物项目</w:t>
            </w:r>
          </w:p>
        </w:tc>
        <w:tc>
          <w:tcPr>
            <w:tcW w:w="2586" w:type="pct"/>
          </w:tcPr>
          <w:p w14:paraId="716F838F">
            <w:pPr>
              <w:spacing w:line="360" w:lineRule="exact"/>
              <w:ind w:firstLine="0" w:firstLineChars="0"/>
              <w:jc w:val="center"/>
              <w:rPr>
                <w:rFonts w:cs="宋体"/>
                <w:sz w:val="21"/>
                <w:szCs w:val="21"/>
              </w:rPr>
            </w:pPr>
            <w:r>
              <w:rPr>
                <w:rFonts w:cs="宋体"/>
                <w:sz w:val="21"/>
                <w:szCs w:val="21"/>
              </w:rPr>
              <w:t>标准限值</w:t>
            </w:r>
            <w:r>
              <w:rPr>
                <w:rFonts w:hint="eastAsia" w:cs="宋体"/>
                <w:sz w:val="21"/>
                <w:szCs w:val="21"/>
              </w:rPr>
              <w:t>（</w:t>
            </w:r>
            <w:r>
              <w:rPr>
                <w:sz w:val="21"/>
                <w:szCs w:val="21"/>
              </w:rPr>
              <w:t>mg/kg</w:t>
            </w:r>
            <w:r>
              <w:rPr>
                <w:rFonts w:hint="eastAsia" w:cs="宋体"/>
                <w:sz w:val="21"/>
                <w:szCs w:val="21"/>
              </w:rPr>
              <w:t>）</w:t>
            </w:r>
          </w:p>
        </w:tc>
      </w:tr>
      <w:tr w14:paraId="27A3B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tcPr>
          <w:p w14:paraId="320E4A5D">
            <w:pPr>
              <w:spacing w:line="360" w:lineRule="exact"/>
              <w:ind w:firstLine="0" w:firstLineChars="0"/>
              <w:jc w:val="center"/>
              <w:rPr>
                <w:sz w:val="21"/>
                <w:szCs w:val="21"/>
              </w:rPr>
            </w:pPr>
            <w:r>
              <w:rPr>
                <w:sz w:val="21"/>
                <w:szCs w:val="21"/>
              </w:rPr>
              <w:t>1</w:t>
            </w:r>
          </w:p>
        </w:tc>
        <w:tc>
          <w:tcPr>
            <w:tcW w:w="1569" w:type="pct"/>
          </w:tcPr>
          <w:p w14:paraId="69478E53">
            <w:pPr>
              <w:spacing w:line="360" w:lineRule="exact"/>
              <w:ind w:firstLine="0" w:firstLineChars="0"/>
              <w:jc w:val="center"/>
              <w:rPr>
                <w:rFonts w:cs="宋体"/>
                <w:sz w:val="21"/>
                <w:szCs w:val="21"/>
              </w:rPr>
            </w:pPr>
            <w:r>
              <w:rPr>
                <w:rFonts w:cs="宋体"/>
                <w:sz w:val="21"/>
                <w:szCs w:val="21"/>
              </w:rPr>
              <w:t>镉</w:t>
            </w:r>
          </w:p>
        </w:tc>
        <w:tc>
          <w:tcPr>
            <w:tcW w:w="2586" w:type="pct"/>
          </w:tcPr>
          <w:p w14:paraId="792BFD5C">
            <w:pPr>
              <w:spacing w:line="360" w:lineRule="exact"/>
              <w:ind w:firstLine="0" w:firstLineChars="0"/>
              <w:jc w:val="center"/>
              <w:rPr>
                <w:sz w:val="21"/>
                <w:szCs w:val="21"/>
              </w:rPr>
            </w:pPr>
            <w:r>
              <w:rPr>
                <w:sz w:val="21"/>
                <w:szCs w:val="21"/>
              </w:rPr>
              <w:t>1.0</w:t>
            </w:r>
          </w:p>
        </w:tc>
      </w:tr>
      <w:tr w14:paraId="634BE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tcPr>
          <w:p w14:paraId="4DFA1698">
            <w:pPr>
              <w:spacing w:line="360" w:lineRule="exact"/>
              <w:ind w:firstLine="0" w:firstLineChars="0"/>
              <w:jc w:val="center"/>
              <w:rPr>
                <w:sz w:val="21"/>
                <w:szCs w:val="21"/>
              </w:rPr>
            </w:pPr>
            <w:r>
              <w:rPr>
                <w:sz w:val="21"/>
                <w:szCs w:val="21"/>
              </w:rPr>
              <w:t>2</w:t>
            </w:r>
          </w:p>
        </w:tc>
        <w:tc>
          <w:tcPr>
            <w:tcW w:w="1569" w:type="pct"/>
          </w:tcPr>
          <w:p w14:paraId="0E419ACA">
            <w:pPr>
              <w:spacing w:line="360" w:lineRule="exact"/>
              <w:ind w:firstLine="0" w:firstLineChars="0"/>
              <w:jc w:val="center"/>
              <w:rPr>
                <w:rFonts w:cs="宋体"/>
                <w:sz w:val="21"/>
                <w:szCs w:val="21"/>
              </w:rPr>
            </w:pPr>
            <w:r>
              <w:rPr>
                <w:rFonts w:cs="宋体"/>
                <w:sz w:val="21"/>
                <w:szCs w:val="21"/>
              </w:rPr>
              <w:t>汞</w:t>
            </w:r>
          </w:p>
        </w:tc>
        <w:tc>
          <w:tcPr>
            <w:tcW w:w="2586" w:type="pct"/>
          </w:tcPr>
          <w:p w14:paraId="05DBFB7F">
            <w:pPr>
              <w:spacing w:line="360" w:lineRule="exact"/>
              <w:ind w:firstLine="0" w:firstLineChars="0"/>
              <w:jc w:val="center"/>
              <w:rPr>
                <w:sz w:val="21"/>
                <w:szCs w:val="21"/>
              </w:rPr>
            </w:pPr>
            <w:r>
              <w:rPr>
                <w:sz w:val="21"/>
                <w:szCs w:val="21"/>
              </w:rPr>
              <w:t>1.5</w:t>
            </w:r>
          </w:p>
        </w:tc>
      </w:tr>
      <w:tr w14:paraId="10A9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tcPr>
          <w:p w14:paraId="73183355">
            <w:pPr>
              <w:spacing w:line="360" w:lineRule="exact"/>
              <w:ind w:firstLine="0" w:firstLineChars="0"/>
              <w:jc w:val="center"/>
              <w:rPr>
                <w:sz w:val="21"/>
                <w:szCs w:val="21"/>
              </w:rPr>
            </w:pPr>
            <w:r>
              <w:rPr>
                <w:sz w:val="21"/>
                <w:szCs w:val="21"/>
              </w:rPr>
              <w:t>3</w:t>
            </w:r>
          </w:p>
        </w:tc>
        <w:tc>
          <w:tcPr>
            <w:tcW w:w="1569" w:type="pct"/>
          </w:tcPr>
          <w:p w14:paraId="02763EEA">
            <w:pPr>
              <w:spacing w:line="360" w:lineRule="exact"/>
              <w:ind w:firstLine="0" w:firstLineChars="0"/>
              <w:jc w:val="center"/>
              <w:rPr>
                <w:rFonts w:cs="宋体"/>
                <w:sz w:val="21"/>
                <w:szCs w:val="21"/>
              </w:rPr>
            </w:pPr>
            <w:r>
              <w:rPr>
                <w:rFonts w:cs="宋体"/>
                <w:sz w:val="21"/>
                <w:szCs w:val="21"/>
              </w:rPr>
              <w:t>砷</w:t>
            </w:r>
          </w:p>
        </w:tc>
        <w:tc>
          <w:tcPr>
            <w:tcW w:w="2586" w:type="pct"/>
          </w:tcPr>
          <w:p w14:paraId="0D585461">
            <w:pPr>
              <w:spacing w:line="360" w:lineRule="exact"/>
              <w:ind w:firstLine="0" w:firstLineChars="0"/>
              <w:jc w:val="center"/>
              <w:rPr>
                <w:sz w:val="21"/>
                <w:szCs w:val="21"/>
              </w:rPr>
            </w:pPr>
            <w:r>
              <w:rPr>
                <w:sz w:val="21"/>
                <w:szCs w:val="21"/>
              </w:rPr>
              <w:t>40</w:t>
            </w:r>
          </w:p>
        </w:tc>
      </w:tr>
      <w:tr w14:paraId="7452A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tcPr>
          <w:p w14:paraId="59F744CD">
            <w:pPr>
              <w:spacing w:line="360" w:lineRule="exact"/>
              <w:ind w:firstLine="0" w:firstLineChars="0"/>
              <w:jc w:val="center"/>
              <w:rPr>
                <w:sz w:val="21"/>
                <w:szCs w:val="21"/>
              </w:rPr>
            </w:pPr>
            <w:r>
              <w:rPr>
                <w:sz w:val="21"/>
                <w:szCs w:val="21"/>
              </w:rPr>
              <w:t>4</w:t>
            </w:r>
          </w:p>
        </w:tc>
        <w:tc>
          <w:tcPr>
            <w:tcW w:w="1569" w:type="pct"/>
          </w:tcPr>
          <w:p w14:paraId="7E176315">
            <w:pPr>
              <w:spacing w:line="360" w:lineRule="exact"/>
              <w:ind w:firstLine="0" w:firstLineChars="0"/>
              <w:jc w:val="center"/>
              <w:rPr>
                <w:rFonts w:cs="宋体"/>
                <w:sz w:val="21"/>
                <w:szCs w:val="21"/>
              </w:rPr>
            </w:pPr>
            <w:r>
              <w:rPr>
                <w:rFonts w:cs="宋体"/>
                <w:sz w:val="21"/>
                <w:szCs w:val="21"/>
              </w:rPr>
              <w:t>铜</w:t>
            </w:r>
          </w:p>
        </w:tc>
        <w:tc>
          <w:tcPr>
            <w:tcW w:w="2586" w:type="pct"/>
          </w:tcPr>
          <w:p w14:paraId="62410B12">
            <w:pPr>
              <w:spacing w:line="360" w:lineRule="exact"/>
              <w:ind w:firstLine="0" w:firstLineChars="0"/>
              <w:jc w:val="center"/>
              <w:rPr>
                <w:sz w:val="21"/>
                <w:szCs w:val="21"/>
              </w:rPr>
            </w:pPr>
            <w:r>
              <w:rPr>
                <w:sz w:val="21"/>
                <w:szCs w:val="21"/>
              </w:rPr>
              <w:t>400</w:t>
            </w:r>
          </w:p>
        </w:tc>
      </w:tr>
      <w:tr w14:paraId="35B8A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tcPr>
          <w:p w14:paraId="21FE28C5">
            <w:pPr>
              <w:spacing w:line="360" w:lineRule="exact"/>
              <w:ind w:firstLine="0" w:firstLineChars="0"/>
              <w:jc w:val="center"/>
              <w:rPr>
                <w:sz w:val="21"/>
                <w:szCs w:val="21"/>
              </w:rPr>
            </w:pPr>
            <w:r>
              <w:rPr>
                <w:sz w:val="21"/>
                <w:szCs w:val="21"/>
              </w:rPr>
              <w:t>5</w:t>
            </w:r>
          </w:p>
        </w:tc>
        <w:tc>
          <w:tcPr>
            <w:tcW w:w="1569" w:type="pct"/>
          </w:tcPr>
          <w:p w14:paraId="2E6EC7A3">
            <w:pPr>
              <w:spacing w:line="360" w:lineRule="exact"/>
              <w:ind w:firstLine="0" w:firstLineChars="0"/>
              <w:jc w:val="center"/>
              <w:rPr>
                <w:rFonts w:cs="宋体"/>
                <w:sz w:val="21"/>
                <w:szCs w:val="21"/>
              </w:rPr>
            </w:pPr>
            <w:r>
              <w:rPr>
                <w:rFonts w:cs="宋体"/>
                <w:sz w:val="21"/>
                <w:szCs w:val="21"/>
              </w:rPr>
              <w:t>铅</w:t>
            </w:r>
          </w:p>
        </w:tc>
        <w:tc>
          <w:tcPr>
            <w:tcW w:w="2586" w:type="pct"/>
          </w:tcPr>
          <w:p w14:paraId="6AED8949">
            <w:pPr>
              <w:spacing w:line="360" w:lineRule="exact"/>
              <w:ind w:firstLine="0" w:firstLineChars="0"/>
              <w:jc w:val="center"/>
              <w:rPr>
                <w:sz w:val="21"/>
                <w:szCs w:val="21"/>
              </w:rPr>
            </w:pPr>
            <w:r>
              <w:rPr>
                <w:sz w:val="21"/>
                <w:szCs w:val="21"/>
              </w:rPr>
              <w:t>500</w:t>
            </w:r>
          </w:p>
        </w:tc>
      </w:tr>
      <w:tr w14:paraId="12A23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tcPr>
          <w:p w14:paraId="07742ABD">
            <w:pPr>
              <w:spacing w:line="360" w:lineRule="exact"/>
              <w:ind w:firstLine="0" w:firstLineChars="0"/>
              <w:jc w:val="center"/>
              <w:rPr>
                <w:sz w:val="21"/>
                <w:szCs w:val="21"/>
              </w:rPr>
            </w:pPr>
            <w:r>
              <w:rPr>
                <w:sz w:val="21"/>
                <w:szCs w:val="21"/>
              </w:rPr>
              <w:t>6</w:t>
            </w:r>
          </w:p>
        </w:tc>
        <w:tc>
          <w:tcPr>
            <w:tcW w:w="1569" w:type="pct"/>
          </w:tcPr>
          <w:p w14:paraId="0E983E06">
            <w:pPr>
              <w:spacing w:line="360" w:lineRule="exact"/>
              <w:ind w:firstLine="0" w:firstLineChars="0"/>
              <w:jc w:val="center"/>
              <w:rPr>
                <w:rFonts w:cs="宋体"/>
                <w:sz w:val="21"/>
                <w:szCs w:val="21"/>
              </w:rPr>
            </w:pPr>
            <w:r>
              <w:rPr>
                <w:rFonts w:cs="宋体"/>
                <w:sz w:val="21"/>
                <w:szCs w:val="21"/>
              </w:rPr>
              <w:t>铬</w:t>
            </w:r>
          </w:p>
        </w:tc>
        <w:tc>
          <w:tcPr>
            <w:tcW w:w="2586" w:type="pct"/>
          </w:tcPr>
          <w:p w14:paraId="019029DA">
            <w:pPr>
              <w:spacing w:line="360" w:lineRule="exact"/>
              <w:ind w:firstLine="0" w:firstLineChars="0"/>
              <w:jc w:val="center"/>
              <w:rPr>
                <w:sz w:val="21"/>
                <w:szCs w:val="21"/>
              </w:rPr>
            </w:pPr>
            <w:r>
              <w:rPr>
                <w:sz w:val="21"/>
                <w:szCs w:val="21"/>
              </w:rPr>
              <w:t>300</w:t>
            </w:r>
          </w:p>
        </w:tc>
      </w:tr>
      <w:tr w14:paraId="68C61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tcPr>
          <w:p w14:paraId="731CB0E9">
            <w:pPr>
              <w:spacing w:line="360" w:lineRule="exact"/>
              <w:ind w:firstLine="0" w:firstLineChars="0"/>
              <w:jc w:val="center"/>
              <w:rPr>
                <w:sz w:val="21"/>
                <w:szCs w:val="21"/>
              </w:rPr>
            </w:pPr>
            <w:r>
              <w:rPr>
                <w:sz w:val="21"/>
                <w:szCs w:val="21"/>
              </w:rPr>
              <w:t>7</w:t>
            </w:r>
          </w:p>
        </w:tc>
        <w:tc>
          <w:tcPr>
            <w:tcW w:w="1569" w:type="pct"/>
          </w:tcPr>
          <w:p w14:paraId="2EBBC0F6">
            <w:pPr>
              <w:spacing w:line="360" w:lineRule="exact"/>
              <w:ind w:firstLine="0" w:firstLineChars="0"/>
              <w:jc w:val="center"/>
              <w:rPr>
                <w:rFonts w:cs="宋体"/>
                <w:sz w:val="21"/>
                <w:szCs w:val="21"/>
              </w:rPr>
            </w:pPr>
            <w:r>
              <w:rPr>
                <w:rFonts w:cs="宋体"/>
                <w:sz w:val="21"/>
                <w:szCs w:val="21"/>
              </w:rPr>
              <w:t>锌</w:t>
            </w:r>
          </w:p>
        </w:tc>
        <w:tc>
          <w:tcPr>
            <w:tcW w:w="2586" w:type="pct"/>
          </w:tcPr>
          <w:p w14:paraId="73E66538">
            <w:pPr>
              <w:spacing w:line="360" w:lineRule="exact"/>
              <w:ind w:firstLine="0" w:firstLineChars="0"/>
              <w:jc w:val="center"/>
              <w:rPr>
                <w:sz w:val="21"/>
                <w:szCs w:val="21"/>
              </w:rPr>
            </w:pPr>
            <w:r>
              <w:rPr>
                <w:sz w:val="21"/>
                <w:szCs w:val="21"/>
              </w:rPr>
              <w:t>500</w:t>
            </w:r>
          </w:p>
        </w:tc>
      </w:tr>
      <w:tr w14:paraId="0B032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tcPr>
          <w:p w14:paraId="135200E2">
            <w:pPr>
              <w:spacing w:line="360" w:lineRule="exact"/>
              <w:ind w:firstLine="0" w:firstLineChars="0"/>
              <w:jc w:val="center"/>
              <w:rPr>
                <w:sz w:val="21"/>
                <w:szCs w:val="21"/>
              </w:rPr>
            </w:pPr>
            <w:r>
              <w:rPr>
                <w:sz w:val="21"/>
                <w:szCs w:val="21"/>
              </w:rPr>
              <w:t>8</w:t>
            </w:r>
          </w:p>
        </w:tc>
        <w:tc>
          <w:tcPr>
            <w:tcW w:w="1569" w:type="pct"/>
          </w:tcPr>
          <w:p w14:paraId="4BF886B6">
            <w:pPr>
              <w:spacing w:line="360" w:lineRule="exact"/>
              <w:ind w:firstLine="0" w:firstLineChars="0"/>
              <w:jc w:val="center"/>
              <w:rPr>
                <w:rFonts w:cs="宋体"/>
                <w:sz w:val="21"/>
                <w:szCs w:val="21"/>
              </w:rPr>
            </w:pPr>
            <w:r>
              <w:rPr>
                <w:rFonts w:cs="宋体"/>
                <w:sz w:val="21"/>
                <w:szCs w:val="21"/>
              </w:rPr>
              <w:t>镍</w:t>
            </w:r>
          </w:p>
        </w:tc>
        <w:tc>
          <w:tcPr>
            <w:tcW w:w="2586" w:type="pct"/>
          </w:tcPr>
          <w:p w14:paraId="1854DF31">
            <w:pPr>
              <w:spacing w:line="360" w:lineRule="exact"/>
              <w:ind w:firstLine="0" w:firstLineChars="0"/>
              <w:jc w:val="center"/>
              <w:rPr>
                <w:sz w:val="21"/>
                <w:szCs w:val="21"/>
              </w:rPr>
            </w:pPr>
            <w:r>
              <w:rPr>
                <w:sz w:val="21"/>
                <w:szCs w:val="21"/>
              </w:rPr>
              <w:t>200</w:t>
            </w:r>
          </w:p>
        </w:tc>
      </w:tr>
      <w:tr w14:paraId="6884A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tcPr>
          <w:p w14:paraId="12864618">
            <w:pPr>
              <w:spacing w:line="360" w:lineRule="exact"/>
              <w:ind w:firstLine="0" w:firstLineChars="0"/>
              <w:jc w:val="center"/>
              <w:rPr>
                <w:sz w:val="21"/>
                <w:szCs w:val="21"/>
              </w:rPr>
            </w:pPr>
            <w:r>
              <w:rPr>
                <w:sz w:val="21"/>
                <w:szCs w:val="21"/>
              </w:rPr>
              <w:t>9</w:t>
            </w:r>
          </w:p>
        </w:tc>
        <w:tc>
          <w:tcPr>
            <w:tcW w:w="1569" w:type="pct"/>
          </w:tcPr>
          <w:p w14:paraId="443BB806">
            <w:pPr>
              <w:spacing w:line="360" w:lineRule="exact"/>
              <w:ind w:firstLine="0" w:firstLineChars="0"/>
              <w:jc w:val="center"/>
              <w:rPr>
                <w:rFonts w:cs="宋体"/>
                <w:sz w:val="21"/>
                <w:szCs w:val="21"/>
              </w:rPr>
            </w:pPr>
            <w:r>
              <w:rPr>
                <w:rFonts w:cs="宋体"/>
                <w:sz w:val="21"/>
                <w:szCs w:val="21"/>
              </w:rPr>
              <w:t>六六六</w:t>
            </w:r>
          </w:p>
        </w:tc>
        <w:tc>
          <w:tcPr>
            <w:tcW w:w="2586" w:type="pct"/>
          </w:tcPr>
          <w:p w14:paraId="420F8596">
            <w:pPr>
              <w:spacing w:line="360" w:lineRule="exact"/>
              <w:ind w:firstLine="0" w:firstLineChars="0"/>
              <w:jc w:val="center"/>
              <w:rPr>
                <w:sz w:val="21"/>
                <w:szCs w:val="21"/>
              </w:rPr>
            </w:pPr>
            <w:r>
              <w:rPr>
                <w:sz w:val="21"/>
                <w:szCs w:val="21"/>
              </w:rPr>
              <w:t>1.0</w:t>
            </w:r>
          </w:p>
        </w:tc>
      </w:tr>
      <w:tr w14:paraId="7F91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44" w:type="pct"/>
          </w:tcPr>
          <w:p w14:paraId="445FD8B2">
            <w:pPr>
              <w:spacing w:line="360" w:lineRule="exact"/>
              <w:ind w:firstLine="0" w:firstLineChars="0"/>
              <w:jc w:val="center"/>
              <w:rPr>
                <w:sz w:val="21"/>
                <w:szCs w:val="21"/>
              </w:rPr>
            </w:pPr>
            <w:r>
              <w:rPr>
                <w:sz w:val="21"/>
                <w:szCs w:val="21"/>
              </w:rPr>
              <w:t>10</w:t>
            </w:r>
          </w:p>
        </w:tc>
        <w:tc>
          <w:tcPr>
            <w:tcW w:w="1569" w:type="pct"/>
          </w:tcPr>
          <w:p w14:paraId="2C0909D2">
            <w:pPr>
              <w:spacing w:line="360" w:lineRule="exact"/>
              <w:ind w:firstLine="0" w:firstLineChars="0"/>
              <w:jc w:val="center"/>
              <w:rPr>
                <w:rFonts w:cs="宋体"/>
                <w:sz w:val="21"/>
                <w:szCs w:val="21"/>
              </w:rPr>
            </w:pPr>
            <w:r>
              <w:rPr>
                <w:rFonts w:cs="宋体"/>
                <w:sz w:val="21"/>
                <w:szCs w:val="21"/>
              </w:rPr>
              <w:t>滴滴涕</w:t>
            </w:r>
          </w:p>
        </w:tc>
        <w:tc>
          <w:tcPr>
            <w:tcW w:w="2586" w:type="pct"/>
          </w:tcPr>
          <w:p w14:paraId="71CA7901">
            <w:pPr>
              <w:spacing w:line="360" w:lineRule="exact"/>
              <w:ind w:firstLine="0" w:firstLineChars="0"/>
              <w:jc w:val="center"/>
              <w:rPr>
                <w:sz w:val="21"/>
                <w:szCs w:val="21"/>
              </w:rPr>
            </w:pPr>
            <w:r>
              <w:rPr>
                <w:sz w:val="21"/>
                <w:szCs w:val="21"/>
              </w:rPr>
              <w:t>1.0</w:t>
            </w:r>
          </w:p>
        </w:tc>
      </w:tr>
    </w:tbl>
    <w:p w14:paraId="7B854ABC">
      <w:pPr>
        <w:pStyle w:val="6"/>
        <w:ind w:firstLine="482"/>
      </w:pPr>
      <w:r>
        <w:rPr>
          <w:rFonts w:hint="eastAsia"/>
        </w:rPr>
        <w:t>2.5.2.2污染物排放标准</w:t>
      </w:r>
    </w:p>
    <w:p w14:paraId="439105CF">
      <w:pPr>
        <w:ind w:firstLine="480"/>
      </w:pPr>
      <w:r>
        <w:rPr>
          <w:rFonts w:hint="eastAsia"/>
        </w:rPr>
        <w:t>（1）废气</w:t>
      </w:r>
    </w:p>
    <w:p w14:paraId="2D98A540">
      <w:pPr>
        <w:ind w:firstLine="480"/>
      </w:pPr>
      <w:r>
        <w:rPr>
          <w:rFonts w:hint="eastAsia"/>
        </w:rPr>
        <w:t>①施工期</w:t>
      </w:r>
    </w:p>
    <w:p w14:paraId="540853ED">
      <w:pPr>
        <w:ind w:firstLine="480"/>
      </w:pPr>
      <w:r>
        <w:rPr>
          <w:rFonts w:hint="eastAsia"/>
        </w:rPr>
        <w:t>项目施工期施工场地扬尘排放执行《大气污染物综合排放标准》（GB16297-1996）表2中无组织排放监控浓度限值（周界外浓度最高点≤1.0mg/m</w:t>
      </w:r>
      <w:r>
        <w:rPr>
          <w:rFonts w:hint="eastAsia"/>
          <w:vertAlign w:val="superscript"/>
        </w:rPr>
        <w:t>3</w:t>
      </w:r>
      <w:r>
        <w:rPr>
          <w:rFonts w:hint="eastAsia"/>
        </w:rPr>
        <w:t>）。</w:t>
      </w:r>
    </w:p>
    <w:p w14:paraId="5E889678">
      <w:pPr>
        <w:ind w:firstLine="480"/>
      </w:pPr>
      <w:r>
        <w:rPr>
          <w:rFonts w:hint="eastAsia"/>
        </w:rPr>
        <w:t>②运营期</w:t>
      </w:r>
    </w:p>
    <w:p w14:paraId="39015E99">
      <w:pPr>
        <w:ind w:firstLine="480"/>
      </w:pPr>
      <w:r>
        <w:rPr>
          <w:rFonts w:hint="eastAsia"/>
        </w:rPr>
        <w:t>养殖场界恶臭污染物排放标准执行《恶臭污染物排放标准》（GB14554-1993）表1恶臭污染物厂界标准二级标准；臭气浓度无组织排放执行《畜禽养殖业污染物排放标准》（GB18596-2001）中集约化畜禽养殖业恶臭污染物排放标准；</w:t>
      </w:r>
    </w:p>
    <w:p w14:paraId="0496E7BB">
      <w:pPr>
        <w:ind w:firstLine="480"/>
      </w:pPr>
      <w:r>
        <w:rPr>
          <w:rFonts w:hint="eastAsia"/>
        </w:rPr>
        <w:t>大气污染物排放限值见表2.5-7。</w:t>
      </w:r>
    </w:p>
    <w:p w14:paraId="2C44A3BD">
      <w:pPr>
        <w:pStyle w:val="11"/>
      </w:pPr>
      <w:r>
        <w:rPr>
          <w:rFonts w:hint="eastAsia"/>
        </w:rPr>
        <w:t>表2.5-7大气污染物排放限值</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3826"/>
        <w:gridCol w:w="2746"/>
      </w:tblGrid>
      <w:tr w14:paraId="24D2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Merge w:val="restart"/>
            <w:vAlign w:val="center"/>
          </w:tcPr>
          <w:p w14:paraId="604A42FB">
            <w:pPr>
              <w:spacing w:line="240" w:lineRule="auto"/>
              <w:ind w:firstLine="0" w:firstLineChars="0"/>
              <w:jc w:val="center"/>
              <w:rPr>
                <w:sz w:val="21"/>
                <w:szCs w:val="21"/>
              </w:rPr>
            </w:pPr>
            <w:r>
              <w:rPr>
                <w:rFonts w:hint="eastAsia"/>
                <w:sz w:val="21"/>
                <w:szCs w:val="21"/>
              </w:rPr>
              <w:t>污染物种类</w:t>
            </w:r>
          </w:p>
        </w:tc>
        <w:tc>
          <w:tcPr>
            <w:tcW w:w="3855" w:type="pct"/>
            <w:gridSpan w:val="2"/>
            <w:vAlign w:val="center"/>
          </w:tcPr>
          <w:p w14:paraId="1BF86F4D">
            <w:pPr>
              <w:spacing w:line="240" w:lineRule="auto"/>
              <w:ind w:firstLine="0" w:firstLineChars="0"/>
              <w:jc w:val="center"/>
              <w:rPr>
                <w:sz w:val="21"/>
                <w:szCs w:val="21"/>
              </w:rPr>
            </w:pPr>
            <w:r>
              <w:rPr>
                <w:rFonts w:hint="eastAsia"/>
                <w:sz w:val="21"/>
                <w:szCs w:val="21"/>
              </w:rPr>
              <w:t>国家或地方污染物排放标准</w:t>
            </w:r>
          </w:p>
        </w:tc>
      </w:tr>
      <w:tr w14:paraId="0C40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continue"/>
            <w:vAlign w:val="center"/>
          </w:tcPr>
          <w:p w14:paraId="407D351A">
            <w:pPr>
              <w:spacing w:line="240" w:lineRule="auto"/>
              <w:ind w:firstLine="0" w:firstLineChars="0"/>
              <w:jc w:val="center"/>
              <w:rPr>
                <w:sz w:val="21"/>
                <w:szCs w:val="21"/>
              </w:rPr>
            </w:pPr>
          </w:p>
        </w:tc>
        <w:tc>
          <w:tcPr>
            <w:tcW w:w="2244" w:type="pct"/>
            <w:vAlign w:val="center"/>
          </w:tcPr>
          <w:p w14:paraId="1E6AEC0E">
            <w:pPr>
              <w:spacing w:line="240" w:lineRule="auto"/>
              <w:ind w:firstLine="0" w:firstLineChars="0"/>
              <w:jc w:val="center"/>
              <w:rPr>
                <w:sz w:val="21"/>
                <w:szCs w:val="21"/>
              </w:rPr>
            </w:pPr>
            <w:r>
              <w:rPr>
                <w:rFonts w:hint="eastAsia"/>
                <w:sz w:val="21"/>
                <w:szCs w:val="21"/>
              </w:rPr>
              <w:t>名称</w:t>
            </w:r>
          </w:p>
        </w:tc>
        <w:tc>
          <w:tcPr>
            <w:tcW w:w="1610" w:type="pct"/>
            <w:vAlign w:val="center"/>
          </w:tcPr>
          <w:p w14:paraId="06EEA51D">
            <w:pPr>
              <w:spacing w:line="240" w:lineRule="auto"/>
              <w:ind w:firstLine="0" w:firstLineChars="0"/>
              <w:jc w:val="center"/>
              <w:rPr>
                <w:sz w:val="21"/>
                <w:szCs w:val="21"/>
              </w:rPr>
            </w:pPr>
            <w:r>
              <w:rPr>
                <w:rFonts w:hint="eastAsia"/>
                <w:sz w:val="21"/>
                <w:szCs w:val="21"/>
              </w:rPr>
              <w:t>浓度限值（mg/m</w:t>
            </w:r>
            <w:r>
              <w:rPr>
                <w:rFonts w:hint="eastAsia"/>
                <w:sz w:val="21"/>
                <w:szCs w:val="21"/>
                <w:vertAlign w:val="superscript"/>
              </w:rPr>
              <w:t>3</w:t>
            </w:r>
            <w:r>
              <w:rPr>
                <w:rFonts w:hint="eastAsia"/>
                <w:sz w:val="21"/>
                <w:szCs w:val="21"/>
              </w:rPr>
              <w:t>）</w:t>
            </w:r>
          </w:p>
        </w:tc>
      </w:tr>
      <w:tr w14:paraId="168B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14:paraId="342BAE48">
            <w:pPr>
              <w:spacing w:line="240" w:lineRule="auto"/>
              <w:ind w:firstLine="0" w:firstLineChars="0"/>
              <w:jc w:val="center"/>
              <w:rPr>
                <w:sz w:val="21"/>
                <w:szCs w:val="21"/>
              </w:rPr>
            </w:pPr>
            <w:r>
              <w:rPr>
                <w:rFonts w:hint="eastAsia"/>
                <w:sz w:val="21"/>
                <w:szCs w:val="21"/>
              </w:rPr>
              <w:t>臭气浓度</w:t>
            </w:r>
          </w:p>
        </w:tc>
        <w:tc>
          <w:tcPr>
            <w:tcW w:w="2244" w:type="pct"/>
            <w:vAlign w:val="center"/>
          </w:tcPr>
          <w:p w14:paraId="0AC9C3AC">
            <w:pPr>
              <w:spacing w:line="240" w:lineRule="auto"/>
              <w:ind w:firstLine="0" w:firstLineChars="0"/>
              <w:jc w:val="center"/>
              <w:rPr>
                <w:sz w:val="21"/>
                <w:szCs w:val="21"/>
              </w:rPr>
            </w:pPr>
            <w:r>
              <w:rPr>
                <w:rFonts w:hint="eastAsia"/>
                <w:sz w:val="21"/>
                <w:szCs w:val="21"/>
              </w:rPr>
              <w:t>《畜禽养殖业污染物排放标准》（GB18596-2001）表7中的标准</w:t>
            </w:r>
          </w:p>
        </w:tc>
        <w:tc>
          <w:tcPr>
            <w:tcW w:w="1610" w:type="pct"/>
            <w:vAlign w:val="center"/>
          </w:tcPr>
          <w:p w14:paraId="796443D8">
            <w:pPr>
              <w:spacing w:line="240" w:lineRule="auto"/>
              <w:ind w:firstLine="0" w:firstLineChars="0"/>
              <w:jc w:val="center"/>
              <w:rPr>
                <w:sz w:val="21"/>
                <w:szCs w:val="21"/>
              </w:rPr>
            </w:pPr>
            <w:r>
              <w:rPr>
                <w:rFonts w:hint="eastAsia"/>
                <w:sz w:val="21"/>
                <w:szCs w:val="21"/>
              </w:rPr>
              <w:t>70（无量纲）</w:t>
            </w:r>
          </w:p>
        </w:tc>
      </w:tr>
      <w:tr w14:paraId="6D48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14:paraId="08C5593C">
            <w:pPr>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r>
              <w:rPr>
                <w:rFonts w:hint="eastAsia"/>
                <w:sz w:val="21"/>
                <w:szCs w:val="21"/>
              </w:rPr>
              <w:t>（厂界）</w:t>
            </w:r>
          </w:p>
        </w:tc>
        <w:tc>
          <w:tcPr>
            <w:tcW w:w="2244" w:type="pct"/>
            <w:vMerge w:val="restart"/>
            <w:vAlign w:val="center"/>
          </w:tcPr>
          <w:p w14:paraId="15FD0CCB">
            <w:pPr>
              <w:spacing w:line="240" w:lineRule="auto"/>
              <w:ind w:firstLine="420"/>
              <w:jc w:val="center"/>
              <w:rPr>
                <w:sz w:val="21"/>
                <w:szCs w:val="21"/>
              </w:rPr>
            </w:pPr>
            <w:r>
              <w:rPr>
                <w:rFonts w:hint="eastAsia"/>
                <w:sz w:val="21"/>
                <w:szCs w:val="21"/>
              </w:rPr>
              <w:t>《恶臭污染物排放标准》（GB14554-1993）表1中二级新改扩建标准</w:t>
            </w:r>
          </w:p>
        </w:tc>
        <w:tc>
          <w:tcPr>
            <w:tcW w:w="1610" w:type="pct"/>
            <w:vAlign w:val="center"/>
          </w:tcPr>
          <w:p w14:paraId="27E091DA">
            <w:pPr>
              <w:spacing w:line="240" w:lineRule="auto"/>
              <w:ind w:firstLine="0" w:firstLineChars="0"/>
              <w:jc w:val="center"/>
              <w:rPr>
                <w:sz w:val="21"/>
                <w:szCs w:val="21"/>
              </w:rPr>
            </w:pPr>
            <w:r>
              <w:rPr>
                <w:rFonts w:hint="eastAsia"/>
                <w:sz w:val="21"/>
                <w:szCs w:val="21"/>
              </w:rPr>
              <w:t>0.06</w:t>
            </w:r>
          </w:p>
        </w:tc>
      </w:tr>
      <w:tr w14:paraId="3353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14:paraId="03A64C9D">
            <w:pPr>
              <w:spacing w:line="240" w:lineRule="auto"/>
              <w:ind w:firstLine="0" w:firstLineChars="0"/>
              <w:jc w:val="center"/>
              <w:rPr>
                <w:sz w:val="21"/>
                <w:szCs w:val="21"/>
              </w:rPr>
            </w:pPr>
            <w:r>
              <w:rPr>
                <w:sz w:val="21"/>
                <w:szCs w:val="21"/>
              </w:rPr>
              <w:t>NH</w:t>
            </w:r>
            <w:r>
              <w:rPr>
                <w:sz w:val="21"/>
                <w:szCs w:val="21"/>
                <w:vertAlign w:val="subscript"/>
              </w:rPr>
              <w:t>3</w:t>
            </w:r>
            <w:r>
              <w:rPr>
                <w:rFonts w:hint="eastAsia"/>
                <w:sz w:val="21"/>
                <w:szCs w:val="21"/>
              </w:rPr>
              <w:t>（厂界）</w:t>
            </w:r>
          </w:p>
        </w:tc>
        <w:tc>
          <w:tcPr>
            <w:tcW w:w="2244" w:type="pct"/>
            <w:vMerge w:val="continue"/>
            <w:vAlign w:val="center"/>
          </w:tcPr>
          <w:p w14:paraId="1DD5C907">
            <w:pPr>
              <w:spacing w:line="240" w:lineRule="auto"/>
              <w:ind w:firstLine="420"/>
              <w:jc w:val="center"/>
              <w:rPr>
                <w:sz w:val="21"/>
                <w:szCs w:val="21"/>
              </w:rPr>
            </w:pPr>
          </w:p>
        </w:tc>
        <w:tc>
          <w:tcPr>
            <w:tcW w:w="1610" w:type="pct"/>
            <w:vAlign w:val="center"/>
          </w:tcPr>
          <w:p w14:paraId="2D8DC88B">
            <w:pPr>
              <w:spacing w:line="240" w:lineRule="auto"/>
              <w:ind w:firstLine="0" w:firstLineChars="0"/>
              <w:jc w:val="center"/>
              <w:rPr>
                <w:sz w:val="21"/>
                <w:szCs w:val="21"/>
              </w:rPr>
            </w:pPr>
            <w:r>
              <w:rPr>
                <w:rFonts w:hint="eastAsia"/>
                <w:sz w:val="21"/>
                <w:szCs w:val="21"/>
              </w:rPr>
              <w:t>1.5</w:t>
            </w:r>
          </w:p>
        </w:tc>
      </w:tr>
    </w:tbl>
    <w:p w14:paraId="1B415FAA">
      <w:pPr>
        <w:ind w:firstLine="480"/>
      </w:pPr>
      <w:r>
        <w:rPr>
          <w:rFonts w:hint="eastAsia"/>
        </w:rPr>
        <w:t>（2）废水污染物排放标准</w:t>
      </w:r>
    </w:p>
    <w:p w14:paraId="35FFB63B">
      <w:pPr>
        <w:ind w:firstLine="480"/>
        <w:rPr>
          <w:rFonts w:hint="eastAsia" w:eastAsia="宋体"/>
          <w:lang w:eastAsia="zh-CN"/>
        </w:rPr>
      </w:pPr>
      <w:r>
        <w:rPr>
          <w:rFonts w:hint="eastAsia"/>
          <w:lang w:val="en-US" w:eastAsia="zh-CN"/>
        </w:rPr>
        <w:t>渗滤液同</w:t>
      </w:r>
      <w:r>
        <w:t>生活污水</w:t>
      </w:r>
      <w:r>
        <w:rPr>
          <w:rFonts w:hint="eastAsia"/>
        </w:rPr>
        <w:t>排入防渗化粪池，由木垒县</w:t>
      </w:r>
      <w:r>
        <w:t>城污水处理厂</w:t>
      </w:r>
      <w:r>
        <w:rPr>
          <w:rFonts w:hint="eastAsia"/>
        </w:rPr>
        <w:t>处理</w:t>
      </w:r>
      <w:r>
        <w:t>；</w:t>
      </w:r>
      <w:r>
        <w:rPr>
          <w:rFonts w:hint="eastAsia"/>
        </w:rPr>
        <w:t>出水水质达到《污水综合排放标准》（GB8978-1996）三级标准</w:t>
      </w:r>
      <w:r>
        <w:rPr>
          <w:rFonts w:hint="eastAsia"/>
          <w:lang w:eastAsia="zh-CN"/>
        </w:rPr>
        <w:t>。</w:t>
      </w:r>
    </w:p>
    <w:p w14:paraId="2DFEB520">
      <w:pPr>
        <w:ind w:firstLine="480"/>
      </w:pPr>
      <w:r>
        <w:rPr>
          <w:rFonts w:hint="eastAsia"/>
        </w:rPr>
        <w:t>（3）噪声排放标准</w:t>
      </w:r>
    </w:p>
    <w:p w14:paraId="1F774F3D">
      <w:pPr>
        <w:ind w:firstLine="480"/>
      </w:pPr>
      <w:r>
        <w:rPr>
          <w:rFonts w:hint="eastAsia"/>
        </w:rPr>
        <w:t>本项目运营期厂界噪声排放执行《工业企业厂界环境噪声排放标准》（GB12348-2008）2类标准；建设期施工噪声排放执行《建筑施工厂界环境噪声排放标准》（GB12523-2011）。标准限值见表2.5-8。</w:t>
      </w:r>
    </w:p>
    <w:p w14:paraId="3F279CFE">
      <w:pPr>
        <w:pStyle w:val="11"/>
      </w:pPr>
      <w:r>
        <w:rPr>
          <w:rFonts w:hint="eastAsia"/>
        </w:rPr>
        <w:t>表2.5-8噪声排放标准单位：dB（A）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378"/>
        <w:gridCol w:w="3458"/>
        <w:gridCol w:w="1231"/>
        <w:gridCol w:w="1231"/>
      </w:tblGrid>
      <w:tr w14:paraId="5E37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restart"/>
            <w:vAlign w:val="center"/>
          </w:tcPr>
          <w:p w14:paraId="6DBEA133">
            <w:pPr>
              <w:spacing w:line="240" w:lineRule="auto"/>
              <w:ind w:firstLine="0" w:firstLineChars="0"/>
              <w:jc w:val="center"/>
              <w:rPr>
                <w:sz w:val="21"/>
                <w:szCs w:val="21"/>
              </w:rPr>
            </w:pPr>
            <w:r>
              <w:rPr>
                <w:rFonts w:hint="eastAsia"/>
                <w:sz w:val="21"/>
                <w:szCs w:val="21"/>
              </w:rPr>
              <w:t>排放口/源名称</w:t>
            </w:r>
          </w:p>
        </w:tc>
        <w:tc>
          <w:tcPr>
            <w:tcW w:w="808" w:type="pct"/>
            <w:vMerge w:val="restart"/>
            <w:vAlign w:val="center"/>
          </w:tcPr>
          <w:p w14:paraId="453B1511">
            <w:pPr>
              <w:spacing w:line="240" w:lineRule="auto"/>
              <w:ind w:firstLine="0" w:firstLineChars="0"/>
              <w:jc w:val="center"/>
              <w:rPr>
                <w:sz w:val="21"/>
                <w:szCs w:val="21"/>
              </w:rPr>
            </w:pPr>
            <w:r>
              <w:rPr>
                <w:rFonts w:hint="eastAsia"/>
                <w:sz w:val="21"/>
                <w:szCs w:val="21"/>
              </w:rPr>
              <w:t>污染物种类</w:t>
            </w:r>
          </w:p>
        </w:tc>
        <w:tc>
          <w:tcPr>
            <w:tcW w:w="3472" w:type="pct"/>
            <w:gridSpan w:val="3"/>
            <w:vAlign w:val="center"/>
          </w:tcPr>
          <w:p w14:paraId="06A40A9D">
            <w:pPr>
              <w:spacing w:line="240" w:lineRule="auto"/>
              <w:ind w:firstLine="0" w:firstLineChars="0"/>
              <w:jc w:val="center"/>
              <w:rPr>
                <w:sz w:val="21"/>
                <w:szCs w:val="21"/>
              </w:rPr>
            </w:pPr>
            <w:r>
              <w:rPr>
                <w:rFonts w:hint="eastAsia"/>
                <w:sz w:val="21"/>
                <w:szCs w:val="21"/>
              </w:rPr>
              <w:t>国家或地方污染物排放标准</w:t>
            </w:r>
          </w:p>
        </w:tc>
      </w:tr>
      <w:tr w14:paraId="0082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18" w:type="pct"/>
            <w:vMerge w:val="continue"/>
            <w:vAlign w:val="center"/>
          </w:tcPr>
          <w:p w14:paraId="22FBDDC5">
            <w:pPr>
              <w:spacing w:line="240" w:lineRule="auto"/>
              <w:ind w:firstLine="0" w:firstLineChars="0"/>
              <w:jc w:val="center"/>
              <w:rPr>
                <w:sz w:val="21"/>
                <w:szCs w:val="21"/>
              </w:rPr>
            </w:pPr>
          </w:p>
        </w:tc>
        <w:tc>
          <w:tcPr>
            <w:tcW w:w="808" w:type="pct"/>
            <w:vMerge w:val="continue"/>
            <w:vAlign w:val="center"/>
          </w:tcPr>
          <w:p w14:paraId="3377886A">
            <w:pPr>
              <w:spacing w:line="240" w:lineRule="auto"/>
              <w:ind w:firstLine="0" w:firstLineChars="0"/>
              <w:jc w:val="center"/>
              <w:rPr>
                <w:sz w:val="21"/>
                <w:szCs w:val="21"/>
              </w:rPr>
            </w:pPr>
          </w:p>
        </w:tc>
        <w:tc>
          <w:tcPr>
            <w:tcW w:w="2028" w:type="pct"/>
            <w:vMerge w:val="restart"/>
            <w:vAlign w:val="center"/>
          </w:tcPr>
          <w:p w14:paraId="0BB906AE">
            <w:pPr>
              <w:spacing w:line="240" w:lineRule="auto"/>
              <w:ind w:firstLine="0" w:firstLineChars="0"/>
              <w:jc w:val="center"/>
              <w:rPr>
                <w:sz w:val="21"/>
                <w:szCs w:val="21"/>
              </w:rPr>
            </w:pPr>
            <w:r>
              <w:rPr>
                <w:rFonts w:hint="eastAsia"/>
                <w:sz w:val="21"/>
                <w:szCs w:val="21"/>
              </w:rPr>
              <w:t>名称</w:t>
            </w:r>
          </w:p>
        </w:tc>
        <w:tc>
          <w:tcPr>
            <w:tcW w:w="1444" w:type="pct"/>
            <w:gridSpan w:val="2"/>
            <w:vAlign w:val="center"/>
          </w:tcPr>
          <w:p w14:paraId="5441EF37">
            <w:pPr>
              <w:spacing w:line="240" w:lineRule="auto"/>
              <w:ind w:firstLine="0" w:firstLineChars="0"/>
              <w:jc w:val="center"/>
              <w:rPr>
                <w:sz w:val="21"/>
                <w:szCs w:val="21"/>
              </w:rPr>
            </w:pPr>
            <w:r>
              <w:rPr>
                <w:rFonts w:hint="eastAsia"/>
                <w:sz w:val="21"/>
                <w:szCs w:val="21"/>
              </w:rPr>
              <w:t>标准限值</w:t>
            </w:r>
          </w:p>
        </w:tc>
      </w:tr>
      <w:tr w14:paraId="2548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18" w:type="pct"/>
            <w:vMerge w:val="continue"/>
            <w:vAlign w:val="center"/>
          </w:tcPr>
          <w:p w14:paraId="3C7F690B">
            <w:pPr>
              <w:spacing w:line="240" w:lineRule="auto"/>
              <w:ind w:firstLine="0" w:firstLineChars="0"/>
              <w:jc w:val="center"/>
              <w:rPr>
                <w:sz w:val="21"/>
                <w:szCs w:val="21"/>
              </w:rPr>
            </w:pPr>
          </w:p>
        </w:tc>
        <w:tc>
          <w:tcPr>
            <w:tcW w:w="808" w:type="pct"/>
            <w:vMerge w:val="continue"/>
            <w:vAlign w:val="center"/>
          </w:tcPr>
          <w:p w14:paraId="7EEDA43C">
            <w:pPr>
              <w:spacing w:line="240" w:lineRule="auto"/>
              <w:ind w:firstLine="0" w:firstLineChars="0"/>
              <w:jc w:val="center"/>
              <w:rPr>
                <w:sz w:val="21"/>
                <w:szCs w:val="21"/>
              </w:rPr>
            </w:pPr>
          </w:p>
        </w:tc>
        <w:tc>
          <w:tcPr>
            <w:tcW w:w="2028" w:type="pct"/>
            <w:vMerge w:val="continue"/>
            <w:vAlign w:val="center"/>
          </w:tcPr>
          <w:p w14:paraId="7DC283E9">
            <w:pPr>
              <w:spacing w:line="240" w:lineRule="auto"/>
              <w:ind w:firstLine="0" w:firstLineChars="0"/>
              <w:jc w:val="center"/>
              <w:rPr>
                <w:sz w:val="21"/>
                <w:szCs w:val="21"/>
              </w:rPr>
            </w:pPr>
          </w:p>
        </w:tc>
        <w:tc>
          <w:tcPr>
            <w:tcW w:w="722" w:type="pct"/>
            <w:vAlign w:val="center"/>
          </w:tcPr>
          <w:p w14:paraId="2A4B7410">
            <w:pPr>
              <w:spacing w:line="240" w:lineRule="auto"/>
              <w:ind w:firstLine="0" w:firstLineChars="0"/>
              <w:jc w:val="center"/>
              <w:rPr>
                <w:sz w:val="21"/>
                <w:szCs w:val="21"/>
              </w:rPr>
            </w:pPr>
            <w:r>
              <w:rPr>
                <w:rFonts w:hint="eastAsia"/>
                <w:sz w:val="21"/>
                <w:szCs w:val="21"/>
              </w:rPr>
              <w:t>昼间</w:t>
            </w:r>
          </w:p>
        </w:tc>
        <w:tc>
          <w:tcPr>
            <w:tcW w:w="722" w:type="pct"/>
            <w:vAlign w:val="center"/>
          </w:tcPr>
          <w:p w14:paraId="2BB04B60">
            <w:pPr>
              <w:spacing w:line="240" w:lineRule="auto"/>
              <w:ind w:firstLine="0" w:firstLineChars="0"/>
              <w:jc w:val="center"/>
              <w:rPr>
                <w:sz w:val="21"/>
                <w:szCs w:val="21"/>
              </w:rPr>
            </w:pPr>
            <w:r>
              <w:rPr>
                <w:rFonts w:hint="eastAsia"/>
                <w:sz w:val="21"/>
                <w:szCs w:val="21"/>
              </w:rPr>
              <w:t>夜间</w:t>
            </w:r>
          </w:p>
        </w:tc>
      </w:tr>
      <w:tr w14:paraId="70D2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18" w:type="pct"/>
            <w:vMerge w:val="restart"/>
            <w:tcBorders>
              <w:bottom w:val="single" w:color="auto" w:sz="4" w:space="0"/>
            </w:tcBorders>
            <w:vAlign w:val="center"/>
          </w:tcPr>
          <w:p w14:paraId="6860116B">
            <w:pPr>
              <w:spacing w:line="240" w:lineRule="auto"/>
              <w:ind w:firstLine="0" w:firstLineChars="0"/>
              <w:jc w:val="center"/>
              <w:rPr>
                <w:sz w:val="21"/>
                <w:szCs w:val="21"/>
              </w:rPr>
            </w:pPr>
            <w:r>
              <w:rPr>
                <w:rFonts w:hint="eastAsia"/>
                <w:sz w:val="21"/>
                <w:szCs w:val="21"/>
              </w:rPr>
              <w:t>厂界噪声</w:t>
            </w:r>
          </w:p>
        </w:tc>
        <w:tc>
          <w:tcPr>
            <w:tcW w:w="808" w:type="pct"/>
            <w:vAlign w:val="center"/>
          </w:tcPr>
          <w:p w14:paraId="4889242A">
            <w:pPr>
              <w:spacing w:line="240" w:lineRule="auto"/>
              <w:ind w:firstLine="0" w:firstLineChars="0"/>
              <w:jc w:val="center"/>
              <w:rPr>
                <w:sz w:val="21"/>
                <w:szCs w:val="21"/>
              </w:rPr>
            </w:pPr>
            <w:r>
              <w:rPr>
                <w:rFonts w:hint="eastAsia"/>
                <w:sz w:val="21"/>
                <w:szCs w:val="21"/>
              </w:rPr>
              <w:t>噪声</w:t>
            </w:r>
          </w:p>
        </w:tc>
        <w:tc>
          <w:tcPr>
            <w:tcW w:w="2028" w:type="pct"/>
            <w:tcBorders>
              <w:bottom w:val="single" w:color="auto" w:sz="4" w:space="0"/>
            </w:tcBorders>
            <w:vAlign w:val="center"/>
          </w:tcPr>
          <w:p w14:paraId="503D477B">
            <w:pPr>
              <w:spacing w:line="240" w:lineRule="auto"/>
              <w:ind w:firstLine="0" w:firstLineChars="0"/>
              <w:jc w:val="center"/>
              <w:rPr>
                <w:sz w:val="21"/>
                <w:szCs w:val="21"/>
              </w:rPr>
            </w:pPr>
            <w:r>
              <w:rPr>
                <w:rFonts w:hint="eastAsia"/>
                <w:sz w:val="21"/>
                <w:szCs w:val="21"/>
              </w:rPr>
              <w:t>《建筑施工场界环境噪声排放标准》（GB12523-2011）</w:t>
            </w:r>
          </w:p>
        </w:tc>
        <w:tc>
          <w:tcPr>
            <w:tcW w:w="722" w:type="pct"/>
            <w:tcBorders>
              <w:bottom w:val="single" w:color="auto" w:sz="4" w:space="0"/>
            </w:tcBorders>
            <w:vAlign w:val="center"/>
          </w:tcPr>
          <w:p w14:paraId="59EC2CEC">
            <w:pPr>
              <w:spacing w:line="240" w:lineRule="auto"/>
              <w:ind w:firstLine="0" w:firstLineChars="0"/>
              <w:jc w:val="center"/>
              <w:rPr>
                <w:sz w:val="21"/>
                <w:szCs w:val="21"/>
              </w:rPr>
            </w:pPr>
            <w:r>
              <w:rPr>
                <w:rFonts w:hint="eastAsia"/>
                <w:sz w:val="21"/>
                <w:szCs w:val="21"/>
              </w:rPr>
              <w:t>70</w:t>
            </w:r>
          </w:p>
        </w:tc>
        <w:tc>
          <w:tcPr>
            <w:tcW w:w="722" w:type="pct"/>
            <w:tcBorders>
              <w:bottom w:val="single" w:color="auto" w:sz="4" w:space="0"/>
            </w:tcBorders>
            <w:vAlign w:val="center"/>
          </w:tcPr>
          <w:p w14:paraId="54844182">
            <w:pPr>
              <w:spacing w:line="240" w:lineRule="auto"/>
              <w:ind w:firstLine="0" w:firstLineChars="0"/>
              <w:jc w:val="center"/>
              <w:rPr>
                <w:sz w:val="21"/>
                <w:szCs w:val="21"/>
              </w:rPr>
            </w:pPr>
            <w:r>
              <w:rPr>
                <w:rFonts w:hint="eastAsia"/>
                <w:sz w:val="21"/>
                <w:szCs w:val="21"/>
              </w:rPr>
              <w:t>60</w:t>
            </w:r>
          </w:p>
        </w:tc>
      </w:tr>
      <w:tr w14:paraId="7937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pct"/>
            <w:vMerge w:val="continue"/>
            <w:vAlign w:val="center"/>
          </w:tcPr>
          <w:p w14:paraId="448A81F5">
            <w:pPr>
              <w:spacing w:line="240" w:lineRule="auto"/>
              <w:ind w:firstLine="0" w:firstLineChars="0"/>
              <w:jc w:val="center"/>
              <w:rPr>
                <w:sz w:val="21"/>
                <w:szCs w:val="21"/>
              </w:rPr>
            </w:pPr>
          </w:p>
        </w:tc>
        <w:tc>
          <w:tcPr>
            <w:tcW w:w="808" w:type="pct"/>
            <w:vAlign w:val="center"/>
          </w:tcPr>
          <w:p w14:paraId="10A85B44">
            <w:pPr>
              <w:spacing w:line="240" w:lineRule="auto"/>
              <w:ind w:firstLine="0" w:firstLineChars="0"/>
              <w:jc w:val="center"/>
              <w:rPr>
                <w:sz w:val="21"/>
                <w:szCs w:val="21"/>
              </w:rPr>
            </w:pPr>
            <w:r>
              <w:rPr>
                <w:rFonts w:hint="eastAsia"/>
                <w:sz w:val="21"/>
                <w:szCs w:val="21"/>
              </w:rPr>
              <w:t>噪声</w:t>
            </w:r>
          </w:p>
        </w:tc>
        <w:tc>
          <w:tcPr>
            <w:tcW w:w="2028" w:type="pct"/>
            <w:vAlign w:val="center"/>
          </w:tcPr>
          <w:p w14:paraId="25C1E937">
            <w:pPr>
              <w:spacing w:line="240" w:lineRule="auto"/>
              <w:ind w:firstLine="0" w:firstLineChars="0"/>
              <w:jc w:val="center"/>
              <w:rPr>
                <w:sz w:val="21"/>
                <w:szCs w:val="21"/>
              </w:rPr>
            </w:pPr>
            <w:r>
              <w:rPr>
                <w:rFonts w:hint="eastAsia"/>
                <w:sz w:val="21"/>
                <w:szCs w:val="21"/>
              </w:rPr>
              <w:t>《工业企业厂界环境噪声排放标准》（GB12348-2008）中2类标准</w:t>
            </w:r>
          </w:p>
        </w:tc>
        <w:tc>
          <w:tcPr>
            <w:tcW w:w="722" w:type="pct"/>
            <w:vAlign w:val="center"/>
          </w:tcPr>
          <w:p w14:paraId="1B1CAE96">
            <w:pPr>
              <w:spacing w:line="240" w:lineRule="auto"/>
              <w:ind w:firstLine="0" w:firstLineChars="0"/>
              <w:jc w:val="center"/>
              <w:rPr>
                <w:sz w:val="21"/>
                <w:szCs w:val="21"/>
              </w:rPr>
            </w:pPr>
            <w:r>
              <w:rPr>
                <w:rFonts w:hint="eastAsia"/>
                <w:sz w:val="21"/>
                <w:szCs w:val="21"/>
              </w:rPr>
              <w:t>60</w:t>
            </w:r>
          </w:p>
        </w:tc>
        <w:tc>
          <w:tcPr>
            <w:tcW w:w="722" w:type="pct"/>
            <w:vAlign w:val="center"/>
          </w:tcPr>
          <w:p w14:paraId="36626E89">
            <w:pPr>
              <w:spacing w:line="240" w:lineRule="auto"/>
              <w:ind w:firstLine="0" w:firstLineChars="0"/>
              <w:jc w:val="center"/>
              <w:rPr>
                <w:sz w:val="21"/>
                <w:szCs w:val="21"/>
              </w:rPr>
            </w:pPr>
            <w:r>
              <w:rPr>
                <w:rFonts w:hint="eastAsia"/>
                <w:sz w:val="21"/>
                <w:szCs w:val="21"/>
              </w:rPr>
              <w:t>50</w:t>
            </w:r>
          </w:p>
        </w:tc>
      </w:tr>
    </w:tbl>
    <w:p w14:paraId="57B3752D">
      <w:pPr>
        <w:ind w:firstLine="480"/>
      </w:pPr>
      <w:r>
        <w:rPr>
          <w:rFonts w:hint="eastAsia"/>
        </w:rPr>
        <w:t>（4）固体废物</w:t>
      </w:r>
    </w:p>
    <w:p w14:paraId="1AA31C30">
      <w:pPr>
        <w:ind w:firstLine="480"/>
      </w:pPr>
      <w:r>
        <w:t>一般工业固体废物执行《一般工业固体废物贮存和填埋污染控制标准》</w:t>
      </w:r>
      <w:r>
        <w:rPr>
          <w:rFonts w:hint="eastAsia"/>
        </w:rPr>
        <w:t>（</w:t>
      </w:r>
      <w:r>
        <w:t>GB18599-2020</w:t>
      </w:r>
      <w:r>
        <w:rPr>
          <w:rFonts w:hint="eastAsia"/>
        </w:rPr>
        <w:t>）</w:t>
      </w:r>
      <w:r>
        <w:t>中有关规定</w:t>
      </w:r>
      <w:r>
        <w:rPr>
          <w:rFonts w:hint="eastAsia"/>
        </w:rPr>
        <w:t>。</w:t>
      </w:r>
      <w:r>
        <w:t>危险废物执行《危险废物贮存污染控制标准》</w:t>
      </w:r>
      <w:r>
        <w:rPr>
          <w:rFonts w:hint="eastAsia"/>
        </w:rPr>
        <w:t>（</w:t>
      </w:r>
      <w:r>
        <w:t>GB18597-</w:t>
      </w:r>
      <w:r>
        <w:rPr>
          <w:rFonts w:hint="eastAsia"/>
        </w:rPr>
        <w:t>2023）</w:t>
      </w:r>
      <w:r>
        <w:t>中要求</w:t>
      </w:r>
      <w:r>
        <w:rPr>
          <w:rFonts w:hint="eastAsia"/>
        </w:rPr>
        <w:t>。</w:t>
      </w:r>
    </w:p>
    <w:p w14:paraId="7E7D12EF">
      <w:pPr>
        <w:ind w:firstLine="480"/>
      </w:pPr>
      <w:r>
        <w:t>病死</w:t>
      </w:r>
      <w:r>
        <w:rPr>
          <w:rFonts w:hint="eastAsia"/>
        </w:rPr>
        <w:t>骆驼</w:t>
      </w:r>
      <w:r>
        <w:t>参照执行《畜禽养殖业污染防治技术规范》</w:t>
      </w:r>
      <w:r>
        <w:rPr>
          <w:rFonts w:hint="eastAsia"/>
        </w:rPr>
        <w:t>（</w:t>
      </w:r>
      <w:r>
        <w:t>HJ/T81-2001</w:t>
      </w:r>
      <w:r>
        <w:rPr>
          <w:rFonts w:hint="eastAsia"/>
        </w:rPr>
        <w:t>）</w:t>
      </w:r>
      <w:r>
        <w:t>和《病死及病害动物无害化处理技术规范》</w:t>
      </w:r>
      <w:r>
        <w:rPr>
          <w:rFonts w:hint="eastAsia"/>
        </w:rPr>
        <w:t>（</w:t>
      </w:r>
      <w:r>
        <w:t>农医发〔2017〕25号</w:t>
      </w:r>
      <w:r>
        <w:rPr>
          <w:rFonts w:hint="eastAsia"/>
        </w:rPr>
        <w:t>）</w:t>
      </w:r>
      <w:r>
        <w:t>中相关规定</w:t>
      </w:r>
      <w:r>
        <w:rPr>
          <w:rFonts w:hint="eastAsia"/>
        </w:rPr>
        <w:t>。</w:t>
      </w:r>
    </w:p>
    <w:p w14:paraId="1F4C4F31">
      <w:pPr>
        <w:pStyle w:val="4"/>
      </w:pPr>
      <w:bookmarkStart w:id="42" w:name="_Toc89619329"/>
      <w:r>
        <w:rPr>
          <w:rFonts w:hint="eastAsia"/>
        </w:rPr>
        <w:t>2.6评价等级及评价范围</w:t>
      </w:r>
      <w:bookmarkEnd w:id="42"/>
    </w:p>
    <w:p w14:paraId="4D86C1B9">
      <w:pPr>
        <w:pStyle w:val="5"/>
      </w:pPr>
      <w:bookmarkStart w:id="43" w:name="_Toc106663442"/>
      <w:r>
        <w:rPr>
          <w:rFonts w:hint="eastAsia"/>
        </w:rPr>
        <w:t>2.6.1评价等级</w:t>
      </w:r>
      <w:bookmarkEnd w:id="43"/>
    </w:p>
    <w:p w14:paraId="45C2B584">
      <w:pPr>
        <w:pStyle w:val="6"/>
        <w:ind w:firstLine="482"/>
      </w:pPr>
      <w:r>
        <w:rPr>
          <w:rFonts w:hint="eastAsia"/>
        </w:rPr>
        <w:t>2.6.1.1大气环境影响评价等级</w:t>
      </w:r>
    </w:p>
    <w:p w14:paraId="59BA6497">
      <w:pPr>
        <w:ind w:firstLine="480"/>
      </w:pPr>
      <w:r>
        <w:rPr>
          <w:rFonts w:hint="eastAsia"/>
        </w:rPr>
        <w:t>（1）判定依据</w:t>
      </w:r>
    </w:p>
    <w:p w14:paraId="5EB1D450">
      <w:pPr>
        <w:ind w:firstLine="480"/>
      </w:pPr>
      <w:r>
        <w:rPr>
          <w:rFonts w:hint="eastAsia"/>
        </w:rPr>
        <w:t>根据《环境影响评价技术导则大气环境》（HJ2.2-2018）中</w:t>
      </w:r>
      <w:r>
        <w:rPr>
          <w:rFonts w:hint="eastAsia"/>
          <w:sz w:val="21"/>
          <w:szCs w:val="21"/>
        </w:rPr>
        <w:t>“</w:t>
      </w:r>
      <w:r>
        <w:rPr>
          <w:rFonts w:hint="eastAsia"/>
        </w:rPr>
        <w:t>5.3评价标准确定”的规定，选择项目污染源正常排放的主要污染物及排放参数，采用附录A推荐模型中估算模型分别计算项目污染源的最大环境影响，然后按评价工作分级判据进行分级。</w:t>
      </w:r>
    </w:p>
    <w:p w14:paraId="672AEAA2">
      <w:pPr>
        <w:ind w:firstLine="480"/>
      </w:pPr>
      <w:r>
        <w:rPr>
          <w:rFonts w:hint="eastAsia"/>
        </w:rPr>
        <w:t>根据项目污染源初步调查结果，计算项目排放主要污染物的最大地面空气质量浓度占标率P</w:t>
      </w:r>
      <w:r>
        <w:rPr>
          <w:rFonts w:hint="eastAsia"/>
          <w:vertAlign w:val="subscript"/>
        </w:rPr>
        <w:t>i</w:t>
      </w:r>
      <w:r>
        <w:rPr>
          <w:rFonts w:hint="eastAsia"/>
        </w:rPr>
        <w:t>。</w:t>
      </w:r>
    </w:p>
    <w:p w14:paraId="7478466E">
      <w:pPr>
        <w:ind w:firstLine="0" w:firstLineChars="0"/>
        <w:jc w:val="center"/>
      </w:pPr>
      <w:r>
        <w:rPr>
          <w:position w:val="-27"/>
        </w:rPr>
        <w:object>
          <v:shape id="_x0000_i1026" o:spt="75" type="#_x0000_t75" style="height:34.3pt;width:88.3pt;" o:ole="t" filled="f" o:preferrelative="t" stroked="f" coordsize="21600,21600">
            <v:path/>
            <v:fill on="f" focussize="0,0"/>
            <v:stroke on="f" joinstyle="miter"/>
            <v:imagedata r:id="rId35" o:title=""/>
            <o:lock v:ext="edit" aspectratio="t"/>
            <w10:wrap type="none"/>
            <w10:anchorlock/>
          </v:shape>
          <o:OLEObject Type="Embed" ProgID="Equation.AxMath" ShapeID="_x0000_i1026" DrawAspect="Content" ObjectID="_1468075725" r:id="rId34">
            <o:LockedField>false</o:LockedField>
          </o:OLEObject>
        </w:object>
      </w:r>
    </w:p>
    <w:p w14:paraId="4532D449">
      <w:pPr>
        <w:ind w:firstLine="0" w:firstLineChars="0"/>
      </w:pPr>
      <w:r>
        <w:rPr>
          <w:rFonts w:hint="eastAsia"/>
        </w:rPr>
        <w:t>式中：P</w:t>
      </w:r>
      <w:r>
        <w:rPr>
          <w:rFonts w:hint="eastAsia"/>
          <w:vertAlign w:val="subscript"/>
        </w:rPr>
        <w:t>i</w:t>
      </w:r>
      <w:r>
        <w:rPr>
          <w:rFonts w:hint="eastAsia"/>
        </w:rPr>
        <w:t>——第i个污染物的最大地面空气质量浓度占标率，%；</w:t>
      </w:r>
    </w:p>
    <w:p w14:paraId="4A06C4C4">
      <w:pPr>
        <w:ind w:firstLine="708" w:firstLineChars="295"/>
      </w:pPr>
      <w:r>
        <w:rPr>
          <w:rFonts w:hint="eastAsia"/>
        </w:rPr>
        <w:t>C</w:t>
      </w:r>
      <w:r>
        <w:rPr>
          <w:rFonts w:hint="eastAsia"/>
          <w:vertAlign w:val="subscript"/>
        </w:rPr>
        <w:t>i</w:t>
      </w:r>
      <w:r>
        <w:rPr>
          <w:rFonts w:hint="eastAsia"/>
        </w:rPr>
        <w:t>——采用估算模型计算出的第i个污染物的最大1h地面空气质量浓度，</w:t>
      </w:r>
      <w:r>
        <w:t>μg/m</w:t>
      </w:r>
      <w:r>
        <w:rPr>
          <w:vertAlign w:val="superscript"/>
        </w:rPr>
        <w:t>3</w:t>
      </w:r>
      <w:r>
        <w:rPr>
          <w:rFonts w:hint="eastAsia"/>
        </w:rPr>
        <w:t>；</w:t>
      </w:r>
    </w:p>
    <w:p w14:paraId="00B781A7">
      <w:pPr>
        <w:ind w:firstLine="708" w:firstLineChars="295"/>
      </w:pPr>
      <w:r>
        <w:rPr>
          <w:rFonts w:hint="eastAsia"/>
        </w:rPr>
        <w:t>C</w:t>
      </w:r>
      <w:r>
        <w:rPr>
          <w:rFonts w:hint="eastAsia"/>
          <w:vertAlign w:val="subscript"/>
        </w:rPr>
        <w:t>0i</w:t>
      </w:r>
      <w:r>
        <w:rPr>
          <w:rFonts w:hint="eastAsia"/>
        </w:rPr>
        <w:t>——第i个污染物的环境空气质量浓度标准，μg/m</w:t>
      </w:r>
      <w:r>
        <w:rPr>
          <w:rFonts w:hint="eastAsia"/>
          <w:vertAlign w:val="superscript"/>
        </w:rPr>
        <w:t>3</w:t>
      </w:r>
      <w:r>
        <w:rPr>
          <w:rFonts w:hint="eastAsia"/>
        </w:rPr>
        <w:t>。一般选用GB3095中1h平均质量浓度的二级浓度限值，如项目位于一类环境空气功能区，应选择相应的一级浓度限值；对该标准中未包含的污染物，使用《环境影响评价技术导则大气环境》（HJ2.2-2018）中5.2确定的各评价因子1h平均质量浓度限值。对仅有8h平均质量浓度限值、日平均质量浓度限值或年平均质量浓度限值的，可分别按2倍、3倍、6倍折算为1h平均质量浓度限值。</w:t>
      </w:r>
    </w:p>
    <w:p w14:paraId="1AF58D1B">
      <w:pPr>
        <w:ind w:firstLine="480"/>
      </w:pPr>
      <w:r>
        <w:rPr>
          <w:rFonts w:hint="eastAsia"/>
        </w:rPr>
        <w:t>评价等级按表2.6-1的分级判据进行划分，如污染物数i大于1，取P值中最大者P</w:t>
      </w:r>
      <w:r>
        <w:rPr>
          <w:rFonts w:hint="eastAsia"/>
          <w:vertAlign w:val="subscript"/>
        </w:rPr>
        <w:t>max</w:t>
      </w:r>
      <w:r>
        <w:rPr>
          <w:rFonts w:hint="eastAsia"/>
        </w:rPr>
        <w:t>。</w:t>
      </w:r>
    </w:p>
    <w:p w14:paraId="59330971">
      <w:pPr>
        <w:pStyle w:val="11"/>
      </w:pPr>
      <w:r>
        <w:rPr>
          <w:rFonts w:hint="eastAsia"/>
        </w:rPr>
        <w:t>表2.6-1评价等级判别表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5295"/>
      </w:tblGrid>
      <w:tr w14:paraId="08CD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15FE2815">
            <w:pPr>
              <w:spacing w:line="240" w:lineRule="auto"/>
              <w:ind w:firstLine="0" w:firstLineChars="0"/>
              <w:jc w:val="center"/>
              <w:rPr>
                <w:sz w:val="21"/>
                <w:szCs w:val="21"/>
              </w:rPr>
            </w:pPr>
            <w:r>
              <w:rPr>
                <w:rFonts w:hint="eastAsia"/>
                <w:sz w:val="21"/>
                <w:szCs w:val="21"/>
              </w:rPr>
              <w:t>评价工作等级</w:t>
            </w:r>
          </w:p>
        </w:tc>
        <w:tc>
          <w:tcPr>
            <w:tcW w:w="5295" w:type="dxa"/>
            <w:vAlign w:val="center"/>
          </w:tcPr>
          <w:p w14:paraId="52545856">
            <w:pPr>
              <w:spacing w:line="240" w:lineRule="auto"/>
              <w:ind w:firstLine="0" w:firstLineChars="0"/>
              <w:jc w:val="center"/>
              <w:rPr>
                <w:sz w:val="21"/>
                <w:szCs w:val="21"/>
              </w:rPr>
            </w:pPr>
            <w:r>
              <w:rPr>
                <w:rFonts w:hint="eastAsia"/>
                <w:sz w:val="21"/>
                <w:szCs w:val="21"/>
              </w:rPr>
              <w:t>评价工作分级判据</w:t>
            </w:r>
          </w:p>
        </w:tc>
      </w:tr>
      <w:tr w14:paraId="7BA7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59BC54DD">
            <w:pPr>
              <w:spacing w:line="240" w:lineRule="auto"/>
              <w:ind w:firstLine="0" w:firstLineChars="0"/>
              <w:jc w:val="center"/>
              <w:rPr>
                <w:sz w:val="21"/>
                <w:szCs w:val="21"/>
              </w:rPr>
            </w:pPr>
            <w:r>
              <w:rPr>
                <w:rFonts w:hint="eastAsia"/>
                <w:sz w:val="21"/>
                <w:szCs w:val="21"/>
              </w:rPr>
              <w:t>一级评价</w:t>
            </w:r>
          </w:p>
        </w:tc>
        <w:tc>
          <w:tcPr>
            <w:tcW w:w="5295" w:type="dxa"/>
            <w:vAlign w:val="center"/>
          </w:tcPr>
          <w:p w14:paraId="29109168">
            <w:pPr>
              <w:spacing w:line="240" w:lineRule="auto"/>
              <w:ind w:firstLine="0" w:firstLineChars="0"/>
              <w:jc w:val="center"/>
              <w:rPr>
                <w:sz w:val="21"/>
                <w:szCs w:val="21"/>
              </w:rPr>
            </w:pPr>
            <w:r>
              <w:rPr>
                <w:rFonts w:hint="eastAsia"/>
                <w:sz w:val="21"/>
                <w:szCs w:val="21"/>
              </w:rPr>
              <w:t>P</w:t>
            </w:r>
            <w:r>
              <w:rPr>
                <w:rFonts w:hint="eastAsia"/>
                <w:sz w:val="21"/>
                <w:szCs w:val="21"/>
                <w:vertAlign w:val="subscript"/>
              </w:rPr>
              <w:t>max</w:t>
            </w:r>
            <w:r>
              <w:rPr>
                <w:rFonts w:hint="eastAsia"/>
                <w:sz w:val="21"/>
                <w:szCs w:val="21"/>
              </w:rPr>
              <w:t>≥10%</w:t>
            </w:r>
          </w:p>
        </w:tc>
      </w:tr>
      <w:tr w14:paraId="372C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51671AF2">
            <w:pPr>
              <w:spacing w:line="240" w:lineRule="auto"/>
              <w:ind w:firstLine="0" w:firstLineChars="0"/>
              <w:jc w:val="center"/>
              <w:rPr>
                <w:sz w:val="21"/>
                <w:szCs w:val="21"/>
              </w:rPr>
            </w:pPr>
            <w:r>
              <w:rPr>
                <w:rFonts w:hint="eastAsia"/>
                <w:sz w:val="21"/>
                <w:szCs w:val="21"/>
              </w:rPr>
              <w:t>二级评价</w:t>
            </w:r>
          </w:p>
        </w:tc>
        <w:tc>
          <w:tcPr>
            <w:tcW w:w="5295" w:type="dxa"/>
            <w:vAlign w:val="center"/>
          </w:tcPr>
          <w:p w14:paraId="7B81A1E2">
            <w:pPr>
              <w:spacing w:line="240" w:lineRule="auto"/>
              <w:ind w:firstLine="0" w:firstLineChars="0"/>
              <w:jc w:val="center"/>
              <w:rPr>
                <w:sz w:val="21"/>
                <w:szCs w:val="21"/>
              </w:rPr>
            </w:pPr>
            <w:r>
              <w:rPr>
                <w:rFonts w:hint="eastAsia"/>
                <w:sz w:val="21"/>
                <w:szCs w:val="21"/>
              </w:rPr>
              <w:t>1%≤P</w:t>
            </w:r>
            <w:r>
              <w:rPr>
                <w:rFonts w:hint="eastAsia"/>
                <w:sz w:val="21"/>
                <w:szCs w:val="21"/>
                <w:vertAlign w:val="subscript"/>
              </w:rPr>
              <w:t>max</w:t>
            </w:r>
            <w:r>
              <w:rPr>
                <w:rFonts w:hint="eastAsia"/>
                <w:sz w:val="21"/>
                <w:szCs w:val="21"/>
              </w:rPr>
              <w:t>&lt;10%</w:t>
            </w:r>
          </w:p>
        </w:tc>
      </w:tr>
      <w:tr w14:paraId="4A9C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3A3F01F3">
            <w:pPr>
              <w:spacing w:line="240" w:lineRule="auto"/>
              <w:ind w:firstLine="0" w:firstLineChars="0"/>
              <w:jc w:val="center"/>
              <w:rPr>
                <w:sz w:val="21"/>
                <w:szCs w:val="21"/>
              </w:rPr>
            </w:pPr>
            <w:r>
              <w:rPr>
                <w:rFonts w:hint="eastAsia"/>
                <w:sz w:val="21"/>
                <w:szCs w:val="21"/>
              </w:rPr>
              <w:t>三级评价</w:t>
            </w:r>
          </w:p>
        </w:tc>
        <w:tc>
          <w:tcPr>
            <w:tcW w:w="5295" w:type="dxa"/>
            <w:vAlign w:val="center"/>
          </w:tcPr>
          <w:p w14:paraId="1E3AA371">
            <w:pPr>
              <w:spacing w:line="240" w:lineRule="auto"/>
              <w:ind w:firstLine="0" w:firstLineChars="0"/>
              <w:jc w:val="center"/>
              <w:rPr>
                <w:sz w:val="21"/>
                <w:szCs w:val="21"/>
              </w:rPr>
            </w:pPr>
            <w:r>
              <w:rPr>
                <w:rFonts w:hint="eastAsia"/>
                <w:sz w:val="21"/>
                <w:szCs w:val="21"/>
              </w:rPr>
              <w:t>P</w:t>
            </w:r>
            <w:r>
              <w:rPr>
                <w:rFonts w:hint="eastAsia"/>
                <w:sz w:val="21"/>
                <w:szCs w:val="21"/>
                <w:vertAlign w:val="subscript"/>
              </w:rPr>
              <w:t>max</w:t>
            </w:r>
            <w:r>
              <w:rPr>
                <w:rFonts w:hint="eastAsia"/>
                <w:sz w:val="21"/>
                <w:szCs w:val="21"/>
              </w:rPr>
              <w:t>﹤1%</w:t>
            </w:r>
          </w:p>
        </w:tc>
      </w:tr>
    </w:tbl>
    <w:p w14:paraId="00B9060B">
      <w:pPr>
        <w:ind w:firstLine="480"/>
      </w:pPr>
      <w:r>
        <w:rPr>
          <w:rFonts w:hint="eastAsia"/>
        </w:rPr>
        <w:t>评价等级的确定还应符合以下规定：</w:t>
      </w:r>
    </w:p>
    <w:p w14:paraId="55298779">
      <w:pPr>
        <w:ind w:firstLine="480"/>
      </w:pPr>
      <w:r>
        <w:rPr>
          <w:rFonts w:hint="eastAsia"/>
        </w:rPr>
        <w:t>同一项目有多个污染源（两个及以上）时，则按各污染源分别确定评价等级，并取评价等级最高者作为项目的评价等级。</w:t>
      </w:r>
    </w:p>
    <w:p w14:paraId="353EFEA2">
      <w:pPr>
        <w:ind w:firstLine="480"/>
      </w:pPr>
      <w:r>
        <w:rPr>
          <w:rFonts w:hint="eastAsia"/>
        </w:rPr>
        <w:t>（2）判别估算过程</w:t>
      </w:r>
    </w:p>
    <w:p w14:paraId="4CBB4B57">
      <w:pPr>
        <w:ind w:firstLine="480"/>
      </w:pPr>
      <w:r>
        <w:rPr>
          <w:rFonts w:hint="eastAsia"/>
        </w:rPr>
        <w:t>本次评价预测采用《环境影响评价技术导则大气环境》（HJ2.2-2018）推荐的ARESCREEN估算模式，估算污染物的最大落地浓度和距离，估算模型参数见表2.6-2。</w:t>
      </w:r>
    </w:p>
    <w:p w14:paraId="4846352D">
      <w:pPr>
        <w:pStyle w:val="11"/>
      </w:pPr>
      <w:r>
        <w:rPr>
          <w:rFonts w:hint="eastAsia"/>
        </w:rPr>
        <w:t>表2.6-2估算模型参数表</w:t>
      </w:r>
    </w:p>
    <w:tbl>
      <w:tblPr>
        <w:tblStyle w:val="183"/>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78"/>
        <w:gridCol w:w="3351"/>
        <w:gridCol w:w="2281"/>
      </w:tblGrid>
      <w:tr w14:paraId="7EF14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3627" w:type="pct"/>
            <w:gridSpan w:val="2"/>
            <w:vAlign w:val="center"/>
          </w:tcPr>
          <w:p w14:paraId="4872E0C1">
            <w:pPr>
              <w:ind w:firstLine="0" w:firstLineChars="0"/>
              <w:jc w:val="center"/>
              <w:rPr>
                <w:rFonts w:cs="宋体"/>
                <w:sz w:val="21"/>
                <w:szCs w:val="21"/>
              </w:rPr>
            </w:pPr>
            <w:r>
              <w:rPr>
                <w:rFonts w:cs="宋体"/>
                <w:sz w:val="21"/>
                <w:szCs w:val="21"/>
              </w:rPr>
              <w:t>参数</w:t>
            </w:r>
          </w:p>
        </w:tc>
        <w:tc>
          <w:tcPr>
            <w:tcW w:w="1372" w:type="pct"/>
            <w:vAlign w:val="center"/>
          </w:tcPr>
          <w:p w14:paraId="7A252B0B">
            <w:pPr>
              <w:ind w:firstLine="0" w:firstLineChars="0"/>
              <w:jc w:val="center"/>
              <w:rPr>
                <w:rFonts w:cs="宋体"/>
                <w:sz w:val="21"/>
                <w:szCs w:val="21"/>
              </w:rPr>
            </w:pPr>
            <w:r>
              <w:rPr>
                <w:rFonts w:cs="宋体"/>
                <w:sz w:val="21"/>
                <w:szCs w:val="21"/>
              </w:rPr>
              <w:t>取值</w:t>
            </w:r>
          </w:p>
        </w:tc>
      </w:tr>
      <w:tr w14:paraId="29801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1" w:type="pct"/>
            <w:vMerge w:val="restart"/>
            <w:tcBorders>
              <w:bottom w:val="nil"/>
            </w:tcBorders>
            <w:vAlign w:val="center"/>
          </w:tcPr>
          <w:p w14:paraId="09C49E2C">
            <w:pPr>
              <w:ind w:firstLine="0" w:firstLineChars="0"/>
              <w:jc w:val="center"/>
              <w:rPr>
                <w:rFonts w:cs="宋体"/>
                <w:sz w:val="21"/>
                <w:szCs w:val="21"/>
              </w:rPr>
            </w:pPr>
            <w:r>
              <w:rPr>
                <w:rFonts w:cs="宋体"/>
                <w:sz w:val="21"/>
                <w:szCs w:val="21"/>
              </w:rPr>
              <w:t>城市</w:t>
            </w:r>
            <w:r>
              <w:rPr>
                <w:sz w:val="21"/>
                <w:szCs w:val="21"/>
              </w:rPr>
              <w:t>/</w:t>
            </w:r>
            <w:r>
              <w:rPr>
                <w:rFonts w:cs="宋体"/>
                <w:sz w:val="21"/>
                <w:szCs w:val="21"/>
              </w:rPr>
              <w:t>农村选项</w:t>
            </w:r>
          </w:p>
        </w:tc>
        <w:tc>
          <w:tcPr>
            <w:tcW w:w="2016" w:type="pct"/>
            <w:vAlign w:val="center"/>
          </w:tcPr>
          <w:p w14:paraId="56F4A6F8">
            <w:pPr>
              <w:ind w:firstLine="0" w:firstLineChars="0"/>
              <w:jc w:val="center"/>
              <w:rPr>
                <w:rFonts w:cs="宋体"/>
                <w:sz w:val="21"/>
                <w:szCs w:val="21"/>
              </w:rPr>
            </w:pPr>
            <w:r>
              <w:rPr>
                <w:rFonts w:cs="宋体"/>
                <w:sz w:val="21"/>
                <w:szCs w:val="21"/>
              </w:rPr>
              <w:t>城市</w:t>
            </w:r>
            <w:r>
              <w:rPr>
                <w:sz w:val="21"/>
                <w:szCs w:val="21"/>
              </w:rPr>
              <w:t>/</w:t>
            </w:r>
            <w:r>
              <w:rPr>
                <w:rFonts w:cs="宋体"/>
                <w:sz w:val="21"/>
                <w:szCs w:val="21"/>
              </w:rPr>
              <w:t>农村</w:t>
            </w:r>
          </w:p>
        </w:tc>
        <w:tc>
          <w:tcPr>
            <w:tcW w:w="1372" w:type="pct"/>
            <w:vAlign w:val="center"/>
          </w:tcPr>
          <w:p w14:paraId="02B65FA6">
            <w:pPr>
              <w:ind w:firstLine="0" w:firstLineChars="0"/>
              <w:jc w:val="center"/>
              <w:rPr>
                <w:rFonts w:cs="宋体"/>
                <w:sz w:val="21"/>
                <w:szCs w:val="21"/>
              </w:rPr>
            </w:pPr>
            <w:r>
              <w:rPr>
                <w:rFonts w:cs="宋体"/>
                <w:sz w:val="21"/>
                <w:szCs w:val="21"/>
              </w:rPr>
              <w:t>农村</w:t>
            </w:r>
          </w:p>
        </w:tc>
      </w:tr>
      <w:tr w14:paraId="234E2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1" w:type="pct"/>
            <w:vMerge w:val="continue"/>
            <w:tcBorders>
              <w:top w:val="nil"/>
            </w:tcBorders>
            <w:vAlign w:val="center"/>
          </w:tcPr>
          <w:p w14:paraId="321F0685">
            <w:pPr>
              <w:ind w:firstLine="0" w:firstLineChars="0"/>
              <w:jc w:val="center"/>
              <w:rPr>
                <w:sz w:val="21"/>
              </w:rPr>
            </w:pPr>
          </w:p>
        </w:tc>
        <w:tc>
          <w:tcPr>
            <w:tcW w:w="2016" w:type="pct"/>
            <w:vAlign w:val="center"/>
          </w:tcPr>
          <w:p w14:paraId="6B49F960">
            <w:pPr>
              <w:ind w:firstLine="0" w:firstLineChars="0"/>
              <w:jc w:val="center"/>
              <w:rPr>
                <w:rFonts w:cs="宋体"/>
                <w:sz w:val="21"/>
                <w:szCs w:val="21"/>
              </w:rPr>
            </w:pPr>
            <w:r>
              <w:rPr>
                <w:rFonts w:cs="宋体"/>
                <w:sz w:val="21"/>
                <w:szCs w:val="21"/>
              </w:rPr>
              <w:t>人口数</w:t>
            </w:r>
            <w:r>
              <w:rPr>
                <w:rFonts w:hint="eastAsia" w:cs="宋体"/>
                <w:sz w:val="21"/>
                <w:szCs w:val="21"/>
              </w:rPr>
              <w:t>（</w:t>
            </w:r>
            <w:r>
              <w:rPr>
                <w:rFonts w:cs="宋体"/>
                <w:sz w:val="21"/>
                <w:szCs w:val="21"/>
              </w:rPr>
              <w:t>城市选项时</w:t>
            </w:r>
            <w:r>
              <w:rPr>
                <w:rFonts w:hint="eastAsia" w:cs="宋体"/>
                <w:sz w:val="21"/>
                <w:szCs w:val="21"/>
              </w:rPr>
              <w:t>）</w:t>
            </w:r>
          </w:p>
        </w:tc>
        <w:tc>
          <w:tcPr>
            <w:tcW w:w="1372" w:type="pct"/>
            <w:vAlign w:val="center"/>
          </w:tcPr>
          <w:p w14:paraId="0FF0C8A5">
            <w:pPr>
              <w:ind w:firstLine="0" w:firstLineChars="0"/>
              <w:jc w:val="center"/>
              <w:rPr>
                <w:sz w:val="21"/>
              </w:rPr>
            </w:pPr>
          </w:p>
        </w:tc>
      </w:tr>
      <w:tr w14:paraId="2543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14:paraId="07BAA2FA">
            <w:pPr>
              <w:ind w:firstLine="0" w:firstLineChars="0"/>
              <w:jc w:val="center"/>
              <w:rPr>
                <w:rFonts w:cs="宋体"/>
                <w:sz w:val="21"/>
                <w:szCs w:val="21"/>
              </w:rPr>
            </w:pPr>
            <w:r>
              <w:rPr>
                <w:rFonts w:cs="宋体"/>
                <w:sz w:val="21"/>
                <w:szCs w:val="21"/>
              </w:rPr>
              <w:t>最高环境温度</w:t>
            </w:r>
            <w:r>
              <w:rPr>
                <w:sz w:val="21"/>
                <w:szCs w:val="21"/>
              </w:rPr>
              <w:t>/</w:t>
            </w:r>
            <w:r>
              <w:rPr>
                <w:rFonts w:cs="宋体"/>
                <w:sz w:val="21"/>
                <w:szCs w:val="21"/>
              </w:rPr>
              <w:t>℃</w:t>
            </w:r>
          </w:p>
        </w:tc>
        <w:tc>
          <w:tcPr>
            <w:tcW w:w="1372" w:type="pct"/>
            <w:vAlign w:val="center"/>
          </w:tcPr>
          <w:p w14:paraId="1E0AF41D">
            <w:pPr>
              <w:ind w:firstLine="0" w:firstLineChars="0"/>
              <w:jc w:val="center"/>
              <w:rPr>
                <w:sz w:val="21"/>
                <w:szCs w:val="21"/>
              </w:rPr>
            </w:pPr>
            <w:r>
              <w:rPr>
                <w:rFonts w:hint="eastAsia"/>
                <w:sz w:val="21"/>
                <w:szCs w:val="21"/>
              </w:rPr>
              <w:t>36.5</w:t>
            </w:r>
          </w:p>
        </w:tc>
      </w:tr>
      <w:tr w14:paraId="4DD7A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14:paraId="33F1B02A">
            <w:pPr>
              <w:ind w:firstLine="0" w:firstLineChars="0"/>
              <w:jc w:val="center"/>
              <w:rPr>
                <w:rFonts w:cs="宋体"/>
                <w:sz w:val="21"/>
                <w:szCs w:val="21"/>
              </w:rPr>
            </w:pPr>
            <w:r>
              <w:rPr>
                <w:rFonts w:cs="宋体"/>
                <w:sz w:val="21"/>
                <w:szCs w:val="21"/>
              </w:rPr>
              <w:t>最低环境温度</w:t>
            </w:r>
            <w:r>
              <w:rPr>
                <w:sz w:val="21"/>
                <w:szCs w:val="21"/>
              </w:rPr>
              <w:t>/</w:t>
            </w:r>
            <w:r>
              <w:rPr>
                <w:rFonts w:cs="宋体"/>
                <w:sz w:val="21"/>
                <w:szCs w:val="21"/>
              </w:rPr>
              <w:t>℃</w:t>
            </w:r>
          </w:p>
        </w:tc>
        <w:tc>
          <w:tcPr>
            <w:tcW w:w="1372" w:type="pct"/>
            <w:vAlign w:val="center"/>
          </w:tcPr>
          <w:p w14:paraId="5A000549">
            <w:pPr>
              <w:ind w:firstLine="0" w:firstLineChars="0"/>
              <w:jc w:val="center"/>
              <w:rPr>
                <w:sz w:val="21"/>
                <w:szCs w:val="21"/>
              </w:rPr>
            </w:pPr>
            <w:r>
              <w:rPr>
                <w:sz w:val="21"/>
                <w:szCs w:val="21"/>
              </w:rPr>
              <w:t>-</w:t>
            </w:r>
            <w:r>
              <w:rPr>
                <w:rFonts w:hint="eastAsia"/>
                <w:sz w:val="21"/>
                <w:szCs w:val="21"/>
              </w:rPr>
              <w:t>31</w:t>
            </w:r>
          </w:p>
        </w:tc>
      </w:tr>
      <w:tr w14:paraId="33F11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3627" w:type="pct"/>
            <w:gridSpan w:val="2"/>
            <w:vAlign w:val="center"/>
          </w:tcPr>
          <w:p w14:paraId="66164B92">
            <w:pPr>
              <w:ind w:firstLine="0" w:firstLineChars="0"/>
              <w:jc w:val="center"/>
              <w:rPr>
                <w:rFonts w:cs="宋体"/>
                <w:sz w:val="21"/>
                <w:szCs w:val="21"/>
              </w:rPr>
            </w:pPr>
            <w:r>
              <w:rPr>
                <w:rFonts w:cs="宋体"/>
                <w:sz w:val="21"/>
                <w:szCs w:val="21"/>
              </w:rPr>
              <w:t>土地利用类型</w:t>
            </w:r>
          </w:p>
        </w:tc>
        <w:tc>
          <w:tcPr>
            <w:tcW w:w="1372" w:type="pct"/>
            <w:vAlign w:val="center"/>
          </w:tcPr>
          <w:p w14:paraId="005E124F">
            <w:pPr>
              <w:ind w:firstLine="0" w:firstLineChars="0"/>
              <w:jc w:val="center"/>
              <w:rPr>
                <w:rFonts w:cs="宋体"/>
                <w:sz w:val="21"/>
                <w:szCs w:val="21"/>
              </w:rPr>
            </w:pPr>
            <w:r>
              <w:rPr>
                <w:rFonts w:cs="宋体"/>
                <w:sz w:val="21"/>
                <w:szCs w:val="21"/>
              </w:rPr>
              <w:t>农作地</w:t>
            </w:r>
          </w:p>
        </w:tc>
      </w:tr>
      <w:tr w14:paraId="7430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3627" w:type="pct"/>
            <w:gridSpan w:val="2"/>
            <w:vAlign w:val="center"/>
          </w:tcPr>
          <w:p w14:paraId="42A2B3E4">
            <w:pPr>
              <w:ind w:firstLine="0" w:firstLineChars="0"/>
              <w:jc w:val="center"/>
              <w:rPr>
                <w:rFonts w:cs="宋体"/>
                <w:sz w:val="21"/>
                <w:szCs w:val="21"/>
              </w:rPr>
            </w:pPr>
            <w:r>
              <w:rPr>
                <w:rFonts w:cs="宋体"/>
                <w:sz w:val="21"/>
                <w:szCs w:val="21"/>
              </w:rPr>
              <w:t>区域湿度条件</w:t>
            </w:r>
          </w:p>
        </w:tc>
        <w:tc>
          <w:tcPr>
            <w:tcW w:w="1372" w:type="pct"/>
            <w:vAlign w:val="center"/>
          </w:tcPr>
          <w:p w14:paraId="76DC157B">
            <w:pPr>
              <w:ind w:firstLine="0" w:firstLineChars="0"/>
              <w:jc w:val="center"/>
              <w:rPr>
                <w:rFonts w:cs="宋体"/>
                <w:sz w:val="21"/>
                <w:szCs w:val="21"/>
              </w:rPr>
            </w:pPr>
            <w:r>
              <w:rPr>
                <w:rFonts w:cs="宋体"/>
                <w:sz w:val="21"/>
                <w:szCs w:val="21"/>
              </w:rPr>
              <w:t>干燥</w:t>
            </w:r>
          </w:p>
        </w:tc>
      </w:tr>
      <w:tr w14:paraId="56C54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1" w:type="pct"/>
            <w:vMerge w:val="restart"/>
            <w:tcBorders>
              <w:bottom w:val="nil"/>
            </w:tcBorders>
            <w:vAlign w:val="center"/>
          </w:tcPr>
          <w:p w14:paraId="16D424E4">
            <w:pPr>
              <w:ind w:firstLine="0" w:firstLineChars="0"/>
              <w:jc w:val="center"/>
              <w:rPr>
                <w:rFonts w:cs="宋体"/>
                <w:sz w:val="21"/>
                <w:szCs w:val="21"/>
              </w:rPr>
            </w:pPr>
            <w:r>
              <w:rPr>
                <w:rFonts w:cs="宋体"/>
                <w:sz w:val="21"/>
                <w:szCs w:val="21"/>
              </w:rPr>
              <w:t>是否考虑地形</w:t>
            </w:r>
          </w:p>
        </w:tc>
        <w:tc>
          <w:tcPr>
            <w:tcW w:w="2016" w:type="pct"/>
            <w:vAlign w:val="center"/>
          </w:tcPr>
          <w:p w14:paraId="6397F872">
            <w:pPr>
              <w:ind w:firstLine="0" w:firstLineChars="0"/>
              <w:jc w:val="center"/>
              <w:rPr>
                <w:rFonts w:cs="宋体"/>
                <w:sz w:val="21"/>
                <w:szCs w:val="21"/>
              </w:rPr>
            </w:pPr>
            <w:r>
              <w:rPr>
                <w:rFonts w:cs="宋体"/>
                <w:sz w:val="21"/>
                <w:szCs w:val="21"/>
              </w:rPr>
              <w:t>考虑地形</w:t>
            </w:r>
          </w:p>
        </w:tc>
        <w:tc>
          <w:tcPr>
            <w:tcW w:w="1372" w:type="pct"/>
            <w:vAlign w:val="center"/>
          </w:tcPr>
          <w:p w14:paraId="58232167">
            <w:pPr>
              <w:ind w:firstLine="0" w:firstLineChars="0"/>
              <w:jc w:val="center"/>
              <w:rPr>
                <w:rFonts w:cs="宋体"/>
                <w:sz w:val="21"/>
                <w:szCs w:val="21"/>
              </w:rPr>
            </w:pPr>
            <w:r>
              <w:rPr>
                <w:rFonts w:cs="宋体"/>
                <w:sz w:val="21"/>
                <w:szCs w:val="21"/>
              </w:rPr>
              <w:drawing>
                <wp:inline distT="0" distB="0" distL="0" distR="0">
                  <wp:extent cx="114300" cy="133350"/>
                  <wp:effectExtent l="0" t="0" r="0" b="0"/>
                  <wp:docPr id="35" name="IM 32"/>
                  <wp:cNvGraphicFramePr/>
                  <a:graphic xmlns:a="http://schemas.openxmlformats.org/drawingml/2006/main">
                    <a:graphicData uri="http://schemas.openxmlformats.org/drawingml/2006/picture">
                      <pic:pic xmlns:pic="http://schemas.openxmlformats.org/drawingml/2006/picture">
                        <pic:nvPicPr>
                          <pic:cNvPr id="35" name="IM 32"/>
                          <pic:cNvPicPr/>
                        </pic:nvPicPr>
                        <pic:blipFill>
                          <a:blip r:embed="rId36"/>
                          <a:stretch>
                            <a:fillRect/>
                          </a:stretch>
                        </pic:blipFill>
                        <pic:spPr>
                          <a:xfrm>
                            <a:off x="0" y="0"/>
                            <a:ext cx="114547" cy="133350"/>
                          </a:xfrm>
                          <a:prstGeom prst="rect">
                            <a:avLst/>
                          </a:prstGeom>
                        </pic:spPr>
                      </pic:pic>
                    </a:graphicData>
                  </a:graphic>
                </wp:inline>
              </w:drawing>
            </w:r>
            <w:r>
              <w:rPr>
                <w:rFonts w:cs="宋体"/>
                <w:sz w:val="21"/>
                <w:szCs w:val="21"/>
              </w:rPr>
              <w:t>是□否</w:t>
            </w:r>
          </w:p>
        </w:tc>
      </w:tr>
      <w:tr w14:paraId="51B49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1" w:type="pct"/>
            <w:vMerge w:val="continue"/>
            <w:tcBorders>
              <w:top w:val="nil"/>
            </w:tcBorders>
            <w:vAlign w:val="center"/>
          </w:tcPr>
          <w:p w14:paraId="6A2D97C0">
            <w:pPr>
              <w:ind w:firstLine="0" w:firstLineChars="0"/>
              <w:jc w:val="center"/>
              <w:rPr>
                <w:sz w:val="21"/>
              </w:rPr>
            </w:pPr>
          </w:p>
        </w:tc>
        <w:tc>
          <w:tcPr>
            <w:tcW w:w="2016" w:type="pct"/>
            <w:vAlign w:val="center"/>
          </w:tcPr>
          <w:p w14:paraId="72237EA2">
            <w:pPr>
              <w:ind w:firstLine="0" w:firstLineChars="0"/>
              <w:jc w:val="center"/>
              <w:rPr>
                <w:sz w:val="21"/>
                <w:szCs w:val="21"/>
              </w:rPr>
            </w:pPr>
            <w:r>
              <w:rPr>
                <w:rFonts w:cs="宋体"/>
                <w:sz w:val="21"/>
                <w:szCs w:val="21"/>
              </w:rPr>
              <w:t>地形数据分辨率</w:t>
            </w:r>
            <w:r>
              <w:rPr>
                <w:sz w:val="21"/>
                <w:szCs w:val="21"/>
              </w:rPr>
              <w:t>/m</w:t>
            </w:r>
          </w:p>
        </w:tc>
        <w:tc>
          <w:tcPr>
            <w:tcW w:w="1372" w:type="pct"/>
            <w:vAlign w:val="center"/>
          </w:tcPr>
          <w:p w14:paraId="56BDFD8B">
            <w:pPr>
              <w:ind w:firstLine="0" w:firstLineChars="0"/>
              <w:jc w:val="center"/>
              <w:rPr>
                <w:sz w:val="21"/>
                <w:szCs w:val="21"/>
              </w:rPr>
            </w:pPr>
            <w:r>
              <w:rPr>
                <w:sz w:val="21"/>
                <w:szCs w:val="21"/>
              </w:rPr>
              <w:t>90</w:t>
            </w:r>
          </w:p>
        </w:tc>
      </w:tr>
      <w:tr w14:paraId="1FB83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11" w:type="pct"/>
            <w:vMerge w:val="restart"/>
            <w:tcBorders>
              <w:bottom w:val="nil"/>
            </w:tcBorders>
            <w:vAlign w:val="center"/>
          </w:tcPr>
          <w:p w14:paraId="19328380">
            <w:pPr>
              <w:ind w:firstLine="0" w:firstLineChars="0"/>
              <w:jc w:val="center"/>
              <w:rPr>
                <w:rFonts w:cs="宋体"/>
                <w:sz w:val="21"/>
                <w:szCs w:val="21"/>
              </w:rPr>
            </w:pPr>
            <w:r>
              <w:rPr>
                <w:rFonts w:cs="宋体"/>
                <w:sz w:val="21"/>
                <w:szCs w:val="21"/>
              </w:rPr>
              <w:t>是否考虑岸线熏烟</w:t>
            </w:r>
          </w:p>
        </w:tc>
        <w:tc>
          <w:tcPr>
            <w:tcW w:w="2016" w:type="pct"/>
            <w:vAlign w:val="center"/>
          </w:tcPr>
          <w:p w14:paraId="41EB92E7">
            <w:pPr>
              <w:ind w:firstLine="0" w:firstLineChars="0"/>
              <w:jc w:val="center"/>
              <w:rPr>
                <w:rFonts w:cs="宋体"/>
                <w:sz w:val="21"/>
                <w:szCs w:val="21"/>
              </w:rPr>
            </w:pPr>
            <w:r>
              <w:rPr>
                <w:rFonts w:cs="宋体"/>
                <w:sz w:val="21"/>
                <w:szCs w:val="21"/>
              </w:rPr>
              <w:t>考虑岸线熏烟</w:t>
            </w:r>
          </w:p>
        </w:tc>
        <w:tc>
          <w:tcPr>
            <w:tcW w:w="1372" w:type="pct"/>
            <w:vAlign w:val="center"/>
          </w:tcPr>
          <w:p w14:paraId="056F73C0">
            <w:pPr>
              <w:ind w:firstLine="0" w:firstLineChars="0"/>
              <w:jc w:val="center"/>
              <w:rPr>
                <w:rFonts w:cs="宋体"/>
                <w:sz w:val="21"/>
                <w:szCs w:val="21"/>
              </w:rPr>
            </w:pPr>
            <w:r>
              <w:rPr>
                <w:rFonts w:cs="宋体"/>
                <w:sz w:val="21"/>
                <w:szCs w:val="21"/>
              </w:rPr>
              <w:t>□是</w:t>
            </w:r>
            <w:r>
              <w:rPr>
                <w:sz w:val="21"/>
                <w:szCs w:val="21"/>
              </w:rPr>
              <w:drawing>
                <wp:inline distT="0" distB="0" distL="0" distR="0">
                  <wp:extent cx="114300" cy="133350"/>
                  <wp:effectExtent l="0" t="0" r="0" b="0"/>
                  <wp:docPr id="37" name="IM 33"/>
                  <wp:cNvGraphicFramePr/>
                  <a:graphic xmlns:a="http://schemas.openxmlformats.org/drawingml/2006/main">
                    <a:graphicData uri="http://schemas.openxmlformats.org/drawingml/2006/picture">
                      <pic:pic xmlns:pic="http://schemas.openxmlformats.org/drawingml/2006/picture">
                        <pic:nvPicPr>
                          <pic:cNvPr id="37" name="IM 33"/>
                          <pic:cNvPicPr/>
                        </pic:nvPicPr>
                        <pic:blipFill>
                          <a:blip r:embed="rId36"/>
                          <a:stretch>
                            <a:fillRect/>
                          </a:stretch>
                        </pic:blipFill>
                        <pic:spPr>
                          <a:xfrm>
                            <a:off x="0" y="0"/>
                            <a:ext cx="114547" cy="133350"/>
                          </a:xfrm>
                          <a:prstGeom prst="rect">
                            <a:avLst/>
                          </a:prstGeom>
                        </pic:spPr>
                      </pic:pic>
                    </a:graphicData>
                  </a:graphic>
                </wp:inline>
              </w:drawing>
            </w:r>
            <w:r>
              <w:rPr>
                <w:rFonts w:cs="宋体"/>
                <w:sz w:val="21"/>
                <w:szCs w:val="21"/>
              </w:rPr>
              <w:t>否</w:t>
            </w:r>
          </w:p>
        </w:tc>
      </w:tr>
      <w:tr w14:paraId="5A0D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11" w:type="pct"/>
            <w:vMerge w:val="continue"/>
            <w:tcBorders>
              <w:top w:val="nil"/>
            </w:tcBorders>
            <w:vAlign w:val="center"/>
          </w:tcPr>
          <w:p w14:paraId="797C4EA3">
            <w:pPr>
              <w:ind w:firstLine="0" w:firstLineChars="0"/>
              <w:jc w:val="center"/>
              <w:rPr>
                <w:sz w:val="21"/>
              </w:rPr>
            </w:pPr>
          </w:p>
        </w:tc>
        <w:tc>
          <w:tcPr>
            <w:tcW w:w="2016" w:type="pct"/>
            <w:vAlign w:val="center"/>
          </w:tcPr>
          <w:p w14:paraId="30E1BE79">
            <w:pPr>
              <w:ind w:firstLine="0" w:firstLineChars="0"/>
              <w:jc w:val="center"/>
              <w:rPr>
                <w:sz w:val="21"/>
                <w:szCs w:val="21"/>
              </w:rPr>
            </w:pPr>
            <w:r>
              <w:rPr>
                <w:rFonts w:cs="宋体"/>
                <w:sz w:val="21"/>
                <w:szCs w:val="21"/>
              </w:rPr>
              <w:t>岸线距离</w:t>
            </w:r>
            <w:r>
              <w:rPr>
                <w:sz w:val="21"/>
                <w:szCs w:val="21"/>
              </w:rPr>
              <w:t>/km</w:t>
            </w:r>
          </w:p>
        </w:tc>
        <w:tc>
          <w:tcPr>
            <w:tcW w:w="1372" w:type="pct"/>
            <w:vAlign w:val="center"/>
          </w:tcPr>
          <w:p w14:paraId="5F54FA27">
            <w:pPr>
              <w:ind w:firstLine="0" w:firstLineChars="0"/>
              <w:jc w:val="center"/>
              <w:rPr>
                <w:sz w:val="21"/>
                <w:szCs w:val="21"/>
              </w:rPr>
            </w:pPr>
            <w:r>
              <w:rPr>
                <w:sz w:val="21"/>
                <w:szCs w:val="21"/>
              </w:rPr>
              <w:t>/</w:t>
            </w:r>
          </w:p>
        </w:tc>
      </w:tr>
    </w:tbl>
    <w:p w14:paraId="550C6132">
      <w:pPr>
        <w:ind w:firstLine="480"/>
      </w:pPr>
      <w:r>
        <w:rPr>
          <w:rFonts w:hint="eastAsia"/>
        </w:rPr>
        <w:t>本项目无组织废气污染源一览表见表2.6-</w:t>
      </w:r>
      <w:r>
        <w:t>3</w:t>
      </w:r>
      <w:r>
        <w:rPr>
          <w:rFonts w:hint="eastAsia"/>
        </w:rPr>
        <w:t>。</w:t>
      </w:r>
    </w:p>
    <w:p w14:paraId="56F9AFE7">
      <w:pPr>
        <w:pStyle w:val="11"/>
      </w:pPr>
      <w:r>
        <w:rPr>
          <w:rFonts w:hint="eastAsia"/>
        </w:rPr>
        <w:t>表2.6-</w:t>
      </w:r>
      <w:r>
        <w:t>3</w:t>
      </w:r>
      <w:r>
        <w:rPr>
          <w:rFonts w:hint="eastAsia"/>
        </w:rPr>
        <w:t>无组织废气污染源一览表（面源）</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55"/>
        <w:gridCol w:w="1430"/>
        <w:gridCol w:w="1430"/>
        <w:gridCol w:w="1641"/>
        <w:gridCol w:w="1110"/>
        <w:gridCol w:w="1217"/>
      </w:tblGrid>
      <w:tr w14:paraId="6F99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restart"/>
            <w:vAlign w:val="center"/>
          </w:tcPr>
          <w:p w14:paraId="43DE0A9B">
            <w:pPr>
              <w:ind w:firstLine="0" w:firstLineChars="0"/>
              <w:jc w:val="center"/>
              <w:rPr>
                <w:rFonts w:cs="黑体"/>
                <w:bCs/>
                <w:sz w:val="21"/>
                <w:szCs w:val="21"/>
              </w:rPr>
            </w:pPr>
            <w:r>
              <w:rPr>
                <w:rFonts w:hint="eastAsia" w:cs="黑体"/>
                <w:bCs/>
                <w:sz w:val="21"/>
                <w:szCs w:val="21"/>
              </w:rPr>
              <w:t>编号</w:t>
            </w:r>
          </w:p>
        </w:tc>
        <w:tc>
          <w:tcPr>
            <w:tcW w:w="619" w:type="pct"/>
            <w:vMerge w:val="restart"/>
            <w:vAlign w:val="center"/>
          </w:tcPr>
          <w:p w14:paraId="3849C668">
            <w:pPr>
              <w:ind w:firstLine="0" w:firstLineChars="0"/>
              <w:jc w:val="center"/>
              <w:rPr>
                <w:rFonts w:cs="黑体"/>
                <w:bCs/>
                <w:sz w:val="21"/>
                <w:szCs w:val="21"/>
              </w:rPr>
            </w:pPr>
            <w:r>
              <w:rPr>
                <w:rFonts w:hint="eastAsia" w:cs="黑体"/>
                <w:bCs/>
                <w:sz w:val="21"/>
                <w:szCs w:val="21"/>
              </w:rPr>
              <w:t>名称</w:t>
            </w:r>
          </w:p>
        </w:tc>
        <w:tc>
          <w:tcPr>
            <w:tcW w:w="839" w:type="pct"/>
            <w:vMerge w:val="restart"/>
            <w:vAlign w:val="center"/>
          </w:tcPr>
          <w:p w14:paraId="014D656B">
            <w:pPr>
              <w:ind w:firstLine="0" w:firstLineChars="0"/>
              <w:jc w:val="center"/>
              <w:rPr>
                <w:rFonts w:cs="黑体"/>
                <w:bCs/>
                <w:sz w:val="21"/>
                <w:szCs w:val="21"/>
              </w:rPr>
            </w:pPr>
            <w:r>
              <w:rPr>
                <w:rFonts w:hint="eastAsia" w:cs="黑体"/>
                <w:bCs/>
                <w:sz w:val="21"/>
                <w:szCs w:val="21"/>
              </w:rPr>
              <w:t>面源长（m）</w:t>
            </w:r>
          </w:p>
        </w:tc>
        <w:tc>
          <w:tcPr>
            <w:tcW w:w="839" w:type="pct"/>
            <w:vMerge w:val="restart"/>
            <w:vAlign w:val="center"/>
          </w:tcPr>
          <w:p w14:paraId="113860FD">
            <w:pPr>
              <w:ind w:firstLine="0" w:firstLineChars="0"/>
              <w:jc w:val="center"/>
              <w:rPr>
                <w:rFonts w:cs="黑体"/>
                <w:bCs/>
                <w:sz w:val="21"/>
                <w:szCs w:val="21"/>
              </w:rPr>
            </w:pPr>
            <w:r>
              <w:rPr>
                <w:rFonts w:hint="eastAsia" w:cs="黑体"/>
                <w:bCs/>
                <w:sz w:val="21"/>
                <w:szCs w:val="21"/>
              </w:rPr>
              <w:t>面源宽（m）</w:t>
            </w:r>
          </w:p>
        </w:tc>
        <w:tc>
          <w:tcPr>
            <w:tcW w:w="963" w:type="pct"/>
            <w:vMerge w:val="restart"/>
            <w:vAlign w:val="center"/>
          </w:tcPr>
          <w:p w14:paraId="3AED7658">
            <w:pPr>
              <w:ind w:firstLine="0" w:firstLineChars="0"/>
              <w:jc w:val="center"/>
              <w:rPr>
                <w:rFonts w:cs="黑体"/>
                <w:bCs/>
                <w:sz w:val="21"/>
                <w:szCs w:val="21"/>
              </w:rPr>
            </w:pPr>
            <w:r>
              <w:rPr>
                <w:rFonts w:hint="eastAsia" w:cs="黑体"/>
                <w:bCs/>
                <w:sz w:val="21"/>
                <w:szCs w:val="21"/>
              </w:rPr>
              <w:t>排放高度（m）</w:t>
            </w:r>
          </w:p>
        </w:tc>
        <w:tc>
          <w:tcPr>
            <w:tcW w:w="1365" w:type="pct"/>
            <w:gridSpan w:val="2"/>
            <w:vAlign w:val="center"/>
          </w:tcPr>
          <w:p w14:paraId="42E1E84C">
            <w:pPr>
              <w:ind w:firstLine="0" w:firstLineChars="0"/>
              <w:jc w:val="center"/>
              <w:rPr>
                <w:rFonts w:cs="黑体"/>
                <w:bCs/>
                <w:sz w:val="21"/>
                <w:szCs w:val="21"/>
              </w:rPr>
            </w:pPr>
            <w:r>
              <w:rPr>
                <w:rFonts w:hint="eastAsia" w:cs="黑体"/>
                <w:bCs/>
                <w:sz w:val="21"/>
                <w:szCs w:val="21"/>
              </w:rPr>
              <w:t>评价因子源强（kg/h）</w:t>
            </w:r>
          </w:p>
        </w:tc>
      </w:tr>
      <w:tr w14:paraId="4095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vAlign w:val="center"/>
          </w:tcPr>
          <w:p w14:paraId="6C90A1C1">
            <w:pPr>
              <w:ind w:firstLine="0" w:firstLineChars="0"/>
              <w:jc w:val="center"/>
              <w:rPr>
                <w:rFonts w:cs="黑体"/>
                <w:bCs/>
                <w:sz w:val="21"/>
                <w:szCs w:val="21"/>
              </w:rPr>
            </w:pPr>
          </w:p>
        </w:tc>
        <w:tc>
          <w:tcPr>
            <w:tcW w:w="619" w:type="pct"/>
            <w:vMerge w:val="continue"/>
            <w:vAlign w:val="center"/>
          </w:tcPr>
          <w:p w14:paraId="039A4F18">
            <w:pPr>
              <w:ind w:firstLine="0" w:firstLineChars="0"/>
              <w:jc w:val="center"/>
              <w:rPr>
                <w:rFonts w:cs="黑体"/>
                <w:bCs/>
                <w:sz w:val="21"/>
                <w:szCs w:val="21"/>
              </w:rPr>
            </w:pPr>
          </w:p>
        </w:tc>
        <w:tc>
          <w:tcPr>
            <w:tcW w:w="839" w:type="pct"/>
            <w:vMerge w:val="continue"/>
            <w:vAlign w:val="center"/>
          </w:tcPr>
          <w:p w14:paraId="51D90770">
            <w:pPr>
              <w:ind w:firstLine="0" w:firstLineChars="0"/>
              <w:jc w:val="center"/>
              <w:rPr>
                <w:rFonts w:cs="黑体"/>
                <w:bCs/>
                <w:sz w:val="21"/>
                <w:szCs w:val="21"/>
              </w:rPr>
            </w:pPr>
          </w:p>
        </w:tc>
        <w:tc>
          <w:tcPr>
            <w:tcW w:w="839" w:type="pct"/>
            <w:vMerge w:val="continue"/>
            <w:vAlign w:val="center"/>
          </w:tcPr>
          <w:p w14:paraId="0DFF249D">
            <w:pPr>
              <w:ind w:firstLine="0" w:firstLineChars="0"/>
              <w:jc w:val="center"/>
              <w:rPr>
                <w:rFonts w:cs="黑体"/>
                <w:bCs/>
                <w:sz w:val="21"/>
                <w:szCs w:val="21"/>
              </w:rPr>
            </w:pPr>
          </w:p>
        </w:tc>
        <w:tc>
          <w:tcPr>
            <w:tcW w:w="963" w:type="pct"/>
            <w:vMerge w:val="continue"/>
            <w:vAlign w:val="center"/>
          </w:tcPr>
          <w:p w14:paraId="102C551C">
            <w:pPr>
              <w:ind w:firstLine="0" w:firstLineChars="0"/>
              <w:jc w:val="center"/>
              <w:rPr>
                <w:rFonts w:cs="黑体"/>
                <w:bCs/>
                <w:sz w:val="21"/>
                <w:szCs w:val="21"/>
              </w:rPr>
            </w:pPr>
          </w:p>
        </w:tc>
        <w:tc>
          <w:tcPr>
            <w:tcW w:w="651" w:type="pct"/>
            <w:vAlign w:val="center"/>
          </w:tcPr>
          <w:p w14:paraId="0FC9BDE2">
            <w:pPr>
              <w:ind w:firstLine="0" w:firstLineChars="0"/>
              <w:jc w:val="center"/>
              <w:rPr>
                <w:rFonts w:cs="黑体"/>
                <w:bCs/>
                <w:sz w:val="21"/>
                <w:szCs w:val="21"/>
              </w:rPr>
            </w:pPr>
            <w:r>
              <w:rPr>
                <w:rFonts w:hint="eastAsia" w:cs="黑体"/>
                <w:bCs/>
                <w:sz w:val="21"/>
                <w:szCs w:val="21"/>
              </w:rPr>
              <w:t>氨</w:t>
            </w:r>
          </w:p>
        </w:tc>
        <w:tc>
          <w:tcPr>
            <w:tcW w:w="714" w:type="pct"/>
            <w:vAlign w:val="center"/>
          </w:tcPr>
          <w:p w14:paraId="49864F1B">
            <w:pPr>
              <w:ind w:firstLine="0" w:firstLineChars="0"/>
              <w:jc w:val="center"/>
              <w:rPr>
                <w:rFonts w:cs="黑体"/>
                <w:bCs/>
                <w:sz w:val="21"/>
                <w:szCs w:val="21"/>
              </w:rPr>
            </w:pPr>
            <w:r>
              <w:rPr>
                <w:rFonts w:hint="eastAsia" w:cs="黑体"/>
                <w:bCs/>
                <w:sz w:val="21"/>
                <w:szCs w:val="21"/>
              </w:rPr>
              <w:t>硫化氢</w:t>
            </w:r>
          </w:p>
        </w:tc>
      </w:tr>
      <w:tr w14:paraId="100D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4941251E">
            <w:pPr>
              <w:ind w:firstLine="0" w:firstLineChars="0"/>
              <w:jc w:val="center"/>
              <w:rPr>
                <w:rFonts w:cs="黑体"/>
                <w:bCs/>
                <w:sz w:val="21"/>
                <w:szCs w:val="21"/>
              </w:rPr>
            </w:pPr>
            <w:r>
              <w:rPr>
                <w:rFonts w:hint="eastAsia" w:cs="黑体"/>
                <w:bCs/>
                <w:sz w:val="21"/>
                <w:szCs w:val="21"/>
              </w:rPr>
              <w:t>1</w:t>
            </w:r>
          </w:p>
        </w:tc>
        <w:tc>
          <w:tcPr>
            <w:tcW w:w="619" w:type="pct"/>
            <w:vAlign w:val="center"/>
          </w:tcPr>
          <w:p w14:paraId="6339D80C">
            <w:pPr>
              <w:ind w:firstLine="0" w:firstLineChars="0"/>
              <w:jc w:val="center"/>
              <w:rPr>
                <w:rFonts w:cs="黑体"/>
                <w:bCs/>
                <w:sz w:val="21"/>
                <w:szCs w:val="21"/>
              </w:rPr>
            </w:pPr>
            <w:r>
              <w:rPr>
                <w:rFonts w:hint="eastAsia" w:cs="黑体"/>
                <w:bCs/>
                <w:sz w:val="21"/>
                <w:szCs w:val="21"/>
              </w:rPr>
              <w:t>骆驼圈舍</w:t>
            </w:r>
          </w:p>
        </w:tc>
        <w:tc>
          <w:tcPr>
            <w:tcW w:w="839" w:type="pct"/>
            <w:vAlign w:val="center"/>
          </w:tcPr>
          <w:p w14:paraId="3D2230A2">
            <w:pPr>
              <w:ind w:firstLine="0" w:firstLineChars="0"/>
              <w:jc w:val="center"/>
              <w:rPr>
                <w:rFonts w:cs="黑体"/>
                <w:bCs/>
                <w:sz w:val="21"/>
                <w:szCs w:val="21"/>
              </w:rPr>
            </w:pPr>
            <w:r>
              <w:rPr>
                <w:rFonts w:hint="eastAsia" w:cs="黑体"/>
                <w:bCs/>
                <w:sz w:val="21"/>
                <w:szCs w:val="21"/>
              </w:rPr>
              <w:t>204</w:t>
            </w:r>
          </w:p>
        </w:tc>
        <w:tc>
          <w:tcPr>
            <w:tcW w:w="839" w:type="pct"/>
            <w:vAlign w:val="center"/>
          </w:tcPr>
          <w:p w14:paraId="63B07C62">
            <w:pPr>
              <w:ind w:firstLine="0" w:firstLineChars="0"/>
              <w:jc w:val="center"/>
              <w:rPr>
                <w:rFonts w:cs="黑体"/>
                <w:bCs/>
                <w:sz w:val="21"/>
                <w:szCs w:val="21"/>
              </w:rPr>
            </w:pPr>
            <w:r>
              <w:rPr>
                <w:rFonts w:hint="eastAsia" w:cs="黑体"/>
                <w:bCs/>
                <w:sz w:val="21"/>
                <w:szCs w:val="21"/>
              </w:rPr>
              <w:t>176</w:t>
            </w:r>
          </w:p>
        </w:tc>
        <w:tc>
          <w:tcPr>
            <w:tcW w:w="963" w:type="pct"/>
            <w:vAlign w:val="center"/>
          </w:tcPr>
          <w:p w14:paraId="04A0AB06">
            <w:pPr>
              <w:ind w:firstLine="0" w:firstLineChars="0"/>
              <w:jc w:val="center"/>
              <w:rPr>
                <w:rFonts w:cs="黑体"/>
                <w:bCs/>
                <w:sz w:val="21"/>
                <w:szCs w:val="21"/>
              </w:rPr>
            </w:pPr>
            <w:r>
              <w:rPr>
                <w:rFonts w:hint="eastAsia" w:cs="黑体"/>
                <w:bCs/>
                <w:sz w:val="21"/>
                <w:szCs w:val="21"/>
              </w:rPr>
              <w:t>10</w:t>
            </w:r>
          </w:p>
        </w:tc>
        <w:tc>
          <w:tcPr>
            <w:tcW w:w="651" w:type="pct"/>
            <w:vAlign w:val="center"/>
          </w:tcPr>
          <w:p w14:paraId="22CDBC7B">
            <w:pPr>
              <w:ind w:firstLine="0" w:firstLineChars="0"/>
              <w:jc w:val="center"/>
              <w:rPr>
                <w:rFonts w:cs="黑体"/>
                <w:bCs/>
                <w:sz w:val="21"/>
                <w:szCs w:val="21"/>
              </w:rPr>
            </w:pPr>
            <w:r>
              <w:rPr>
                <w:rFonts w:hint="eastAsia" w:cs="黑体"/>
                <w:bCs/>
                <w:sz w:val="21"/>
                <w:szCs w:val="21"/>
              </w:rPr>
              <w:t>0.028</w:t>
            </w:r>
          </w:p>
        </w:tc>
        <w:tc>
          <w:tcPr>
            <w:tcW w:w="714" w:type="pct"/>
            <w:vAlign w:val="center"/>
          </w:tcPr>
          <w:p w14:paraId="49C4701B">
            <w:pPr>
              <w:ind w:firstLine="0" w:firstLineChars="0"/>
              <w:jc w:val="center"/>
              <w:rPr>
                <w:rFonts w:cs="黑体"/>
                <w:bCs/>
                <w:sz w:val="21"/>
                <w:szCs w:val="21"/>
              </w:rPr>
            </w:pPr>
            <w:r>
              <w:rPr>
                <w:rFonts w:hint="eastAsia" w:cs="黑体"/>
                <w:bCs/>
                <w:sz w:val="21"/>
                <w:szCs w:val="21"/>
              </w:rPr>
              <w:t>0.0028</w:t>
            </w:r>
          </w:p>
        </w:tc>
      </w:tr>
      <w:tr w14:paraId="0512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77211138">
            <w:pPr>
              <w:ind w:firstLine="0" w:firstLineChars="0"/>
              <w:jc w:val="center"/>
              <w:rPr>
                <w:rFonts w:cs="黑体"/>
                <w:bCs/>
                <w:sz w:val="21"/>
                <w:szCs w:val="21"/>
              </w:rPr>
            </w:pPr>
            <w:r>
              <w:rPr>
                <w:rFonts w:hint="eastAsia" w:cs="黑体"/>
                <w:bCs/>
                <w:sz w:val="21"/>
                <w:szCs w:val="21"/>
              </w:rPr>
              <w:t>2</w:t>
            </w:r>
          </w:p>
        </w:tc>
        <w:tc>
          <w:tcPr>
            <w:tcW w:w="619" w:type="pct"/>
            <w:vAlign w:val="center"/>
          </w:tcPr>
          <w:p w14:paraId="4A9E8FAC">
            <w:pPr>
              <w:ind w:firstLine="0" w:firstLineChars="0"/>
              <w:jc w:val="center"/>
              <w:rPr>
                <w:rFonts w:cs="黑体"/>
                <w:bCs/>
                <w:sz w:val="21"/>
                <w:szCs w:val="21"/>
              </w:rPr>
            </w:pPr>
            <w:r>
              <w:rPr>
                <w:rFonts w:hint="eastAsia" w:cs="黑体"/>
                <w:bCs/>
                <w:sz w:val="21"/>
                <w:szCs w:val="21"/>
              </w:rPr>
              <w:t>堆肥场</w:t>
            </w:r>
          </w:p>
        </w:tc>
        <w:tc>
          <w:tcPr>
            <w:tcW w:w="839" w:type="pct"/>
            <w:vAlign w:val="center"/>
          </w:tcPr>
          <w:p w14:paraId="3FFA9CEA">
            <w:pPr>
              <w:ind w:firstLine="0" w:firstLineChars="0"/>
              <w:jc w:val="center"/>
              <w:rPr>
                <w:rFonts w:cs="黑体"/>
                <w:bCs/>
                <w:sz w:val="21"/>
                <w:szCs w:val="21"/>
              </w:rPr>
            </w:pPr>
            <w:r>
              <w:rPr>
                <w:rFonts w:hint="eastAsia" w:cs="黑体"/>
                <w:bCs/>
                <w:sz w:val="21"/>
                <w:szCs w:val="21"/>
              </w:rPr>
              <w:t>51</w:t>
            </w:r>
          </w:p>
        </w:tc>
        <w:tc>
          <w:tcPr>
            <w:tcW w:w="839" w:type="pct"/>
            <w:vAlign w:val="center"/>
          </w:tcPr>
          <w:p w14:paraId="0C629846">
            <w:pPr>
              <w:ind w:firstLine="0" w:firstLineChars="0"/>
              <w:jc w:val="center"/>
              <w:rPr>
                <w:rFonts w:cs="黑体"/>
                <w:bCs/>
                <w:sz w:val="21"/>
                <w:szCs w:val="21"/>
              </w:rPr>
            </w:pPr>
            <w:r>
              <w:rPr>
                <w:rFonts w:hint="eastAsia" w:cs="黑体"/>
                <w:bCs/>
                <w:sz w:val="21"/>
                <w:szCs w:val="21"/>
              </w:rPr>
              <w:t>44</w:t>
            </w:r>
          </w:p>
        </w:tc>
        <w:tc>
          <w:tcPr>
            <w:tcW w:w="963" w:type="pct"/>
            <w:vAlign w:val="center"/>
          </w:tcPr>
          <w:p w14:paraId="3D78720C">
            <w:pPr>
              <w:ind w:firstLine="0" w:firstLineChars="0"/>
              <w:jc w:val="center"/>
              <w:rPr>
                <w:rFonts w:cs="黑体"/>
                <w:bCs/>
                <w:sz w:val="21"/>
                <w:szCs w:val="21"/>
              </w:rPr>
            </w:pPr>
            <w:r>
              <w:rPr>
                <w:rFonts w:hint="eastAsia" w:cs="黑体"/>
                <w:bCs/>
                <w:sz w:val="21"/>
                <w:szCs w:val="21"/>
              </w:rPr>
              <w:t>10</w:t>
            </w:r>
          </w:p>
        </w:tc>
        <w:tc>
          <w:tcPr>
            <w:tcW w:w="651" w:type="pct"/>
            <w:vAlign w:val="center"/>
          </w:tcPr>
          <w:p w14:paraId="50BC0E2D">
            <w:pPr>
              <w:ind w:firstLine="0" w:firstLineChars="0"/>
              <w:jc w:val="center"/>
              <w:rPr>
                <w:rFonts w:cs="黑体"/>
                <w:bCs/>
                <w:sz w:val="21"/>
                <w:szCs w:val="21"/>
              </w:rPr>
            </w:pPr>
            <w:r>
              <w:rPr>
                <w:rFonts w:hint="eastAsia" w:cs="黑体"/>
                <w:bCs/>
                <w:sz w:val="21"/>
                <w:szCs w:val="21"/>
              </w:rPr>
              <w:t>0.000986</w:t>
            </w:r>
          </w:p>
        </w:tc>
        <w:tc>
          <w:tcPr>
            <w:tcW w:w="714" w:type="pct"/>
            <w:vAlign w:val="center"/>
          </w:tcPr>
          <w:p w14:paraId="5978A9B1">
            <w:pPr>
              <w:ind w:firstLine="0" w:firstLineChars="0"/>
              <w:jc w:val="center"/>
              <w:rPr>
                <w:rFonts w:cs="黑体"/>
                <w:bCs/>
                <w:sz w:val="21"/>
                <w:szCs w:val="21"/>
              </w:rPr>
            </w:pPr>
            <w:r>
              <w:rPr>
                <w:rFonts w:hint="eastAsia" w:cs="黑体"/>
                <w:bCs/>
                <w:sz w:val="21"/>
                <w:szCs w:val="21"/>
              </w:rPr>
              <w:t>0.0000196</w:t>
            </w:r>
          </w:p>
        </w:tc>
      </w:tr>
    </w:tbl>
    <w:p w14:paraId="3B7DEF1F">
      <w:pPr>
        <w:ind w:firstLine="480"/>
      </w:pPr>
      <w:r>
        <w:rPr>
          <w:rFonts w:hint="eastAsia"/>
        </w:rPr>
        <w:t>本项目选取主要的面源废气污染物作为等级判定的依据，其最大地面浓度占标率P</w:t>
      </w:r>
      <w:r>
        <w:rPr>
          <w:rFonts w:hint="eastAsia"/>
          <w:vertAlign w:val="subscript"/>
        </w:rPr>
        <w:t>max</w:t>
      </w:r>
      <w:r>
        <w:rPr>
          <w:rFonts w:hint="eastAsia"/>
        </w:rPr>
        <w:t>计算结果见表2.6-4。</w:t>
      </w:r>
    </w:p>
    <w:p w14:paraId="694B565F">
      <w:pPr>
        <w:pStyle w:val="11"/>
      </w:pPr>
      <w:r>
        <w:rPr>
          <w:rFonts w:hint="eastAsia"/>
        </w:rPr>
        <w:t>表2.6-4各污染物Pi计算结果</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42"/>
        <w:gridCol w:w="1987"/>
        <w:gridCol w:w="1701"/>
        <w:gridCol w:w="1416"/>
        <w:gridCol w:w="1363"/>
      </w:tblGrid>
      <w:tr w14:paraId="2ED5D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2303" w:type="pct"/>
            <w:gridSpan w:val="2"/>
            <w:vAlign w:val="center"/>
          </w:tcPr>
          <w:p w14:paraId="0A3D59C0">
            <w:pPr>
              <w:ind w:firstLine="0" w:firstLineChars="0"/>
              <w:jc w:val="center"/>
              <w:rPr>
                <w:rFonts w:cs="宋体"/>
                <w:sz w:val="21"/>
                <w:szCs w:val="21"/>
              </w:rPr>
            </w:pPr>
            <w:r>
              <w:rPr>
                <w:rFonts w:cs="宋体"/>
                <w:sz w:val="21"/>
                <w:szCs w:val="21"/>
              </w:rPr>
              <w:t>参数名称</w:t>
            </w:r>
          </w:p>
        </w:tc>
        <w:tc>
          <w:tcPr>
            <w:tcW w:w="1023" w:type="pct"/>
            <w:vAlign w:val="center"/>
          </w:tcPr>
          <w:p w14:paraId="6EA8C90E">
            <w:pPr>
              <w:ind w:firstLine="0" w:firstLineChars="0"/>
              <w:jc w:val="center"/>
              <w:rPr>
                <w:rFonts w:cs="宋体"/>
                <w:sz w:val="21"/>
                <w:szCs w:val="21"/>
              </w:rPr>
            </w:pPr>
            <w:r>
              <w:rPr>
                <w:rFonts w:cs="宋体"/>
                <w:sz w:val="21"/>
                <w:szCs w:val="21"/>
              </w:rPr>
              <w:t>最大落地浓度</w:t>
            </w:r>
          </w:p>
        </w:tc>
        <w:tc>
          <w:tcPr>
            <w:tcW w:w="852" w:type="pct"/>
            <w:vAlign w:val="center"/>
          </w:tcPr>
          <w:p w14:paraId="5C3601AA">
            <w:pPr>
              <w:ind w:firstLine="0" w:firstLineChars="0"/>
              <w:jc w:val="center"/>
              <w:rPr>
                <w:sz w:val="21"/>
                <w:szCs w:val="21"/>
              </w:rPr>
            </w:pPr>
            <w:r>
              <w:rPr>
                <w:sz w:val="21"/>
                <w:szCs w:val="21"/>
              </w:rPr>
              <w:t>P</w:t>
            </w:r>
            <w:r>
              <w:rPr>
                <w:sz w:val="21"/>
                <w:szCs w:val="21"/>
                <w:vertAlign w:val="subscript"/>
              </w:rPr>
              <w:t>max</w:t>
            </w:r>
          </w:p>
        </w:tc>
        <w:tc>
          <w:tcPr>
            <w:tcW w:w="820" w:type="pct"/>
            <w:vAlign w:val="center"/>
          </w:tcPr>
          <w:p w14:paraId="1EEAC009">
            <w:pPr>
              <w:ind w:firstLine="0" w:firstLineChars="0"/>
              <w:jc w:val="center"/>
              <w:rPr>
                <w:rFonts w:cs="宋体"/>
                <w:sz w:val="21"/>
                <w:szCs w:val="21"/>
              </w:rPr>
            </w:pPr>
            <w:r>
              <w:rPr>
                <w:rFonts w:cs="宋体"/>
                <w:sz w:val="21"/>
                <w:szCs w:val="21"/>
              </w:rPr>
              <w:t>最大落地点</w:t>
            </w:r>
          </w:p>
        </w:tc>
      </w:tr>
      <w:tr w14:paraId="03CD0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08" w:type="pct"/>
            <w:vAlign w:val="center"/>
          </w:tcPr>
          <w:p w14:paraId="5C4A5F7A">
            <w:pPr>
              <w:ind w:firstLine="0" w:firstLineChars="0"/>
              <w:jc w:val="center"/>
              <w:rPr>
                <w:rFonts w:cs="宋体"/>
                <w:sz w:val="21"/>
                <w:szCs w:val="21"/>
              </w:rPr>
            </w:pPr>
            <w:r>
              <w:rPr>
                <w:rFonts w:cs="宋体"/>
                <w:sz w:val="21"/>
                <w:szCs w:val="21"/>
              </w:rPr>
              <w:t>污染源</w:t>
            </w:r>
          </w:p>
        </w:tc>
        <w:tc>
          <w:tcPr>
            <w:tcW w:w="1194" w:type="pct"/>
            <w:vAlign w:val="center"/>
          </w:tcPr>
          <w:p w14:paraId="2C3DC05C">
            <w:pPr>
              <w:ind w:firstLine="0" w:firstLineChars="0"/>
              <w:jc w:val="center"/>
              <w:rPr>
                <w:rFonts w:cs="宋体"/>
                <w:sz w:val="21"/>
                <w:szCs w:val="21"/>
              </w:rPr>
            </w:pPr>
            <w:r>
              <w:rPr>
                <w:rFonts w:cs="宋体"/>
                <w:sz w:val="21"/>
                <w:szCs w:val="21"/>
              </w:rPr>
              <w:t>污染物</w:t>
            </w:r>
          </w:p>
        </w:tc>
        <w:tc>
          <w:tcPr>
            <w:tcW w:w="1023" w:type="pct"/>
            <w:vAlign w:val="center"/>
          </w:tcPr>
          <w:p w14:paraId="5809589F">
            <w:pPr>
              <w:ind w:firstLine="0" w:firstLineChars="0"/>
              <w:jc w:val="center"/>
              <w:rPr>
                <w:sz w:val="21"/>
                <w:szCs w:val="14"/>
                <w:vertAlign w:val="superscript"/>
              </w:rPr>
            </w:pPr>
            <w:r>
              <w:rPr>
                <w:rFonts w:hint="eastAsia"/>
                <w:sz w:val="21"/>
                <w:szCs w:val="21"/>
              </w:rPr>
              <w:t>u</w:t>
            </w:r>
            <w:r>
              <w:rPr>
                <w:sz w:val="21"/>
                <w:szCs w:val="21"/>
              </w:rPr>
              <w:t>g/m</w:t>
            </w:r>
            <w:r>
              <w:rPr>
                <w:rFonts w:hint="eastAsia"/>
                <w:sz w:val="21"/>
                <w:szCs w:val="21"/>
                <w:vertAlign w:val="superscript"/>
              </w:rPr>
              <w:t>3</w:t>
            </w:r>
          </w:p>
        </w:tc>
        <w:tc>
          <w:tcPr>
            <w:tcW w:w="852" w:type="pct"/>
            <w:vAlign w:val="center"/>
          </w:tcPr>
          <w:p w14:paraId="7999A55F">
            <w:pPr>
              <w:ind w:firstLine="0" w:firstLineChars="0"/>
              <w:jc w:val="center"/>
              <w:rPr>
                <w:sz w:val="21"/>
                <w:szCs w:val="21"/>
              </w:rPr>
            </w:pPr>
            <w:r>
              <w:rPr>
                <w:sz w:val="21"/>
                <w:szCs w:val="21"/>
              </w:rPr>
              <w:t>%</w:t>
            </w:r>
          </w:p>
        </w:tc>
        <w:tc>
          <w:tcPr>
            <w:tcW w:w="820" w:type="pct"/>
            <w:vAlign w:val="center"/>
          </w:tcPr>
          <w:p w14:paraId="166A3702">
            <w:pPr>
              <w:ind w:firstLine="0" w:firstLineChars="0"/>
              <w:jc w:val="center"/>
              <w:rPr>
                <w:sz w:val="21"/>
                <w:szCs w:val="21"/>
              </w:rPr>
            </w:pPr>
            <w:r>
              <w:rPr>
                <w:sz w:val="21"/>
                <w:szCs w:val="21"/>
              </w:rPr>
              <w:t>m</w:t>
            </w:r>
          </w:p>
        </w:tc>
      </w:tr>
      <w:tr w14:paraId="7CACB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08" w:type="pct"/>
            <w:vMerge w:val="restart"/>
            <w:tcBorders>
              <w:bottom w:val="nil"/>
            </w:tcBorders>
            <w:vAlign w:val="center"/>
          </w:tcPr>
          <w:p w14:paraId="6B99B6DE">
            <w:pPr>
              <w:ind w:firstLine="0" w:firstLineChars="0"/>
              <w:jc w:val="center"/>
              <w:rPr>
                <w:rFonts w:cs="宋体"/>
                <w:sz w:val="21"/>
                <w:szCs w:val="21"/>
              </w:rPr>
            </w:pPr>
            <w:r>
              <w:rPr>
                <w:rFonts w:cs="宋体"/>
                <w:sz w:val="21"/>
                <w:szCs w:val="21"/>
              </w:rPr>
              <w:t>无组织</w:t>
            </w:r>
          </w:p>
        </w:tc>
        <w:tc>
          <w:tcPr>
            <w:tcW w:w="1194" w:type="pct"/>
            <w:vAlign w:val="center"/>
          </w:tcPr>
          <w:p w14:paraId="03095B36">
            <w:pPr>
              <w:ind w:firstLine="0" w:firstLineChars="0"/>
              <w:jc w:val="center"/>
              <w:rPr>
                <w:sz w:val="21"/>
                <w:szCs w:val="21"/>
              </w:rPr>
            </w:pPr>
            <w:r>
              <w:rPr>
                <w:sz w:val="21"/>
                <w:szCs w:val="21"/>
              </w:rPr>
              <w:t>NH</w:t>
            </w:r>
            <w:r>
              <w:rPr>
                <w:position w:val="-1"/>
                <w:sz w:val="21"/>
                <w:szCs w:val="14"/>
                <w:vertAlign w:val="subscript"/>
              </w:rPr>
              <w:t>3</w:t>
            </w:r>
          </w:p>
        </w:tc>
        <w:tc>
          <w:tcPr>
            <w:tcW w:w="1698" w:type="dxa"/>
            <w:vAlign w:val="center"/>
          </w:tcPr>
          <w:p w14:paraId="18FCE423">
            <w:pPr>
              <w:widowControl/>
              <w:ind w:firstLine="0" w:firstLineChars="0"/>
              <w:jc w:val="center"/>
              <w:textAlignment w:val="center"/>
              <w:rPr>
                <w:sz w:val="21"/>
                <w:szCs w:val="21"/>
              </w:rPr>
            </w:pPr>
            <w:r>
              <w:rPr>
                <w:rFonts w:hint="eastAsia" w:cs="宋体"/>
                <w:sz w:val="21"/>
                <w:szCs w:val="22"/>
                <w:lang w:bidi="ar"/>
              </w:rPr>
              <w:t>5.969</w:t>
            </w:r>
          </w:p>
        </w:tc>
        <w:tc>
          <w:tcPr>
            <w:tcW w:w="1414" w:type="dxa"/>
            <w:vAlign w:val="center"/>
          </w:tcPr>
          <w:p w14:paraId="38C8CB10">
            <w:pPr>
              <w:widowControl/>
              <w:ind w:firstLine="0" w:firstLineChars="0"/>
              <w:jc w:val="center"/>
              <w:textAlignment w:val="center"/>
              <w:rPr>
                <w:sz w:val="21"/>
                <w:szCs w:val="21"/>
              </w:rPr>
            </w:pPr>
            <w:r>
              <w:rPr>
                <w:rFonts w:hint="eastAsia" w:cs="宋体"/>
                <w:sz w:val="21"/>
                <w:szCs w:val="22"/>
                <w:lang w:bidi="ar"/>
              </w:rPr>
              <w:t>2.9844999</w:t>
            </w:r>
          </w:p>
        </w:tc>
        <w:tc>
          <w:tcPr>
            <w:tcW w:w="820" w:type="pct"/>
            <w:vAlign w:val="center"/>
          </w:tcPr>
          <w:p w14:paraId="0A230613">
            <w:pPr>
              <w:ind w:firstLine="0" w:firstLineChars="0"/>
              <w:jc w:val="center"/>
              <w:rPr>
                <w:sz w:val="21"/>
                <w:szCs w:val="21"/>
              </w:rPr>
            </w:pPr>
            <w:r>
              <w:rPr>
                <w:rFonts w:hint="eastAsia"/>
                <w:sz w:val="21"/>
                <w:szCs w:val="21"/>
              </w:rPr>
              <w:t>167</w:t>
            </w:r>
          </w:p>
        </w:tc>
      </w:tr>
      <w:tr w14:paraId="14F47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08" w:type="pct"/>
            <w:vMerge w:val="continue"/>
            <w:tcBorders>
              <w:top w:val="nil"/>
            </w:tcBorders>
            <w:vAlign w:val="center"/>
          </w:tcPr>
          <w:p w14:paraId="0823BC2D">
            <w:pPr>
              <w:ind w:firstLine="0" w:firstLineChars="0"/>
              <w:jc w:val="center"/>
              <w:rPr>
                <w:sz w:val="21"/>
              </w:rPr>
            </w:pPr>
          </w:p>
        </w:tc>
        <w:tc>
          <w:tcPr>
            <w:tcW w:w="1194" w:type="pct"/>
            <w:vAlign w:val="center"/>
          </w:tcPr>
          <w:p w14:paraId="5DF6B0EF">
            <w:pPr>
              <w:ind w:firstLine="0" w:firstLineChars="0"/>
              <w:jc w:val="center"/>
              <w:rPr>
                <w:sz w:val="21"/>
                <w:szCs w:val="14"/>
              </w:rPr>
            </w:pPr>
            <w:r>
              <w:rPr>
                <w:sz w:val="21"/>
                <w:szCs w:val="21"/>
              </w:rPr>
              <w:t>H</w:t>
            </w:r>
            <w:r>
              <w:rPr>
                <w:position w:val="-1"/>
                <w:sz w:val="21"/>
                <w:szCs w:val="14"/>
                <w:vertAlign w:val="subscript"/>
              </w:rPr>
              <w:t>2</w:t>
            </w:r>
            <w:r>
              <w:rPr>
                <w:sz w:val="21"/>
                <w:szCs w:val="21"/>
              </w:rPr>
              <w:t>S</w:t>
            </w:r>
          </w:p>
        </w:tc>
        <w:tc>
          <w:tcPr>
            <w:tcW w:w="1698" w:type="dxa"/>
            <w:vAlign w:val="center"/>
          </w:tcPr>
          <w:p w14:paraId="5BEEAF91">
            <w:pPr>
              <w:widowControl/>
              <w:ind w:firstLine="0" w:firstLineChars="0"/>
              <w:jc w:val="center"/>
              <w:textAlignment w:val="center"/>
              <w:rPr>
                <w:sz w:val="21"/>
                <w:szCs w:val="21"/>
              </w:rPr>
            </w:pPr>
            <w:r>
              <w:rPr>
                <w:rFonts w:hint="eastAsia" w:cs="宋体"/>
                <w:sz w:val="21"/>
                <w:szCs w:val="22"/>
                <w:lang w:bidi="ar"/>
              </w:rPr>
              <w:t>0.6006</w:t>
            </w:r>
          </w:p>
        </w:tc>
        <w:tc>
          <w:tcPr>
            <w:tcW w:w="1414" w:type="dxa"/>
            <w:vAlign w:val="center"/>
          </w:tcPr>
          <w:p w14:paraId="6ED23958">
            <w:pPr>
              <w:widowControl/>
              <w:ind w:firstLine="0" w:firstLineChars="0"/>
              <w:jc w:val="center"/>
              <w:textAlignment w:val="center"/>
              <w:rPr>
                <w:sz w:val="21"/>
                <w:szCs w:val="21"/>
              </w:rPr>
            </w:pPr>
            <w:r>
              <w:rPr>
                <w:rFonts w:hint="eastAsia" w:cs="宋体"/>
                <w:sz w:val="21"/>
                <w:szCs w:val="22"/>
                <w:lang w:bidi="ar"/>
              </w:rPr>
              <w:t>6.006</w:t>
            </w:r>
          </w:p>
        </w:tc>
        <w:tc>
          <w:tcPr>
            <w:tcW w:w="820" w:type="pct"/>
            <w:vAlign w:val="center"/>
          </w:tcPr>
          <w:p w14:paraId="11EEE5D9">
            <w:pPr>
              <w:ind w:firstLine="0" w:firstLineChars="0"/>
              <w:jc w:val="center"/>
              <w:rPr>
                <w:sz w:val="21"/>
                <w:szCs w:val="21"/>
              </w:rPr>
            </w:pPr>
            <w:r>
              <w:rPr>
                <w:rFonts w:hint="eastAsia"/>
                <w:sz w:val="21"/>
                <w:szCs w:val="21"/>
              </w:rPr>
              <w:t>167</w:t>
            </w:r>
          </w:p>
        </w:tc>
      </w:tr>
    </w:tbl>
    <w:p w14:paraId="01E5B171">
      <w:pPr>
        <w:ind w:firstLine="480"/>
      </w:pPr>
      <w:r>
        <w:rPr>
          <w:rFonts w:hint="eastAsia"/>
        </w:rPr>
        <w:t>（3）确定评价等级</w:t>
      </w:r>
    </w:p>
    <w:p w14:paraId="63D4E748">
      <w:pPr>
        <w:ind w:firstLine="480"/>
      </w:pPr>
      <w:r>
        <w:t>根据估算结果表明，NH</w:t>
      </w:r>
      <w:r>
        <w:rPr>
          <w:vertAlign w:val="subscript"/>
        </w:rPr>
        <w:t>3</w:t>
      </w:r>
      <w:r>
        <w:t>最大地面空气质量浓度占标率为</w:t>
      </w:r>
      <w:r>
        <w:rPr>
          <w:rFonts w:hint="eastAsia"/>
        </w:rPr>
        <w:t>2.984</w:t>
      </w:r>
      <w:r>
        <w:t>%，H</w:t>
      </w:r>
      <w:r>
        <w:rPr>
          <w:vertAlign w:val="subscript"/>
        </w:rPr>
        <w:t>2</w:t>
      </w:r>
      <w:r>
        <w:t>S最大地面空气质量浓度占标率为</w:t>
      </w:r>
      <w:r>
        <w:rPr>
          <w:rFonts w:hint="eastAsia"/>
        </w:rPr>
        <w:t>6.006</w:t>
      </w:r>
      <w:r>
        <w:t>%，根据表</w:t>
      </w:r>
      <w:r>
        <w:rPr>
          <w:rFonts w:hint="eastAsia"/>
        </w:rPr>
        <w:t>2.6-1</w:t>
      </w:r>
      <w:r>
        <w:t>评价等级判别表，确定本项目大气环境评价等级为</w:t>
      </w:r>
      <w:r>
        <w:rPr>
          <w:rFonts w:hint="eastAsia"/>
        </w:rPr>
        <w:t>二</w:t>
      </w:r>
      <w:r>
        <w:t>级</w:t>
      </w:r>
      <w:r>
        <w:rPr>
          <w:rFonts w:hint="eastAsia"/>
        </w:rPr>
        <w:t>。</w:t>
      </w:r>
    </w:p>
    <w:p w14:paraId="79B9ADF1">
      <w:pPr>
        <w:pStyle w:val="6"/>
        <w:ind w:firstLine="482"/>
      </w:pPr>
      <w:r>
        <w:rPr>
          <w:rFonts w:hint="eastAsia"/>
        </w:rPr>
        <w:t>2.6.1.2水环境评价等级</w:t>
      </w:r>
    </w:p>
    <w:p w14:paraId="6352DFE6">
      <w:pPr>
        <w:ind w:firstLine="480"/>
      </w:pPr>
      <w:r>
        <w:rPr>
          <w:rFonts w:hint="eastAsia"/>
        </w:rPr>
        <w:t>（1）地表水</w:t>
      </w:r>
    </w:p>
    <w:p w14:paraId="7D646360">
      <w:pPr>
        <w:ind w:firstLine="480"/>
      </w:pPr>
      <w:r>
        <w:rPr>
          <w:rFonts w:hint="eastAsia"/>
        </w:rPr>
        <w:t>根据《环境影响评价技术导则地表水环境》（HJ2.3-2018），地表水评价等级分级表见表2.6-5。</w:t>
      </w:r>
    </w:p>
    <w:p w14:paraId="0F455E80">
      <w:pPr>
        <w:pStyle w:val="11"/>
      </w:pPr>
      <w:r>
        <w:rPr>
          <w:rFonts w:hint="eastAsia"/>
        </w:rPr>
        <w:t>表2.6-5地表水评价等级分级表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2269"/>
        <w:gridCol w:w="4445"/>
      </w:tblGrid>
      <w:tr w14:paraId="1E86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Merge w:val="restart"/>
            <w:vAlign w:val="center"/>
          </w:tcPr>
          <w:p w14:paraId="73471B74">
            <w:pPr>
              <w:spacing w:line="240" w:lineRule="auto"/>
              <w:ind w:firstLine="0" w:firstLineChars="0"/>
              <w:jc w:val="center"/>
              <w:rPr>
                <w:sz w:val="21"/>
                <w:szCs w:val="21"/>
              </w:rPr>
            </w:pPr>
            <w:r>
              <w:rPr>
                <w:rFonts w:hint="eastAsia"/>
                <w:sz w:val="21"/>
                <w:szCs w:val="21"/>
              </w:rPr>
              <w:t>评价等级</w:t>
            </w:r>
          </w:p>
        </w:tc>
        <w:tc>
          <w:tcPr>
            <w:tcW w:w="3939" w:type="pct"/>
            <w:gridSpan w:val="2"/>
            <w:vAlign w:val="center"/>
          </w:tcPr>
          <w:p w14:paraId="09F531DF">
            <w:pPr>
              <w:spacing w:line="240" w:lineRule="auto"/>
              <w:ind w:firstLine="0" w:firstLineChars="0"/>
              <w:jc w:val="center"/>
              <w:rPr>
                <w:sz w:val="21"/>
                <w:szCs w:val="21"/>
              </w:rPr>
            </w:pPr>
            <w:r>
              <w:rPr>
                <w:rFonts w:hint="eastAsia"/>
                <w:sz w:val="21"/>
                <w:szCs w:val="21"/>
              </w:rPr>
              <w:t>判定依据</w:t>
            </w:r>
          </w:p>
        </w:tc>
      </w:tr>
      <w:tr w14:paraId="0DF2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Merge w:val="continue"/>
            <w:vAlign w:val="center"/>
          </w:tcPr>
          <w:p w14:paraId="3960E7F2">
            <w:pPr>
              <w:spacing w:line="240" w:lineRule="auto"/>
              <w:ind w:firstLine="0" w:firstLineChars="0"/>
              <w:jc w:val="center"/>
              <w:rPr>
                <w:sz w:val="21"/>
                <w:szCs w:val="21"/>
              </w:rPr>
            </w:pPr>
          </w:p>
        </w:tc>
        <w:tc>
          <w:tcPr>
            <w:tcW w:w="1331" w:type="pct"/>
            <w:vAlign w:val="center"/>
          </w:tcPr>
          <w:p w14:paraId="55AEF785">
            <w:pPr>
              <w:spacing w:line="240" w:lineRule="auto"/>
              <w:ind w:firstLine="0" w:firstLineChars="0"/>
              <w:jc w:val="center"/>
              <w:rPr>
                <w:sz w:val="21"/>
                <w:szCs w:val="21"/>
              </w:rPr>
            </w:pPr>
            <w:r>
              <w:rPr>
                <w:rFonts w:hint="eastAsia"/>
                <w:sz w:val="21"/>
                <w:szCs w:val="21"/>
              </w:rPr>
              <w:t>排放方式</w:t>
            </w:r>
          </w:p>
        </w:tc>
        <w:tc>
          <w:tcPr>
            <w:tcW w:w="2608" w:type="pct"/>
            <w:vAlign w:val="center"/>
          </w:tcPr>
          <w:p w14:paraId="345A8388">
            <w:pPr>
              <w:spacing w:line="240" w:lineRule="auto"/>
              <w:ind w:firstLine="0" w:firstLineChars="0"/>
              <w:jc w:val="center"/>
              <w:rPr>
                <w:sz w:val="21"/>
                <w:szCs w:val="21"/>
              </w:rPr>
            </w:pPr>
            <w:r>
              <w:rPr>
                <w:rFonts w:hint="eastAsia"/>
                <w:sz w:val="21"/>
                <w:szCs w:val="21"/>
              </w:rPr>
              <w:t>废水排放量Q/（m</w:t>
            </w:r>
            <w:r>
              <w:rPr>
                <w:rFonts w:hint="eastAsia"/>
                <w:sz w:val="21"/>
                <w:szCs w:val="21"/>
                <w:vertAlign w:val="superscript"/>
              </w:rPr>
              <w:t>3/</w:t>
            </w:r>
            <w:r>
              <w:rPr>
                <w:rFonts w:hint="eastAsia"/>
                <w:sz w:val="21"/>
                <w:szCs w:val="21"/>
              </w:rPr>
              <w:t>d）；</w:t>
            </w:r>
          </w:p>
          <w:p w14:paraId="0F74C68F">
            <w:pPr>
              <w:spacing w:line="240" w:lineRule="auto"/>
              <w:ind w:firstLine="0" w:firstLineChars="0"/>
              <w:jc w:val="center"/>
              <w:rPr>
                <w:sz w:val="21"/>
                <w:szCs w:val="21"/>
              </w:rPr>
            </w:pPr>
            <w:r>
              <w:rPr>
                <w:rFonts w:hint="eastAsia"/>
                <w:sz w:val="21"/>
                <w:szCs w:val="21"/>
              </w:rPr>
              <w:t>水污染物当量数W/（量纲一）</w:t>
            </w:r>
          </w:p>
        </w:tc>
      </w:tr>
      <w:tr w14:paraId="3E6A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1CDE9C66">
            <w:pPr>
              <w:spacing w:line="240" w:lineRule="auto"/>
              <w:ind w:firstLine="0" w:firstLineChars="0"/>
              <w:jc w:val="center"/>
              <w:rPr>
                <w:sz w:val="21"/>
                <w:szCs w:val="21"/>
              </w:rPr>
            </w:pPr>
            <w:r>
              <w:rPr>
                <w:rFonts w:hint="eastAsia"/>
                <w:sz w:val="21"/>
                <w:szCs w:val="21"/>
              </w:rPr>
              <w:t>一级</w:t>
            </w:r>
          </w:p>
        </w:tc>
        <w:tc>
          <w:tcPr>
            <w:tcW w:w="1331" w:type="pct"/>
            <w:vAlign w:val="center"/>
          </w:tcPr>
          <w:p w14:paraId="2322AF33">
            <w:pPr>
              <w:spacing w:line="240" w:lineRule="auto"/>
              <w:ind w:firstLine="0" w:firstLineChars="0"/>
              <w:jc w:val="center"/>
              <w:rPr>
                <w:sz w:val="21"/>
                <w:szCs w:val="21"/>
              </w:rPr>
            </w:pPr>
            <w:r>
              <w:rPr>
                <w:rFonts w:hint="eastAsia"/>
                <w:sz w:val="21"/>
                <w:szCs w:val="21"/>
              </w:rPr>
              <w:t>直接排放</w:t>
            </w:r>
          </w:p>
        </w:tc>
        <w:tc>
          <w:tcPr>
            <w:tcW w:w="2608" w:type="pct"/>
            <w:vAlign w:val="center"/>
          </w:tcPr>
          <w:p w14:paraId="04A80F92">
            <w:pPr>
              <w:spacing w:line="240" w:lineRule="auto"/>
              <w:ind w:firstLine="0" w:firstLineChars="0"/>
              <w:jc w:val="center"/>
              <w:rPr>
                <w:sz w:val="21"/>
                <w:szCs w:val="21"/>
              </w:rPr>
            </w:pPr>
            <w:r>
              <w:rPr>
                <w:rFonts w:hint="eastAsia"/>
                <w:sz w:val="21"/>
                <w:szCs w:val="21"/>
              </w:rPr>
              <w:t>Q≥20000或W≥600000</w:t>
            </w:r>
          </w:p>
        </w:tc>
      </w:tr>
      <w:tr w14:paraId="7C02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0724A84E">
            <w:pPr>
              <w:spacing w:line="240" w:lineRule="auto"/>
              <w:ind w:firstLine="0" w:firstLineChars="0"/>
              <w:jc w:val="center"/>
              <w:rPr>
                <w:sz w:val="21"/>
                <w:szCs w:val="21"/>
              </w:rPr>
            </w:pPr>
            <w:r>
              <w:rPr>
                <w:rFonts w:hint="eastAsia"/>
                <w:sz w:val="21"/>
                <w:szCs w:val="21"/>
              </w:rPr>
              <w:t>二级</w:t>
            </w:r>
          </w:p>
        </w:tc>
        <w:tc>
          <w:tcPr>
            <w:tcW w:w="1331" w:type="pct"/>
            <w:vAlign w:val="center"/>
          </w:tcPr>
          <w:p w14:paraId="24597D92">
            <w:pPr>
              <w:spacing w:line="240" w:lineRule="auto"/>
              <w:ind w:firstLine="0" w:firstLineChars="0"/>
              <w:jc w:val="center"/>
              <w:rPr>
                <w:sz w:val="21"/>
                <w:szCs w:val="21"/>
              </w:rPr>
            </w:pPr>
            <w:r>
              <w:rPr>
                <w:rFonts w:hint="eastAsia"/>
                <w:sz w:val="21"/>
                <w:szCs w:val="21"/>
              </w:rPr>
              <w:t>直接排放</w:t>
            </w:r>
          </w:p>
        </w:tc>
        <w:tc>
          <w:tcPr>
            <w:tcW w:w="2608" w:type="pct"/>
            <w:vAlign w:val="center"/>
          </w:tcPr>
          <w:p w14:paraId="18331D96">
            <w:pPr>
              <w:spacing w:line="240" w:lineRule="auto"/>
              <w:ind w:firstLine="0" w:firstLineChars="0"/>
              <w:jc w:val="center"/>
              <w:rPr>
                <w:sz w:val="21"/>
                <w:szCs w:val="21"/>
              </w:rPr>
            </w:pPr>
            <w:r>
              <w:rPr>
                <w:rFonts w:hint="eastAsia"/>
                <w:sz w:val="21"/>
                <w:szCs w:val="21"/>
              </w:rPr>
              <w:t>其他</w:t>
            </w:r>
          </w:p>
        </w:tc>
      </w:tr>
      <w:tr w14:paraId="03B3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123D16B9">
            <w:pPr>
              <w:spacing w:line="240" w:lineRule="auto"/>
              <w:ind w:firstLine="0" w:firstLineChars="0"/>
              <w:jc w:val="center"/>
              <w:rPr>
                <w:sz w:val="21"/>
                <w:szCs w:val="21"/>
              </w:rPr>
            </w:pPr>
            <w:r>
              <w:rPr>
                <w:rFonts w:hint="eastAsia"/>
                <w:sz w:val="21"/>
                <w:szCs w:val="21"/>
              </w:rPr>
              <w:t>三级A</w:t>
            </w:r>
          </w:p>
        </w:tc>
        <w:tc>
          <w:tcPr>
            <w:tcW w:w="1331" w:type="pct"/>
            <w:vAlign w:val="center"/>
          </w:tcPr>
          <w:p w14:paraId="4C9D6609">
            <w:pPr>
              <w:spacing w:line="240" w:lineRule="auto"/>
              <w:ind w:firstLine="0" w:firstLineChars="0"/>
              <w:jc w:val="center"/>
              <w:rPr>
                <w:sz w:val="21"/>
                <w:szCs w:val="21"/>
              </w:rPr>
            </w:pPr>
            <w:r>
              <w:rPr>
                <w:rFonts w:hint="eastAsia"/>
                <w:sz w:val="21"/>
                <w:szCs w:val="21"/>
              </w:rPr>
              <w:t>直接排放</w:t>
            </w:r>
          </w:p>
        </w:tc>
        <w:tc>
          <w:tcPr>
            <w:tcW w:w="2608" w:type="pct"/>
            <w:vAlign w:val="center"/>
          </w:tcPr>
          <w:p w14:paraId="4D605544">
            <w:pPr>
              <w:spacing w:line="240" w:lineRule="auto"/>
              <w:ind w:firstLine="0" w:firstLineChars="0"/>
              <w:jc w:val="center"/>
              <w:rPr>
                <w:sz w:val="21"/>
                <w:szCs w:val="21"/>
              </w:rPr>
            </w:pPr>
            <w:r>
              <w:rPr>
                <w:rFonts w:hint="eastAsia"/>
                <w:sz w:val="21"/>
                <w:szCs w:val="21"/>
              </w:rPr>
              <w:t>Q＜200且W＜6000</w:t>
            </w:r>
          </w:p>
        </w:tc>
      </w:tr>
      <w:tr w14:paraId="1FC5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265A9C73">
            <w:pPr>
              <w:spacing w:line="240" w:lineRule="auto"/>
              <w:ind w:firstLine="0" w:firstLineChars="0"/>
              <w:jc w:val="center"/>
              <w:rPr>
                <w:sz w:val="21"/>
                <w:szCs w:val="21"/>
              </w:rPr>
            </w:pPr>
            <w:r>
              <w:rPr>
                <w:rFonts w:hint="eastAsia"/>
                <w:sz w:val="21"/>
                <w:szCs w:val="21"/>
              </w:rPr>
              <w:t>三级B</w:t>
            </w:r>
          </w:p>
        </w:tc>
        <w:tc>
          <w:tcPr>
            <w:tcW w:w="1331" w:type="pct"/>
            <w:vAlign w:val="center"/>
          </w:tcPr>
          <w:p w14:paraId="7D30A7B0">
            <w:pPr>
              <w:spacing w:line="240" w:lineRule="auto"/>
              <w:ind w:firstLine="0" w:firstLineChars="0"/>
              <w:jc w:val="center"/>
              <w:rPr>
                <w:sz w:val="21"/>
                <w:szCs w:val="21"/>
              </w:rPr>
            </w:pPr>
            <w:r>
              <w:rPr>
                <w:rFonts w:hint="eastAsia"/>
                <w:sz w:val="21"/>
                <w:szCs w:val="21"/>
              </w:rPr>
              <w:t>间接排放</w:t>
            </w:r>
          </w:p>
        </w:tc>
        <w:tc>
          <w:tcPr>
            <w:tcW w:w="2608" w:type="pct"/>
            <w:vAlign w:val="center"/>
          </w:tcPr>
          <w:p w14:paraId="4E9E08D1">
            <w:pPr>
              <w:spacing w:line="240" w:lineRule="auto"/>
              <w:ind w:firstLine="0" w:firstLineChars="0"/>
              <w:jc w:val="center"/>
              <w:rPr>
                <w:sz w:val="21"/>
                <w:szCs w:val="21"/>
              </w:rPr>
            </w:pPr>
            <w:r>
              <w:rPr>
                <w:rFonts w:hint="eastAsia"/>
                <w:sz w:val="21"/>
                <w:szCs w:val="21"/>
              </w:rPr>
              <w:t>/</w:t>
            </w:r>
          </w:p>
        </w:tc>
      </w:tr>
      <w:tr w14:paraId="5065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677A0D87">
            <w:pPr>
              <w:spacing w:line="240" w:lineRule="auto"/>
              <w:ind w:firstLine="0" w:firstLineChars="0"/>
              <w:rPr>
                <w:sz w:val="21"/>
                <w:szCs w:val="21"/>
              </w:rPr>
            </w:pPr>
            <w:r>
              <w:rPr>
                <w:rFonts w:hint="eastAsia"/>
                <w:sz w:val="21"/>
                <w:szCs w:val="21"/>
              </w:rPr>
              <w:t>注：建设项目生产工艺中有废水产生，但作为回水利用，不排放到外环境的，按三级B评价</w:t>
            </w:r>
          </w:p>
        </w:tc>
      </w:tr>
    </w:tbl>
    <w:p w14:paraId="6EDCCEA6">
      <w:pPr>
        <w:ind w:firstLine="480"/>
      </w:pPr>
      <w:r>
        <w:t>本项目</w:t>
      </w:r>
      <w:r>
        <w:rPr>
          <w:rFonts w:hint="eastAsia"/>
          <w:lang w:val="en-US" w:eastAsia="zh-CN"/>
        </w:rPr>
        <w:t>渗滤液同</w:t>
      </w:r>
      <w:r>
        <w:t>生活污水</w:t>
      </w:r>
      <w:r>
        <w:rPr>
          <w:rFonts w:hint="eastAsia"/>
        </w:rPr>
        <w:t>排入防渗化粪池，由木垒县污水处理厂处理</w:t>
      </w:r>
      <w:r>
        <w:t>，最终进入</w:t>
      </w:r>
      <w:r>
        <w:rPr>
          <w:rFonts w:hint="eastAsia"/>
        </w:rPr>
        <w:t>木垒县</w:t>
      </w:r>
      <w:r>
        <w:t>城污水处理厂；评价范围内无地表水径流，与地表水体不发生水力联系</w:t>
      </w:r>
      <w:r>
        <w:rPr>
          <w:rFonts w:hint="eastAsia"/>
        </w:rPr>
        <w:t>。</w:t>
      </w:r>
      <w:r>
        <w:t>因此判定本项目地面水环境影响评价工作等级为三级B</w:t>
      </w:r>
      <w:r>
        <w:rPr>
          <w:rFonts w:hint="eastAsia"/>
        </w:rPr>
        <w:t>。</w:t>
      </w:r>
    </w:p>
    <w:p w14:paraId="27F09B3C">
      <w:pPr>
        <w:ind w:firstLine="480"/>
      </w:pPr>
      <w:r>
        <w:rPr>
          <w:rFonts w:hint="eastAsia"/>
        </w:rPr>
        <w:t>参照《环境影响评价技术导则地表水环境》（HJ2.3-2018）中地表水环境影响评价范围要求，根据评价等级、工程特点、影响方式及程度、地表水环境质量管理要求等确定。项目运营期间生活污水、生产废水不外排。因此根据，本项目地表水评价不设评价范围，重点分析项目生产废水、生活污水的处理及去向等的可行性。</w:t>
      </w:r>
    </w:p>
    <w:p w14:paraId="54801A0C">
      <w:pPr>
        <w:ind w:firstLine="480"/>
      </w:pPr>
      <w:r>
        <w:rPr>
          <w:rFonts w:hint="eastAsia"/>
        </w:rPr>
        <w:t>（2）地下水</w:t>
      </w:r>
    </w:p>
    <w:p w14:paraId="5174229D">
      <w:pPr>
        <w:ind w:firstLine="480"/>
      </w:pPr>
      <w:r>
        <w:rPr>
          <w:rFonts w:hint="eastAsia"/>
        </w:rPr>
        <w:t>根据《环境影响技术评价技术导则地下水环境》（HJ610-2016）附录A地下水环境影响评价行业分类表，本项目虽属于</w:t>
      </w:r>
      <w:r>
        <w:rPr>
          <w:rFonts w:hint="eastAsia"/>
          <w:sz w:val="21"/>
          <w:szCs w:val="21"/>
        </w:rPr>
        <w:t>“</w:t>
      </w:r>
      <w:r>
        <w:rPr>
          <w:rFonts w:hint="eastAsia"/>
        </w:rPr>
        <w:t>B、农、林、牧、渔、海洋——14、畜禽养殖场、养殖小区”的养殖项目，但是本项目达不到表中“年出栏生猪5000头（其他畜禽种类折合猪的养殖规模）及以上”，因此根据表最后注解：本表未提及的行业，或《建设项目环境影响评价分类管理名录》修订后较本表行业类别发生变化的行业，应根据对地下水环境影响程度，参照相近行业分类，对地下水环境影评价项目类别进行分类。因此本项目属于Ⅲ类项目。</w:t>
      </w:r>
    </w:p>
    <w:p w14:paraId="6F60BC38">
      <w:pPr>
        <w:ind w:firstLine="480"/>
      </w:pPr>
      <w:r>
        <w:rPr>
          <w:rFonts w:hint="eastAsia"/>
        </w:rPr>
        <w:t>根据《环境影响技术评价技术导则地下水环境》（HJ610-2016）中6.2表1地下水环境敏感程度分级表，地下水环境敏感程度分级表见表2.6-6。</w:t>
      </w:r>
    </w:p>
    <w:p w14:paraId="6D21B2B7">
      <w:pPr>
        <w:pStyle w:val="11"/>
      </w:pPr>
      <w:r>
        <w:rPr>
          <w:rFonts w:hint="eastAsia"/>
        </w:rPr>
        <w:t>表2.6-6地下水环境敏感程度分级表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14:paraId="3CCF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Align w:val="center"/>
          </w:tcPr>
          <w:p w14:paraId="40D218C8">
            <w:pPr>
              <w:spacing w:line="240" w:lineRule="auto"/>
              <w:ind w:firstLine="0" w:firstLineChars="0"/>
              <w:jc w:val="center"/>
              <w:rPr>
                <w:sz w:val="21"/>
                <w:szCs w:val="21"/>
              </w:rPr>
            </w:pPr>
            <w:r>
              <w:rPr>
                <w:rFonts w:hint="eastAsia"/>
                <w:sz w:val="21"/>
                <w:szCs w:val="21"/>
              </w:rPr>
              <w:t>敏感程度</w:t>
            </w:r>
          </w:p>
        </w:tc>
        <w:tc>
          <w:tcPr>
            <w:tcW w:w="7280" w:type="dxa"/>
            <w:vAlign w:val="center"/>
          </w:tcPr>
          <w:p w14:paraId="570D85B3">
            <w:pPr>
              <w:spacing w:line="240" w:lineRule="auto"/>
              <w:ind w:firstLine="0" w:firstLineChars="0"/>
              <w:jc w:val="center"/>
              <w:rPr>
                <w:sz w:val="21"/>
                <w:szCs w:val="21"/>
              </w:rPr>
            </w:pPr>
            <w:r>
              <w:rPr>
                <w:rFonts w:hint="eastAsia"/>
                <w:sz w:val="21"/>
                <w:szCs w:val="21"/>
              </w:rPr>
              <w:t>地下水环境敏感特征</w:t>
            </w:r>
          </w:p>
        </w:tc>
      </w:tr>
      <w:tr w14:paraId="7445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CDC9495">
            <w:pPr>
              <w:spacing w:line="240" w:lineRule="auto"/>
              <w:ind w:firstLine="0" w:firstLineChars="0"/>
              <w:jc w:val="center"/>
              <w:rPr>
                <w:sz w:val="21"/>
                <w:szCs w:val="21"/>
              </w:rPr>
            </w:pPr>
            <w:r>
              <w:rPr>
                <w:rFonts w:hint="eastAsia"/>
                <w:sz w:val="21"/>
                <w:szCs w:val="21"/>
              </w:rPr>
              <w:t>敏感</w:t>
            </w:r>
          </w:p>
        </w:tc>
        <w:tc>
          <w:tcPr>
            <w:tcW w:w="7280" w:type="dxa"/>
            <w:vAlign w:val="center"/>
          </w:tcPr>
          <w:p w14:paraId="653D1B1A">
            <w:pPr>
              <w:spacing w:line="240" w:lineRule="auto"/>
              <w:ind w:firstLine="0" w:firstLineChars="0"/>
              <w:jc w:val="center"/>
              <w:rPr>
                <w:sz w:val="21"/>
                <w:szCs w:val="21"/>
              </w:rPr>
            </w:pPr>
            <w:r>
              <w:rPr>
                <w:rFonts w:hint="eastAsia"/>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E64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2E5BB691">
            <w:pPr>
              <w:spacing w:line="240" w:lineRule="auto"/>
              <w:ind w:firstLine="0" w:firstLineChars="0"/>
              <w:jc w:val="center"/>
              <w:rPr>
                <w:sz w:val="21"/>
                <w:szCs w:val="21"/>
              </w:rPr>
            </w:pPr>
            <w:r>
              <w:rPr>
                <w:rFonts w:hint="eastAsia"/>
                <w:sz w:val="21"/>
                <w:szCs w:val="21"/>
              </w:rPr>
              <w:t>较敏感</w:t>
            </w:r>
          </w:p>
        </w:tc>
        <w:tc>
          <w:tcPr>
            <w:tcW w:w="7280" w:type="dxa"/>
            <w:vAlign w:val="center"/>
          </w:tcPr>
          <w:p w14:paraId="0F77B4EA">
            <w:pPr>
              <w:spacing w:line="240" w:lineRule="auto"/>
              <w:ind w:firstLine="0" w:firstLineChars="0"/>
              <w:jc w:val="center"/>
              <w:rPr>
                <w:sz w:val="21"/>
                <w:szCs w:val="21"/>
              </w:rPr>
            </w:pPr>
            <w:r>
              <w:rPr>
                <w:rFonts w:hint="eastAsia"/>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307D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Align w:val="center"/>
          </w:tcPr>
          <w:p w14:paraId="66E46703">
            <w:pPr>
              <w:spacing w:line="240" w:lineRule="auto"/>
              <w:ind w:firstLine="0" w:firstLineChars="0"/>
              <w:jc w:val="center"/>
              <w:rPr>
                <w:sz w:val="21"/>
                <w:szCs w:val="21"/>
              </w:rPr>
            </w:pPr>
            <w:r>
              <w:rPr>
                <w:rFonts w:hint="eastAsia"/>
                <w:sz w:val="21"/>
                <w:szCs w:val="21"/>
              </w:rPr>
              <w:t>不敏感</w:t>
            </w:r>
          </w:p>
        </w:tc>
        <w:tc>
          <w:tcPr>
            <w:tcW w:w="7280" w:type="dxa"/>
            <w:vAlign w:val="center"/>
          </w:tcPr>
          <w:p w14:paraId="6350DEBD">
            <w:pPr>
              <w:spacing w:line="240" w:lineRule="auto"/>
              <w:ind w:firstLine="0" w:firstLineChars="0"/>
              <w:jc w:val="center"/>
              <w:rPr>
                <w:sz w:val="21"/>
                <w:szCs w:val="21"/>
              </w:rPr>
            </w:pPr>
            <w:r>
              <w:rPr>
                <w:rFonts w:hint="eastAsia"/>
                <w:sz w:val="21"/>
                <w:szCs w:val="21"/>
              </w:rPr>
              <w:t>上述地区之外的其它地区。</w:t>
            </w:r>
          </w:p>
        </w:tc>
      </w:tr>
      <w:tr w14:paraId="4407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6B0BF01A">
            <w:pPr>
              <w:spacing w:line="240" w:lineRule="auto"/>
              <w:ind w:firstLine="0" w:firstLineChars="0"/>
              <w:rPr>
                <w:sz w:val="21"/>
                <w:szCs w:val="21"/>
              </w:rPr>
            </w:pPr>
            <w:r>
              <w:rPr>
                <w:rFonts w:hint="eastAsia"/>
                <w:sz w:val="21"/>
                <w:szCs w:val="21"/>
              </w:rPr>
              <w:t>注：a”环境敏感区”是指《建设项目环境影响评价分类管理名录》中所界定的涉及地下水的环境敏感区。</w:t>
            </w:r>
          </w:p>
        </w:tc>
      </w:tr>
    </w:tbl>
    <w:p w14:paraId="5D6F034A">
      <w:pPr>
        <w:ind w:firstLine="480"/>
      </w:pPr>
      <w:r>
        <w:rPr>
          <w:rFonts w:hint="eastAsia"/>
        </w:rPr>
        <w:t>地下水评价工作等级分级表见表2.6-7。</w:t>
      </w:r>
    </w:p>
    <w:p w14:paraId="06DE259F">
      <w:pPr>
        <w:pStyle w:val="11"/>
      </w:pPr>
      <w:r>
        <w:rPr>
          <w:rFonts w:hint="eastAsia"/>
        </w:rPr>
        <w:t>表2.6-7评价工作等级分级表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23C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l2br w:val="single" w:color="auto" w:sz="4" w:space="0"/>
            </w:tcBorders>
            <w:vAlign w:val="center"/>
          </w:tcPr>
          <w:p w14:paraId="13560248">
            <w:pPr>
              <w:spacing w:line="240" w:lineRule="auto"/>
              <w:ind w:firstLine="0" w:firstLineChars="0"/>
              <w:jc w:val="right"/>
              <w:rPr>
                <w:sz w:val="21"/>
                <w:szCs w:val="21"/>
              </w:rPr>
            </w:pPr>
            <w:r>
              <w:rPr>
                <w:rFonts w:hint="eastAsia"/>
                <w:sz w:val="21"/>
                <w:szCs w:val="21"/>
              </w:rPr>
              <w:t>项目类别</w:t>
            </w:r>
          </w:p>
          <w:p w14:paraId="65A23C80">
            <w:pPr>
              <w:spacing w:line="240" w:lineRule="auto"/>
              <w:ind w:firstLine="0" w:firstLineChars="0"/>
              <w:jc w:val="left"/>
              <w:rPr>
                <w:sz w:val="21"/>
                <w:szCs w:val="21"/>
              </w:rPr>
            </w:pPr>
            <w:r>
              <w:rPr>
                <w:rFonts w:hint="eastAsia"/>
                <w:sz w:val="21"/>
                <w:szCs w:val="21"/>
              </w:rPr>
              <w:t>环境敏感程度</w:t>
            </w:r>
          </w:p>
        </w:tc>
        <w:tc>
          <w:tcPr>
            <w:tcW w:w="2130" w:type="dxa"/>
            <w:vAlign w:val="center"/>
          </w:tcPr>
          <w:p w14:paraId="1BF7EB1F">
            <w:pPr>
              <w:spacing w:line="240" w:lineRule="auto"/>
              <w:ind w:firstLine="0" w:firstLineChars="0"/>
              <w:jc w:val="center"/>
              <w:rPr>
                <w:sz w:val="21"/>
                <w:szCs w:val="21"/>
              </w:rPr>
            </w:pPr>
            <w:r>
              <w:rPr>
                <w:rFonts w:hint="eastAsia"/>
                <w:sz w:val="21"/>
                <w:szCs w:val="21"/>
              </w:rPr>
              <w:t>Ⅰ类项目</w:t>
            </w:r>
          </w:p>
        </w:tc>
        <w:tc>
          <w:tcPr>
            <w:tcW w:w="2131" w:type="dxa"/>
            <w:vAlign w:val="center"/>
          </w:tcPr>
          <w:p w14:paraId="1103B7F7">
            <w:pPr>
              <w:spacing w:line="240" w:lineRule="auto"/>
              <w:ind w:firstLine="0" w:firstLineChars="0"/>
              <w:jc w:val="center"/>
              <w:rPr>
                <w:sz w:val="21"/>
                <w:szCs w:val="21"/>
              </w:rPr>
            </w:pPr>
            <w:r>
              <w:rPr>
                <w:rFonts w:hint="eastAsia"/>
                <w:sz w:val="21"/>
                <w:szCs w:val="21"/>
              </w:rPr>
              <w:t>Ⅱ类项目</w:t>
            </w:r>
          </w:p>
        </w:tc>
        <w:tc>
          <w:tcPr>
            <w:tcW w:w="2131" w:type="dxa"/>
            <w:vAlign w:val="center"/>
          </w:tcPr>
          <w:p w14:paraId="56B53EF1">
            <w:pPr>
              <w:spacing w:line="240" w:lineRule="auto"/>
              <w:ind w:firstLine="0" w:firstLineChars="0"/>
              <w:jc w:val="center"/>
              <w:rPr>
                <w:sz w:val="21"/>
                <w:szCs w:val="21"/>
              </w:rPr>
            </w:pPr>
            <w:r>
              <w:rPr>
                <w:rFonts w:hint="eastAsia"/>
                <w:sz w:val="21"/>
                <w:szCs w:val="21"/>
              </w:rPr>
              <w:t>Ⅲ类项目</w:t>
            </w:r>
          </w:p>
        </w:tc>
      </w:tr>
      <w:tr w14:paraId="2811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69776AE6">
            <w:pPr>
              <w:spacing w:line="240" w:lineRule="auto"/>
              <w:ind w:firstLine="0" w:firstLineChars="0"/>
              <w:jc w:val="center"/>
              <w:rPr>
                <w:sz w:val="21"/>
                <w:szCs w:val="21"/>
              </w:rPr>
            </w:pPr>
            <w:r>
              <w:rPr>
                <w:rFonts w:hint="eastAsia"/>
                <w:sz w:val="21"/>
                <w:szCs w:val="21"/>
              </w:rPr>
              <w:t>敏感</w:t>
            </w:r>
          </w:p>
        </w:tc>
        <w:tc>
          <w:tcPr>
            <w:tcW w:w="2130" w:type="dxa"/>
            <w:vAlign w:val="center"/>
          </w:tcPr>
          <w:p w14:paraId="254CE11C">
            <w:pPr>
              <w:spacing w:line="240" w:lineRule="auto"/>
              <w:ind w:firstLine="0" w:firstLineChars="0"/>
              <w:jc w:val="center"/>
              <w:rPr>
                <w:sz w:val="21"/>
                <w:szCs w:val="21"/>
              </w:rPr>
            </w:pPr>
            <w:r>
              <w:rPr>
                <w:rFonts w:hint="eastAsia"/>
                <w:sz w:val="21"/>
                <w:szCs w:val="21"/>
              </w:rPr>
              <w:t>一</w:t>
            </w:r>
          </w:p>
        </w:tc>
        <w:tc>
          <w:tcPr>
            <w:tcW w:w="2131" w:type="dxa"/>
            <w:vAlign w:val="center"/>
          </w:tcPr>
          <w:p w14:paraId="1164BAB4">
            <w:pPr>
              <w:spacing w:line="240" w:lineRule="auto"/>
              <w:ind w:firstLine="0" w:firstLineChars="0"/>
              <w:jc w:val="center"/>
              <w:rPr>
                <w:sz w:val="21"/>
                <w:szCs w:val="21"/>
              </w:rPr>
            </w:pPr>
            <w:r>
              <w:rPr>
                <w:rFonts w:hint="eastAsia"/>
                <w:sz w:val="21"/>
                <w:szCs w:val="21"/>
              </w:rPr>
              <w:t>一</w:t>
            </w:r>
          </w:p>
        </w:tc>
        <w:tc>
          <w:tcPr>
            <w:tcW w:w="2131" w:type="dxa"/>
            <w:vAlign w:val="center"/>
          </w:tcPr>
          <w:p w14:paraId="605B4276">
            <w:pPr>
              <w:spacing w:line="240" w:lineRule="auto"/>
              <w:ind w:firstLine="0" w:firstLineChars="0"/>
              <w:jc w:val="center"/>
              <w:rPr>
                <w:sz w:val="21"/>
                <w:szCs w:val="21"/>
              </w:rPr>
            </w:pPr>
            <w:r>
              <w:rPr>
                <w:rFonts w:hint="eastAsia"/>
                <w:sz w:val="21"/>
                <w:szCs w:val="21"/>
              </w:rPr>
              <w:t>二</w:t>
            </w:r>
          </w:p>
        </w:tc>
      </w:tr>
      <w:tr w14:paraId="5D0A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45B8A9EE">
            <w:pPr>
              <w:spacing w:line="240" w:lineRule="auto"/>
              <w:ind w:firstLine="0" w:firstLineChars="0"/>
              <w:jc w:val="center"/>
              <w:rPr>
                <w:sz w:val="21"/>
                <w:szCs w:val="21"/>
              </w:rPr>
            </w:pPr>
            <w:r>
              <w:rPr>
                <w:rFonts w:hint="eastAsia"/>
                <w:sz w:val="21"/>
                <w:szCs w:val="21"/>
              </w:rPr>
              <w:t>较敏感</w:t>
            </w:r>
          </w:p>
        </w:tc>
        <w:tc>
          <w:tcPr>
            <w:tcW w:w="2130" w:type="dxa"/>
            <w:vAlign w:val="center"/>
          </w:tcPr>
          <w:p w14:paraId="585BEFAB">
            <w:pPr>
              <w:spacing w:line="240" w:lineRule="auto"/>
              <w:ind w:firstLine="0" w:firstLineChars="0"/>
              <w:jc w:val="center"/>
              <w:rPr>
                <w:sz w:val="21"/>
                <w:szCs w:val="21"/>
              </w:rPr>
            </w:pPr>
            <w:r>
              <w:rPr>
                <w:rFonts w:hint="eastAsia"/>
                <w:sz w:val="21"/>
                <w:szCs w:val="21"/>
              </w:rPr>
              <w:t>一</w:t>
            </w:r>
          </w:p>
        </w:tc>
        <w:tc>
          <w:tcPr>
            <w:tcW w:w="2131" w:type="dxa"/>
            <w:vAlign w:val="center"/>
          </w:tcPr>
          <w:p w14:paraId="5A0655A7">
            <w:pPr>
              <w:spacing w:line="240" w:lineRule="auto"/>
              <w:ind w:firstLine="0" w:firstLineChars="0"/>
              <w:jc w:val="center"/>
              <w:rPr>
                <w:sz w:val="21"/>
                <w:szCs w:val="21"/>
              </w:rPr>
            </w:pPr>
            <w:r>
              <w:rPr>
                <w:rFonts w:hint="eastAsia"/>
                <w:sz w:val="21"/>
                <w:szCs w:val="21"/>
              </w:rPr>
              <w:t>二</w:t>
            </w:r>
          </w:p>
        </w:tc>
        <w:tc>
          <w:tcPr>
            <w:tcW w:w="2131" w:type="dxa"/>
            <w:vAlign w:val="center"/>
          </w:tcPr>
          <w:p w14:paraId="4010BC0A">
            <w:pPr>
              <w:spacing w:line="240" w:lineRule="auto"/>
              <w:ind w:firstLine="0" w:firstLineChars="0"/>
              <w:jc w:val="center"/>
              <w:rPr>
                <w:sz w:val="21"/>
                <w:szCs w:val="21"/>
              </w:rPr>
            </w:pPr>
            <w:r>
              <w:rPr>
                <w:rFonts w:hint="eastAsia"/>
                <w:sz w:val="21"/>
                <w:szCs w:val="21"/>
              </w:rPr>
              <w:t>三</w:t>
            </w:r>
          </w:p>
        </w:tc>
      </w:tr>
      <w:tr w14:paraId="0095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79C343EC">
            <w:pPr>
              <w:spacing w:line="240" w:lineRule="auto"/>
              <w:ind w:firstLine="0" w:firstLineChars="0"/>
              <w:jc w:val="center"/>
              <w:rPr>
                <w:sz w:val="21"/>
                <w:szCs w:val="21"/>
              </w:rPr>
            </w:pPr>
            <w:r>
              <w:rPr>
                <w:rFonts w:hint="eastAsia"/>
                <w:sz w:val="21"/>
                <w:szCs w:val="21"/>
              </w:rPr>
              <w:t>不敏感</w:t>
            </w:r>
          </w:p>
        </w:tc>
        <w:tc>
          <w:tcPr>
            <w:tcW w:w="2130" w:type="dxa"/>
            <w:vAlign w:val="center"/>
          </w:tcPr>
          <w:p w14:paraId="5311B456">
            <w:pPr>
              <w:spacing w:line="240" w:lineRule="auto"/>
              <w:ind w:firstLine="0" w:firstLineChars="0"/>
              <w:jc w:val="center"/>
              <w:rPr>
                <w:sz w:val="21"/>
                <w:szCs w:val="21"/>
              </w:rPr>
            </w:pPr>
            <w:r>
              <w:rPr>
                <w:rFonts w:hint="eastAsia"/>
                <w:sz w:val="21"/>
                <w:szCs w:val="21"/>
              </w:rPr>
              <w:t>二</w:t>
            </w:r>
          </w:p>
        </w:tc>
        <w:tc>
          <w:tcPr>
            <w:tcW w:w="2131" w:type="dxa"/>
            <w:vAlign w:val="center"/>
          </w:tcPr>
          <w:p w14:paraId="69402DF7">
            <w:pPr>
              <w:spacing w:line="240" w:lineRule="auto"/>
              <w:ind w:firstLine="0" w:firstLineChars="0"/>
              <w:jc w:val="center"/>
              <w:rPr>
                <w:sz w:val="21"/>
                <w:szCs w:val="21"/>
              </w:rPr>
            </w:pPr>
            <w:r>
              <w:rPr>
                <w:rFonts w:hint="eastAsia"/>
                <w:sz w:val="21"/>
                <w:szCs w:val="21"/>
              </w:rPr>
              <w:t>三</w:t>
            </w:r>
          </w:p>
        </w:tc>
        <w:tc>
          <w:tcPr>
            <w:tcW w:w="2131" w:type="dxa"/>
            <w:vAlign w:val="center"/>
          </w:tcPr>
          <w:p w14:paraId="5E305E0E">
            <w:pPr>
              <w:spacing w:line="240" w:lineRule="auto"/>
              <w:ind w:firstLine="0" w:firstLineChars="0"/>
              <w:jc w:val="center"/>
              <w:rPr>
                <w:sz w:val="21"/>
                <w:szCs w:val="21"/>
              </w:rPr>
            </w:pPr>
            <w:r>
              <w:rPr>
                <w:rFonts w:hint="eastAsia"/>
                <w:sz w:val="21"/>
                <w:szCs w:val="21"/>
              </w:rPr>
              <w:t>三</w:t>
            </w:r>
          </w:p>
        </w:tc>
      </w:tr>
    </w:tbl>
    <w:p w14:paraId="75DB2BE2">
      <w:pPr>
        <w:ind w:firstLine="480"/>
      </w:pPr>
      <w:r>
        <w:rPr>
          <w:rFonts w:hint="eastAsia"/>
        </w:rP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未划定准保护区的集中水式饮用水水源，其保护区以外的补给径流区；分散式饮用水水源地；特殊地下水资源（如矿泉水、温泉等）保护区以外的分布区等其他未列入上述敏感分级的环境敏感区。本项目地下水环境为不敏感。根据《环境影响技术评价技术导则地下水环境》（HJ610-2016）确定本项目评价工作等级为三级。</w:t>
      </w:r>
    </w:p>
    <w:p w14:paraId="742F774F">
      <w:pPr>
        <w:pStyle w:val="6"/>
        <w:ind w:firstLine="482"/>
      </w:pPr>
      <w:r>
        <w:rPr>
          <w:rFonts w:hint="eastAsia"/>
        </w:rPr>
        <w:t>2.6.1.3声环境评价等级</w:t>
      </w:r>
    </w:p>
    <w:p w14:paraId="5C0100F7">
      <w:pPr>
        <w:ind w:firstLine="480"/>
      </w:pPr>
      <w:r>
        <w:rPr>
          <w:rFonts w:hint="eastAsia"/>
        </w:rPr>
        <w:t>根据《环境影响评价技术导则声环境》（HJ2.4-2021）规定，声环境影响评价工作等级一般分为三级，一级为详细评价，二级为一般性评价，三级为简要评价。</w:t>
      </w:r>
    </w:p>
    <w:p w14:paraId="2D8EF9E5">
      <w:pPr>
        <w:ind w:firstLine="480"/>
      </w:pPr>
      <w:r>
        <w:rPr>
          <w:rFonts w:hint="eastAsia"/>
        </w:rPr>
        <w:t>建设项目所处的声环境功能区为GB3096规定的1类、2类地区，或建设项目建设前后评价范围内敏感目标噪声级增高量达3~5dB（A）[含5dB（A）]，或受影响人口数量增加较多时，按二级评价。评价范围内有适用于GB3096规定的0类声环境功能区域，或建设项目建设前后评价范围内声环境保护目标噪声级增量达5dB（A）以上（不含5dB（A）），或受影响人口数量显著增加时，按一级评价。</w:t>
      </w:r>
    </w:p>
    <w:p w14:paraId="61158AD3">
      <w:pPr>
        <w:ind w:firstLine="480"/>
      </w:pPr>
      <w:r>
        <w:rPr>
          <w:rFonts w:hint="eastAsia"/>
        </w:rPr>
        <w:t>建设项目所处的声环境功能区为</w:t>
      </w:r>
      <w:r>
        <w:t>GB3096</w:t>
      </w:r>
      <w:r>
        <w:rPr>
          <w:rFonts w:hint="eastAsia"/>
        </w:rPr>
        <w:t>规定的</w:t>
      </w:r>
      <w:r>
        <w:t>1</w:t>
      </w:r>
      <w:r>
        <w:rPr>
          <w:rFonts w:hint="eastAsia"/>
        </w:rPr>
        <w:t>类、</w:t>
      </w:r>
      <w:r>
        <w:t>2</w:t>
      </w:r>
      <w:r>
        <w:rPr>
          <w:rFonts w:hint="eastAsia"/>
        </w:rPr>
        <w:t>类地区，或建设项目建设前后评价范围内，声环境保护目标噪声级增量达</w:t>
      </w:r>
      <w:r>
        <w:t>3dB</w:t>
      </w:r>
      <w:r>
        <w:rPr>
          <w:rFonts w:hint="eastAsia"/>
        </w:rPr>
        <w:t>（</w:t>
      </w:r>
      <w:r>
        <w:t>A</w:t>
      </w:r>
      <w:r>
        <w:rPr>
          <w:rFonts w:hint="eastAsia"/>
        </w:rPr>
        <w:t>）</w:t>
      </w:r>
      <w:r>
        <w:rPr>
          <w:rFonts w:hint="eastAsia" w:cs="微软雅黑"/>
        </w:rPr>
        <w:t>〜</w:t>
      </w:r>
      <w:r>
        <w:t>5dB</w:t>
      </w:r>
      <w:r>
        <w:rPr>
          <w:rFonts w:hint="eastAsia"/>
        </w:rPr>
        <w:t>（</w:t>
      </w:r>
      <w:r>
        <w:t>A</w:t>
      </w:r>
      <w:r>
        <w:rPr>
          <w:rFonts w:hint="eastAsia"/>
        </w:rPr>
        <w:t>），或受噪声影响人口数量增加较多时，按二级评价。</w:t>
      </w:r>
    </w:p>
    <w:p w14:paraId="127BA92E">
      <w:pPr>
        <w:ind w:firstLine="480"/>
      </w:pPr>
      <w:r>
        <w:rPr>
          <w:rFonts w:hint="eastAsia"/>
        </w:rPr>
        <w:t>建设项目所处的声环境功能区为GB3096规定的3类、4类地区，或建设项目建设前后评价范围内，声环境保护目标噪声级增量在3dB（A）以下（不含3dB（A）），且受影响人口数量变化不大时，按三级评价。</w:t>
      </w:r>
    </w:p>
    <w:p w14:paraId="2D160C19">
      <w:pPr>
        <w:ind w:firstLine="480"/>
      </w:pPr>
      <w:r>
        <w:rPr>
          <w:rFonts w:hint="eastAsia"/>
        </w:rPr>
        <w:t>在确定评价等级时，如果建设项目符合两个等级的划分原则，按较高等级评价。</w:t>
      </w:r>
    </w:p>
    <w:p w14:paraId="41DAF260">
      <w:pPr>
        <w:ind w:firstLine="480"/>
      </w:pPr>
      <w:r>
        <w:rPr>
          <w:rFonts w:hint="eastAsia"/>
        </w:rPr>
        <w:t>机场建设项目航空器噪声影响评价等级为一级。</w:t>
      </w:r>
    </w:p>
    <w:p w14:paraId="079117CF">
      <w:pPr>
        <w:ind w:firstLine="480"/>
      </w:pPr>
      <w:r>
        <w:rPr>
          <w:rFonts w:hint="eastAsia"/>
        </w:rPr>
        <w:t>根据《声环境质量标准》（GB3096-2008）声环境功能区分类，本项目所在地为声环境功能区2类地区。根据《环境影响评价技术导则声环境》（HJ2.4-2021）规定，确定声环境评价工作等级为二级评价。</w:t>
      </w:r>
    </w:p>
    <w:p w14:paraId="644B05E3">
      <w:pPr>
        <w:pStyle w:val="6"/>
        <w:ind w:firstLine="482"/>
      </w:pPr>
      <w:r>
        <w:rPr>
          <w:rFonts w:hint="eastAsia"/>
        </w:rPr>
        <w:t>2.6.1.4土壤环境评价等级</w:t>
      </w:r>
    </w:p>
    <w:p w14:paraId="2D2DBD51">
      <w:pPr>
        <w:ind w:firstLine="480"/>
      </w:pPr>
      <w:r>
        <w:rPr>
          <w:rFonts w:hint="eastAsia"/>
        </w:rPr>
        <w:t>根据《环境影响评价技术导则土壤环境（试行）》（HJ964-2018）评价工作分级规定，项目属于污染影响型，根据污染影响型建设项目类别判定评价等级。</w:t>
      </w:r>
    </w:p>
    <w:p w14:paraId="4EC49CD3">
      <w:pPr>
        <w:ind w:firstLine="480"/>
      </w:pPr>
      <w:r>
        <w:rPr>
          <w:rFonts w:hint="eastAsia"/>
        </w:rPr>
        <w:t>项目占地面积约24757.78m</w:t>
      </w:r>
      <w:r>
        <w:rPr>
          <w:rFonts w:hint="eastAsia"/>
          <w:vertAlign w:val="superscript"/>
        </w:rPr>
        <w:t>2</w:t>
      </w:r>
      <w:r>
        <w:rPr>
          <w:rFonts w:hint="eastAsia"/>
        </w:rPr>
        <w:t>，约为2.475778hm</w:t>
      </w:r>
      <w:r>
        <w:rPr>
          <w:rFonts w:hint="eastAsia"/>
          <w:vertAlign w:val="superscript"/>
        </w:rPr>
        <w:t>2</w:t>
      </w:r>
      <w:r>
        <w:rPr>
          <w:rFonts w:hint="eastAsia"/>
        </w:rPr>
        <w:t>，占地规模为小型（5~50hm</w:t>
      </w:r>
      <w:r>
        <w:rPr>
          <w:rFonts w:hint="eastAsia"/>
          <w:vertAlign w:val="superscript"/>
        </w:rPr>
        <w:t>2</w:t>
      </w:r>
      <w:r>
        <w:rPr>
          <w:rFonts w:hint="eastAsia"/>
        </w:rPr>
        <w:t>）。根据《环境影响评价技术导则土壤环境（试行）》（HJ964-2018）附录A土壤环境影响评价项目类别，本项目属于</w:t>
      </w:r>
      <w:r>
        <w:rPr>
          <w:rFonts w:hint="eastAsia"/>
          <w:sz w:val="21"/>
          <w:szCs w:val="21"/>
        </w:rPr>
        <w:t>“</w:t>
      </w:r>
      <w:r>
        <w:rPr>
          <w:rFonts w:hint="eastAsia"/>
        </w:rPr>
        <w:t>农林牧渔业——其他”，项目类别为VI类。</w:t>
      </w:r>
    </w:p>
    <w:p w14:paraId="67C120AB">
      <w:pPr>
        <w:ind w:firstLine="480"/>
      </w:pPr>
      <w:r>
        <w:rPr>
          <w:rFonts w:hint="eastAsia"/>
        </w:rPr>
        <w:t>建设项目所在地周边的土壤环境敏感程度分为敏感、较敏感、不敏感，判别依据见表</w:t>
      </w:r>
      <w:r>
        <w:t>2.6</w:t>
      </w:r>
      <w:r>
        <w:rPr>
          <w:rFonts w:hint="eastAsia"/>
        </w:rPr>
        <w:t>-8所示。</w:t>
      </w:r>
    </w:p>
    <w:p w14:paraId="770F2E0A">
      <w:pPr>
        <w:pStyle w:val="11"/>
      </w:pPr>
      <w:r>
        <w:rPr>
          <w:rFonts w:hint="eastAsia"/>
        </w:rPr>
        <w:t>表2.6-8污染影响性敏感程度分级表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14:paraId="576C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Align w:val="center"/>
          </w:tcPr>
          <w:p w14:paraId="1C662162">
            <w:pPr>
              <w:spacing w:line="240" w:lineRule="auto"/>
              <w:ind w:firstLine="0" w:firstLineChars="0"/>
              <w:jc w:val="center"/>
              <w:rPr>
                <w:sz w:val="21"/>
                <w:szCs w:val="21"/>
              </w:rPr>
            </w:pPr>
            <w:r>
              <w:rPr>
                <w:rFonts w:hint="eastAsia"/>
                <w:sz w:val="21"/>
                <w:szCs w:val="21"/>
              </w:rPr>
              <w:t>敏感程度</w:t>
            </w:r>
          </w:p>
        </w:tc>
        <w:tc>
          <w:tcPr>
            <w:tcW w:w="7280" w:type="dxa"/>
            <w:vAlign w:val="center"/>
          </w:tcPr>
          <w:p w14:paraId="151B67DF">
            <w:pPr>
              <w:spacing w:line="240" w:lineRule="auto"/>
              <w:ind w:firstLine="0" w:firstLineChars="0"/>
              <w:jc w:val="center"/>
              <w:rPr>
                <w:sz w:val="21"/>
                <w:szCs w:val="21"/>
              </w:rPr>
            </w:pPr>
            <w:r>
              <w:rPr>
                <w:rFonts w:hint="eastAsia"/>
                <w:sz w:val="21"/>
                <w:szCs w:val="21"/>
              </w:rPr>
              <w:t>判别依据</w:t>
            </w:r>
          </w:p>
        </w:tc>
      </w:tr>
      <w:tr w14:paraId="7D2D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7DC8C534">
            <w:pPr>
              <w:spacing w:line="240" w:lineRule="auto"/>
              <w:ind w:firstLine="0" w:firstLineChars="0"/>
              <w:jc w:val="center"/>
              <w:rPr>
                <w:sz w:val="21"/>
                <w:szCs w:val="21"/>
              </w:rPr>
            </w:pPr>
            <w:r>
              <w:rPr>
                <w:rFonts w:hint="eastAsia"/>
                <w:sz w:val="21"/>
                <w:szCs w:val="21"/>
              </w:rPr>
              <w:t>敏感</w:t>
            </w:r>
          </w:p>
        </w:tc>
        <w:tc>
          <w:tcPr>
            <w:tcW w:w="7280" w:type="dxa"/>
            <w:vAlign w:val="center"/>
          </w:tcPr>
          <w:p w14:paraId="1A425115">
            <w:pPr>
              <w:spacing w:line="240" w:lineRule="auto"/>
              <w:ind w:firstLine="0" w:firstLineChars="0"/>
              <w:rPr>
                <w:sz w:val="21"/>
                <w:szCs w:val="21"/>
              </w:rPr>
            </w:pPr>
            <w:r>
              <w:rPr>
                <w:rFonts w:hint="eastAsia"/>
                <w:sz w:val="21"/>
                <w:szCs w:val="21"/>
              </w:rPr>
              <w:t>建设项目周边存在耕地、园地、牧草地、饮用水源地或居民区、学校、医院、疗养院、养老院等土壤环境敏感目标的</w:t>
            </w:r>
          </w:p>
        </w:tc>
      </w:tr>
      <w:tr w14:paraId="4439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4D65C5CA">
            <w:pPr>
              <w:spacing w:line="240" w:lineRule="auto"/>
              <w:ind w:firstLine="0" w:firstLineChars="0"/>
              <w:jc w:val="center"/>
              <w:rPr>
                <w:sz w:val="21"/>
                <w:szCs w:val="21"/>
              </w:rPr>
            </w:pPr>
            <w:r>
              <w:rPr>
                <w:rFonts w:hint="eastAsia"/>
                <w:sz w:val="21"/>
                <w:szCs w:val="21"/>
              </w:rPr>
              <w:t>较敏感</w:t>
            </w:r>
          </w:p>
        </w:tc>
        <w:tc>
          <w:tcPr>
            <w:tcW w:w="7280" w:type="dxa"/>
            <w:vAlign w:val="center"/>
          </w:tcPr>
          <w:p w14:paraId="5461BA69">
            <w:pPr>
              <w:spacing w:line="240" w:lineRule="auto"/>
              <w:ind w:firstLine="0" w:firstLineChars="0"/>
              <w:jc w:val="center"/>
              <w:rPr>
                <w:sz w:val="21"/>
                <w:szCs w:val="21"/>
              </w:rPr>
            </w:pPr>
            <w:r>
              <w:rPr>
                <w:rFonts w:hint="eastAsia"/>
                <w:sz w:val="21"/>
                <w:szCs w:val="21"/>
              </w:rPr>
              <w:t>建设项目周边存在其他土壤环境敏感目标的</w:t>
            </w:r>
          </w:p>
        </w:tc>
      </w:tr>
      <w:tr w14:paraId="530E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2913FC2">
            <w:pPr>
              <w:spacing w:line="240" w:lineRule="auto"/>
              <w:ind w:firstLine="0" w:firstLineChars="0"/>
              <w:jc w:val="center"/>
              <w:rPr>
                <w:sz w:val="21"/>
                <w:szCs w:val="21"/>
              </w:rPr>
            </w:pPr>
            <w:r>
              <w:rPr>
                <w:rFonts w:hint="eastAsia"/>
                <w:sz w:val="21"/>
                <w:szCs w:val="21"/>
              </w:rPr>
              <w:t>不敏感</w:t>
            </w:r>
          </w:p>
        </w:tc>
        <w:tc>
          <w:tcPr>
            <w:tcW w:w="7280" w:type="dxa"/>
            <w:vAlign w:val="center"/>
          </w:tcPr>
          <w:p w14:paraId="7947D049">
            <w:pPr>
              <w:spacing w:line="240" w:lineRule="auto"/>
              <w:ind w:firstLine="0" w:firstLineChars="0"/>
              <w:jc w:val="center"/>
              <w:rPr>
                <w:sz w:val="21"/>
                <w:szCs w:val="21"/>
              </w:rPr>
            </w:pPr>
            <w:r>
              <w:rPr>
                <w:rFonts w:hint="eastAsia"/>
                <w:sz w:val="21"/>
                <w:szCs w:val="21"/>
              </w:rPr>
              <w:t>其他情况</w:t>
            </w:r>
          </w:p>
        </w:tc>
      </w:tr>
    </w:tbl>
    <w:p w14:paraId="6F47811F">
      <w:pPr>
        <w:ind w:firstLine="480"/>
      </w:pPr>
      <w:r>
        <w:rPr>
          <w:rFonts w:hint="eastAsia"/>
        </w:rPr>
        <w:t>本项目四周均为农田（种植经济作物），敏感程度判别为敏感。</w:t>
      </w:r>
    </w:p>
    <w:p w14:paraId="253182B1">
      <w:pPr>
        <w:ind w:firstLine="480"/>
      </w:pPr>
      <w:r>
        <w:rPr>
          <w:rFonts w:hint="eastAsia"/>
        </w:rPr>
        <w:t>根据《环境影响评价技术导则土壤环境（试行）》（HJ964-2018），污染影响型评价工作等级划分表见表2.6-9。</w:t>
      </w:r>
    </w:p>
    <w:p w14:paraId="776F80A9">
      <w:pPr>
        <w:pStyle w:val="11"/>
      </w:pPr>
      <w:r>
        <w:rPr>
          <w:rFonts w:hint="eastAsia"/>
        </w:rPr>
        <w:t>表2.6-9污染影响型评价工作等级划分表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04"/>
        <w:gridCol w:w="810"/>
        <w:gridCol w:w="811"/>
        <w:gridCol w:w="810"/>
        <w:gridCol w:w="808"/>
        <w:gridCol w:w="811"/>
        <w:gridCol w:w="808"/>
        <w:gridCol w:w="810"/>
        <w:gridCol w:w="808"/>
      </w:tblGrid>
      <w:tr w14:paraId="2C1F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Merge w:val="restart"/>
            <w:vAlign w:val="center"/>
          </w:tcPr>
          <w:p w14:paraId="0BA7D4B9">
            <w:pPr>
              <w:spacing w:line="240" w:lineRule="auto"/>
              <w:ind w:firstLine="0" w:firstLineChars="0"/>
              <w:jc w:val="center"/>
              <w:rPr>
                <w:sz w:val="21"/>
                <w:szCs w:val="21"/>
              </w:rPr>
            </w:pPr>
            <w:r>
              <w:rPr>
                <w:rFonts w:hint="eastAsia"/>
                <w:sz w:val="21"/>
                <w:szCs w:val="21"/>
              </w:rPr>
              <w:t>占地规模</w:t>
            </w:r>
          </w:p>
        </w:tc>
        <w:tc>
          <w:tcPr>
            <w:tcW w:w="1423" w:type="pct"/>
            <w:gridSpan w:val="3"/>
            <w:vAlign w:val="center"/>
          </w:tcPr>
          <w:p w14:paraId="40988477">
            <w:pPr>
              <w:spacing w:line="240" w:lineRule="auto"/>
              <w:ind w:firstLine="0" w:firstLineChars="0"/>
              <w:jc w:val="center"/>
              <w:rPr>
                <w:sz w:val="21"/>
                <w:szCs w:val="21"/>
              </w:rPr>
            </w:pPr>
            <w:r>
              <w:rPr>
                <w:rFonts w:hint="eastAsia"/>
                <w:sz w:val="21"/>
                <w:szCs w:val="21"/>
              </w:rPr>
              <w:t>I类</w:t>
            </w:r>
          </w:p>
        </w:tc>
        <w:tc>
          <w:tcPr>
            <w:tcW w:w="1425" w:type="pct"/>
            <w:gridSpan w:val="3"/>
            <w:vAlign w:val="center"/>
          </w:tcPr>
          <w:p w14:paraId="361E991B">
            <w:pPr>
              <w:spacing w:line="240" w:lineRule="auto"/>
              <w:ind w:firstLine="0" w:firstLineChars="0"/>
              <w:jc w:val="center"/>
              <w:rPr>
                <w:sz w:val="21"/>
                <w:szCs w:val="21"/>
              </w:rPr>
            </w:pPr>
            <w:r>
              <w:rPr>
                <w:rFonts w:hint="eastAsia"/>
                <w:sz w:val="21"/>
                <w:szCs w:val="21"/>
              </w:rPr>
              <w:t>II类</w:t>
            </w:r>
          </w:p>
        </w:tc>
        <w:tc>
          <w:tcPr>
            <w:tcW w:w="1423" w:type="pct"/>
            <w:gridSpan w:val="3"/>
            <w:vAlign w:val="center"/>
          </w:tcPr>
          <w:p w14:paraId="4EE46C69">
            <w:pPr>
              <w:spacing w:line="240" w:lineRule="auto"/>
              <w:ind w:firstLine="0" w:firstLineChars="0"/>
              <w:jc w:val="center"/>
              <w:rPr>
                <w:sz w:val="21"/>
                <w:szCs w:val="21"/>
              </w:rPr>
            </w:pPr>
            <w:r>
              <w:rPr>
                <w:rFonts w:hint="eastAsia"/>
                <w:sz w:val="21"/>
                <w:szCs w:val="21"/>
              </w:rPr>
              <w:t>III类</w:t>
            </w:r>
          </w:p>
        </w:tc>
      </w:tr>
      <w:tr w14:paraId="0577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vAlign w:val="center"/>
          </w:tcPr>
          <w:p w14:paraId="5D5CCFFB">
            <w:pPr>
              <w:spacing w:line="240" w:lineRule="auto"/>
              <w:ind w:firstLine="0" w:firstLineChars="0"/>
              <w:jc w:val="center"/>
              <w:rPr>
                <w:sz w:val="21"/>
                <w:szCs w:val="21"/>
              </w:rPr>
            </w:pPr>
          </w:p>
        </w:tc>
        <w:tc>
          <w:tcPr>
            <w:tcW w:w="472" w:type="pct"/>
            <w:vAlign w:val="center"/>
          </w:tcPr>
          <w:p w14:paraId="4CA3CA51">
            <w:pPr>
              <w:spacing w:line="240" w:lineRule="auto"/>
              <w:ind w:firstLine="0" w:firstLineChars="0"/>
              <w:jc w:val="center"/>
              <w:rPr>
                <w:sz w:val="21"/>
                <w:szCs w:val="21"/>
              </w:rPr>
            </w:pPr>
            <w:r>
              <w:rPr>
                <w:rFonts w:hint="eastAsia"/>
                <w:sz w:val="21"/>
                <w:szCs w:val="21"/>
              </w:rPr>
              <w:t>大</w:t>
            </w:r>
          </w:p>
        </w:tc>
        <w:tc>
          <w:tcPr>
            <w:tcW w:w="475" w:type="pct"/>
            <w:vAlign w:val="center"/>
          </w:tcPr>
          <w:p w14:paraId="4295621D">
            <w:pPr>
              <w:spacing w:line="240" w:lineRule="auto"/>
              <w:ind w:firstLine="0" w:firstLineChars="0"/>
              <w:jc w:val="center"/>
              <w:rPr>
                <w:sz w:val="21"/>
                <w:szCs w:val="21"/>
              </w:rPr>
            </w:pPr>
            <w:r>
              <w:rPr>
                <w:rFonts w:hint="eastAsia"/>
                <w:sz w:val="21"/>
                <w:szCs w:val="21"/>
              </w:rPr>
              <w:t>中</w:t>
            </w:r>
          </w:p>
        </w:tc>
        <w:tc>
          <w:tcPr>
            <w:tcW w:w="476" w:type="pct"/>
            <w:vAlign w:val="center"/>
          </w:tcPr>
          <w:p w14:paraId="77E1C075">
            <w:pPr>
              <w:spacing w:line="240" w:lineRule="auto"/>
              <w:ind w:firstLine="0" w:firstLineChars="0"/>
              <w:jc w:val="center"/>
              <w:rPr>
                <w:sz w:val="21"/>
                <w:szCs w:val="21"/>
              </w:rPr>
            </w:pPr>
            <w:r>
              <w:rPr>
                <w:rFonts w:hint="eastAsia"/>
                <w:sz w:val="21"/>
                <w:szCs w:val="21"/>
              </w:rPr>
              <w:t>小</w:t>
            </w:r>
          </w:p>
        </w:tc>
        <w:tc>
          <w:tcPr>
            <w:tcW w:w="475" w:type="pct"/>
            <w:vAlign w:val="center"/>
          </w:tcPr>
          <w:p w14:paraId="2AA1451C">
            <w:pPr>
              <w:spacing w:line="240" w:lineRule="auto"/>
              <w:ind w:firstLine="0" w:firstLineChars="0"/>
              <w:jc w:val="center"/>
              <w:rPr>
                <w:sz w:val="21"/>
                <w:szCs w:val="21"/>
              </w:rPr>
            </w:pPr>
            <w:r>
              <w:rPr>
                <w:rFonts w:hint="eastAsia"/>
                <w:sz w:val="21"/>
                <w:szCs w:val="21"/>
              </w:rPr>
              <w:t>大</w:t>
            </w:r>
          </w:p>
        </w:tc>
        <w:tc>
          <w:tcPr>
            <w:tcW w:w="474" w:type="pct"/>
            <w:vAlign w:val="center"/>
          </w:tcPr>
          <w:p w14:paraId="07E51FB6">
            <w:pPr>
              <w:spacing w:line="240" w:lineRule="auto"/>
              <w:ind w:firstLine="0" w:firstLineChars="0"/>
              <w:jc w:val="center"/>
              <w:rPr>
                <w:sz w:val="21"/>
                <w:szCs w:val="21"/>
              </w:rPr>
            </w:pPr>
            <w:r>
              <w:rPr>
                <w:rFonts w:hint="eastAsia"/>
                <w:sz w:val="21"/>
                <w:szCs w:val="21"/>
              </w:rPr>
              <w:t>中</w:t>
            </w:r>
          </w:p>
        </w:tc>
        <w:tc>
          <w:tcPr>
            <w:tcW w:w="476" w:type="pct"/>
            <w:vAlign w:val="center"/>
          </w:tcPr>
          <w:p w14:paraId="7BFE491A">
            <w:pPr>
              <w:spacing w:line="240" w:lineRule="auto"/>
              <w:ind w:firstLine="0" w:firstLineChars="0"/>
              <w:jc w:val="center"/>
              <w:rPr>
                <w:sz w:val="21"/>
                <w:szCs w:val="21"/>
              </w:rPr>
            </w:pPr>
            <w:r>
              <w:rPr>
                <w:rFonts w:hint="eastAsia"/>
                <w:sz w:val="21"/>
                <w:szCs w:val="21"/>
              </w:rPr>
              <w:t>小</w:t>
            </w:r>
          </w:p>
        </w:tc>
        <w:tc>
          <w:tcPr>
            <w:tcW w:w="474" w:type="pct"/>
            <w:vAlign w:val="center"/>
          </w:tcPr>
          <w:p w14:paraId="65476F4B">
            <w:pPr>
              <w:spacing w:line="240" w:lineRule="auto"/>
              <w:ind w:firstLine="0" w:firstLineChars="0"/>
              <w:jc w:val="center"/>
              <w:rPr>
                <w:sz w:val="21"/>
                <w:szCs w:val="21"/>
              </w:rPr>
            </w:pPr>
            <w:r>
              <w:rPr>
                <w:rFonts w:hint="eastAsia"/>
                <w:sz w:val="21"/>
                <w:szCs w:val="21"/>
              </w:rPr>
              <w:t>大</w:t>
            </w:r>
          </w:p>
        </w:tc>
        <w:tc>
          <w:tcPr>
            <w:tcW w:w="475" w:type="pct"/>
            <w:vAlign w:val="center"/>
          </w:tcPr>
          <w:p w14:paraId="00856C0A">
            <w:pPr>
              <w:spacing w:line="240" w:lineRule="auto"/>
              <w:ind w:firstLine="0" w:firstLineChars="0"/>
              <w:jc w:val="center"/>
              <w:rPr>
                <w:sz w:val="21"/>
                <w:szCs w:val="21"/>
              </w:rPr>
            </w:pPr>
            <w:r>
              <w:rPr>
                <w:rFonts w:hint="eastAsia"/>
                <w:sz w:val="21"/>
                <w:szCs w:val="21"/>
              </w:rPr>
              <w:t>中</w:t>
            </w:r>
          </w:p>
        </w:tc>
        <w:tc>
          <w:tcPr>
            <w:tcW w:w="474" w:type="pct"/>
            <w:vAlign w:val="center"/>
          </w:tcPr>
          <w:p w14:paraId="198E5C4E">
            <w:pPr>
              <w:spacing w:line="240" w:lineRule="auto"/>
              <w:ind w:firstLine="0" w:firstLineChars="0"/>
              <w:jc w:val="center"/>
              <w:rPr>
                <w:sz w:val="21"/>
                <w:szCs w:val="21"/>
              </w:rPr>
            </w:pPr>
            <w:r>
              <w:rPr>
                <w:rFonts w:hint="eastAsia"/>
                <w:sz w:val="21"/>
                <w:szCs w:val="21"/>
              </w:rPr>
              <w:t>小</w:t>
            </w:r>
          </w:p>
        </w:tc>
      </w:tr>
      <w:tr w14:paraId="2DFC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14:paraId="618BAECD">
            <w:pPr>
              <w:spacing w:line="240" w:lineRule="auto"/>
              <w:ind w:firstLine="0" w:firstLineChars="0"/>
              <w:jc w:val="center"/>
              <w:rPr>
                <w:sz w:val="21"/>
                <w:szCs w:val="21"/>
              </w:rPr>
            </w:pPr>
            <w:r>
              <w:rPr>
                <w:rFonts w:hint="eastAsia"/>
                <w:sz w:val="21"/>
                <w:szCs w:val="21"/>
              </w:rPr>
              <w:t>敏感</w:t>
            </w:r>
          </w:p>
        </w:tc>
        <w:tc>
          <w:tcPr>
            <w:tcW w:w="472" w:type="pct"/>
            <w:vAlign w:val="center"/>
          </w:tcPr>
          <w:p w14:paraId="46BDE067">
            <w:pPr>
              <w:spacing w:line="240" w:lineRule="auto"/>
              <w:ind w:firstLine="0" w:firstLineChars="0"/>
              <w:jc w:val="center"/>
              <w:rPr>
                <w:sz w:val="21"/>
                <w:szCs w:val="21"/>
              </w:rPr>
            </w:pPr>
            <w:r>
              <w:rPr>
                <w:rFonts w:hint="eastAsia"/>
                <w:sz w:val="21"/>
                <w:szCs w:val="21"/>
              </w:rPr>
              <w:t>一级</w:t>
            </w:r>
          </w:p>
        </w:tc>
        <w:tc>
          <w:tcPr>
            <w:tcW w:w="475" w:type="pct"/>
            <w:vAlign w:val="center"/>
          </w:tcPr>
          <w:p w14:paraId="7D569D31">
            <w:pPr>
              <w:spacing w:line="240" w:lineRule="auto"/>
              <w:ind w:firstLine="0" w:firstLineChars="0"/>
              <w:jc w:val="center"/>
              <w:rPr>
                <w:sz w:val="21"/>
                <w:szCs w:val="21"/>
              </w:rPr>
            </w:pPr>
            <w:r>
              <w:rPr>
                <w:rFonts w:hint="eastAsia"/>
                <w:sz w:val="21"/>
                <w:szCs w:val="21"/>
              </w:rPr>
              <w:t>一级</w:t>
            </w:r>
          </w:p>
        </w:tc>
        <w:tc>
          <w:tcPr>
            <w:tcW w:w="476" w:type="pct"/>
            <w:vAlign w:val="center"/>
          </w:tcPr>
          <w:p w14:paraId="7ED94F77">
            <w:pPr>
              <w:spacing w:line="240" w:lineRule="auto"/>
              <w:ind w:firstLine="0" w:firstLineChars="0"/>
              <w:jc w:val="center"/>
              <w:rPr>
                <w:sz w:val="21"/>
                <w:szCs w:val="21"/>
              </w:rPr>
            </w:pPr>
            <w:r>
              <w:rPr>
                <w:rFonts w:hint="eastAsia"/>
                <w:sz w:val="21"/>
                <w:szCs w:val="21"/>
              </w:rPr>
              <w:t>一级</w:t>
            </w:r>
          </w:p>
        </w:tc>
        <w:tc>
          <w:tcPr>
            <w:tcW w:w="475" w:type="pct"/>
            <w:vAlign w:val="center"/>
          </w:tcPr>
          <w:p w14:paraId="71CA935F">
            <w:pPr>
              <w:spacing w:line="240" w:lineRule="auto"/>
              <w:ind w:firstLine="0" w:firstLineChars="0"/>
              <w:jc w:val="center"/>
              <w:rPr>
                <w:sz w:val="21"/>
                <w:szCs w:val="21"/>
              </w:rPr>
            </w:pPr>
            <w:r>
              <w:rPr>
                <w:rFonts w:hint="eastAsia"/>
                <w:sz w:val="21"/>
                <w:szCs w:val="21"/>
              </w:rPr>
              <w:t>二级</w:t>
            </w:r>
          </w:p>
        </w:tc>
        <w:tc>
          <w:tcPr>
            <w:tcW w:w="474" w:type="pct"/>
            <w:vAlign w:val="center"/>
          </w:tcPr>
          <w:p w14:paraId="03848932">
            <w:pPr>
              <w:spacing w:line="240" w:lineRule="auto"/>
              <w:ind w:firstLine="0" w:firstLineChars="0"/>
              <w:jc w:val="center"/>
              <w:rPr>
                <w:sz w:val="21"/>
                <w:szCs w:val="21"/>
              </w:rPr>
            </w:pPr>
            <w:r>
              <w:rPr>
                <w:rFonts w:hint="eastAsia"/>
                <w:sz w:val="21"/>
                <w:szCs w:val="21"/>
              </w:rPr>
              <w:t>二级</w:t>
            </w:r>
          </w:p>
        </w:tc>
        <w:tc>
          <w:tcPr>
            <w:tcW w:w="476" w:type="pct"/>
            <w:vAlign w:val="center"/>
          </w:tcPr>
          <w:p w14:paraId="0E8FE303">
            <w:pPr>
              <w:spacing w:line="240" w:lineRule="auto"/>
              <w:ind w:firstLine="0" w:firstLineChars="0"/>
              <w:jc w:val="center"/>
              <w:rPr>
                <w:sz w:val="21"/>
                <w:szCs w:val="21"/>
              </w:rPr>
            </w:pPr>
            <w:r>
              <w:rPr>
                <w:rFonts w:hint="eastAsia"/>
                <w:sz w:val="21"/>
                <w:szCs w:val="21"/>
              </w:rPr>
              <w:t>二级</w:t>
            </w:r>
          </w:p>
        </w:tc>
        <w:tc>
          <w:tcPr>
            <w:tcW w:w="474" w:type="pct"/>
            <w:vAlign w:val="center"/>
          </w:tcPr>
          <w:p w14:paraId="4104A522">
            <w:pPr>
              <w:spacing w:line="240" w:lineRule="auto"/>
              <w:ind w:firstLine="0" w:firstLineChars="0"/>
              <w:jc w:val="center"/>
              <w:rPr>
                <w:sz w:val="21"/>
                <w:szCs w:val="21"/>
              </w:rPr>
            </w:pPr>
            <w:r>
              <w:rPr>
                <w:rFonts w:hint="eastAsia"/>
                <w:sz w:val="21"/>
                <w:szCs w:val="21"/>
              </w:rPr>
              <w:t>三级</w:t>
            </w:r>
          </w:p>
        </w:tc>
        <w:tc>
          <w:tcPr>
            <w:tcW w:w="475" w:type="pct"/>
            <w:vAlign w:val="center"/>
          </w:tcPr>
          <w:p w14:paraId="6A3FE849">
            <w:pPr>
              <w:spacing w:line="240" w:lineRule="auto"/>
              <w:ind w:firstLine="0" w:firstLineChars="0"/>
              <w:jc w:val="center"/>
              <w:rPr>
                <w:sz w:val="21"/>
                <w:szCs w:val="21"/>
              </w:rPr>
            </w:pPr>
            <w:r>
              <w:rPr>
                <w:rFonts w:hint="eastAsia"/>
                <w:sz w:val="21"/>
                <w:szCs w:val="21"/>
              </w:rPr>
              <w:t>三级</w:t>
            </w:r>
          </w:p>
        </w:tc>
        <w:tc>
          <w:tcPr>
            <w:tcW w:w="474" w:type="pct"/>
            <w:vAlign w:val="center"/>
          </w:tcPr>
          <w:p w14:paraId="30BF17AE">
            <w:pPr>
              <w:spacing w:line="240" w:lineRule="auto"/>
              <w:ind w:firstLine="0" w:firstLineChars="0"/>
              <w:jc w:val="center"/>
              <w:rPr>
                <w:sz w:val="21"/>
                <w:szCs w:val="21"/>
              </w:rPr>
            </w:pPr>
            <w:r>
              <w:rPr>
                <w:rFonts w:hint="eastAsia"/>
                <w:sz w:val="21"/>
                <w:szCs w:val="21"/>
              </w:rPr>
              <w:t>三级</w:t>
            </w:r>
          </w:p>
        </w:tc>
      </w:tr>
      <w:tr w14:paraId="32C2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14:paraId="40934158">
            <w:pPr>
              <w:spacing w:line="240" w:lineRule="auto"/>
              <w:ind w:firstLine="0" w:firstLineChars="0"/>
              <w:jc w:val="center"/>
              <w:rPr>
                <w:sz w:val="21"/>
                <w:szCs w:val="21"/>
              </w:rPr>
            </w:pPr>
            <w:r>
              <w:rPr>
                <w:rFonts w:hint="eastAsia"/>
                <w:sz w:val="21"/>
                <w:szCs w:val="21"/>
              </w:rPr>
              <w:t>较敏感</w:t>
            </w:r>
          </w:p>
        </w:tc>
        <w:tc>
          <w:tcPr>
            <w:tcW w:w="472" w:type="pct"/>
            <w:vAlign w:val="center"/>
          </w:tcPr>
          <w:p w14:paraId="6C3EB5CB">
            <w:pPr>
              <w:spacing w:line="240" w:lineRule="auto"/>
              <w:ind w:firstLine="0" w:firstLineChars="0"/>
              <w:jc w:val="center"/>
              <w:rPr>
                <w:sz w:val="21"/>
                <w:szCs w:val="21"/>
              </w:rPr>
            </w:pPr>
            <w:r>
              <w:rPr>
                <w:rFonts w:hint="eastAsia"/>
                <w:sz w:val="21"/>
                <w:szCs w:val="21"/>
              </w:rPr>
              <w:t>一级</w:t>
            </w:r>
          </w:p>
        </w:tc>
        <w:tc>
          <w:tcPr>
            <w:tcW w:w="475" w:type="pct"/>
            <w:vAlign w:val="center"/>
          </w:tcPr>
          <w:p w14:paraId="3CD10B02">
            <w:pPr>
              <w:spacing w:line="240" w:lineRule="auto"/>
              <w:ind w:firstLine="0" w:firstLineChars="0"/>
              <w:jc w:val="center"/>
              <w:rPr>
                <w:sz w:val="21"/>
                <w:szCs w:val="21"/>
              </w:rPr>
            </w:pPr>
            <w:r>
              <w:rPr>
                <w:rFonts w:hint="eastAsia"/>
                <w:sz w:val="21"/>
                <w:szCs w:val="21"/>
              </w:rPr>
              <w:t>一级</w:t>
            </w:r>
          </w:p>
        </w:tc>
        <w:tc>
          <w:tcPr>
            <w:tcW w:w="476" w:type="pct"/>
            <w:vAlign w:val="center"/>
          </w:tcPr>
          <w:p w14:paraId="3AA012AF">
            <w:pPr>
              <w:spacing w:line="240" w:lineRule="auto"/>
              <w:ind w:firstLine="0" w:firstLineChars="0"/>
              <w:jc w:val="center"/>
              <w:rPr>
                <w:sz w:val="21"/>
                <w:szCs w:val="21"/>
              </w:rPr>
            </w:pPr>
            <w:r>
              <w:rPr>
                <w:rFonts w:hint="eastAsia"/>
                <w:sz w:val="21"/>
                <w:szCs w:val="21"/>
              </w:rPr>
              <w:t>二级</w:t>
            </w:r>
          </w:p>
        </w:tc>
        <w:tc>
          <w:tcPr>
            <w:tcW w:w="475" w:type="pct"/>
            <w:vAlign w:val="center"/>
          </w:tcPr>
          <w:p w14:paraId="29F99DF0">
            <w:pPr>
              <w:spacing w:line="240" w:lineRule="auto"/>
              <w:ind w:firstLine="0" w:firstLineChars="0"/>
              <w:jc w:val="center"/>
              <w:rPr>
                <w:sz w:val="21"/>
                <w:szCs w:val="21"/>
              </w:rPr>
            </w:pPr>
            <w:r>
              <w:rPr>
                <w:rFonts w:hint="eastAsia"/>
                <w:sz w:val="21"/>
                <w:szCs w:val="21"/>
              </w:rPr>
              <w:t>二级</w:t>
            </w:r>
          </w:p>
        </w:tc>
        <w:tc>
          <w:tcPr>
            <w:tcW w:w="474" w:type="pct"/>
            <w:vAlign w:val="center"/>
          </w:tcPr>
          <w:p w14:paraId="682CDC46">
            <w:pPr>
              <w:spacing w:line="240" w:lineRule="auto"/>
              <w:ind w:firstLine="0" w:firstLineChars="0"/>
              <w:jc w:val="center"/>
              <w:rPr>
                <w:sz w:val="21"/>
                <w:szCs w:val="21"/>
              </w:rPr>
            </w:pPr>
            <w:r>
              <w:rPr>
                <w:rFonts w:hint="eastAsia"/>
                <w:sz w:val="21"/>
                <w:szCs w:val="21"/>
              </w:rPr>
              <w:t>二级</w:t>
            </w:r>
          </w:p>
        </w:tc>
        <w:tc>
          <w:tcPr>
            <w:tcW w:w="476" w:type="pct"/>
            <w:vAlign w:val="center"/>
          </w:tcPr>
          <w:p w14:paraId="1C0B4C56">
            <w:pPr>
              <w:spacing w:line="240" w:lineRule="auto"/>
              <w:ind w:firstLine="0" w:firstLineChars="0"/>
              <w:jc w:val="center"/>
              <w:rPr>
                <w:sz w:val="21"/>
                <w:szCs w:val="21"/>
              </w:rPr>
            </w:pPr>
            <w:r>
              <w:rPr>
                <w:rFonts w:hint="eastAsia"/>
                <w:sz w:val="21"/>
                <w:szCs w:val="21"/>
              </w:rPr>
              <w:t>三级</w:t>
            </w:r>
          </w:p>
        </w:tc>
        <w:tc>
          <w:tcPr>
            <w:tcW w:w="474" w:type="pct"/>
            <w:vAlign w:val="center"/>
          </w:tcPr>
          <w:p w14:paraId="787C5016">
            <w:pPr>
              <w:spacing w:line="240" w:lineRule="auto"/>
              <w:ind w:firstLine="0" w:firstLineChars="0"/>
              <w:jc w:val="center"/>
              <w:rPr>
                <w:sz w:val="21"/>
                <w:szCs w:val="21"/>
              </w:rPr>
            </w:pPr>
            <w:r>
              <w:rPr>
                <w:rFonts w:hint="eastAsia"/>
                <w:sz w:val="21"/>
                <w:szCs w:val="21"/>
              </w:rPr>
              <w:t>三级</w:t>
            </w:r>
          </w:p>
        </w:tc>
        <w:tc>
          <w:tcPr>
            <w:tcW w:w="475" w:type="pct"/>
            <w:vAlign w:val="center"/>
          </w:tcPr>
          <w:p w14:paraId="54195BD2">
            <w:pPr>
              <w:spacing w:line="240" w:lineRule="auto"/>
              <w:ind w:firstLine="0" w:firstLineChars="0"/>
              <w:jc w:val="center"/>
              <w:rPr>
                <w:sz w:val="21"/>
                <w:szCs w:val="21"/>
              </w:rPr>
            </w:pPr>
            <w:r>
              <w:rPr>
                <w:rFonts w:hint="eastAsia"/>
                <w:sz w:val="21"/>
                <w:szCs w:val="21"/>
              </w:rPr>
              <w:t>三级</w:t>
            </w:r>
          </w:p>
        </w:tc>
        <w:tc>
          <w:tcPr>
            <w:tcW w:w="474" w:type="pct"/>
            <w:vAlign w:val="center"/>
          </w:tcPr>
          <w:p w14:paraId="6BE45CA1">
            <w:pPr>
              <w:spacing w:line="240" w:lineRule="auto"/>
              <w:ind w:firstLine="0" w:firstLineChars="0"/>
              <w:jc w:val="center"/>
              <w:rPr>
                <w:sz w:val="21"/>
                <w:szCs w:val="21"/>
              </w:rPr>
            </w:pPr>
            <w:r>
              <w:rPr>
                <w:rFonts w:hint="eastAsia"/>
                <w:sz w:val="21"/>
                <w:szCs w:val="21"/>
              </w:rPr>
              <w:t>-</w:t>
            </w:r>
          </w:p>
        </w:tc>
      </w:tr>
      <w:tr w14:paraId="1082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14:paraId="6BF85B7E">
            <w:pPr>
              <w:spacing w:line="240" w:lineRule="auto"/>
              <w:ind w:firstLine="0" w:firstLineChars="0"/>
              <w:jc w:val="center"/>
              <w:rPr>
                <w:sz w:val="21"/>
                <w:szCs w:val="21"/>
              </w:rPr>
            </w:pPr>
            <w:r>
              <w:rPr>
                <w:rFonts w:hint="eastAsia"/>
                <w:sz w:val="21"/>
                <w:szCs w:val="21"/>
              </w:rPr>
              <w:t>不敏感</w:t>
            </w:r>
          </w:p>
        </w:tc>
        <w:tc>
          <w:tcPr>
            <w:tcW w:w="472" w:type="pct"/>
            <w:vAlign w:val="center"/>
          </w:tcPr>
          <w:p w14:paraId="31DADCD2">
            <w:pPr>
              <w:spacing w:line="240" w:lineRule="auto"/>
              <w:ind w:firstLine="0" w:firstLineChars="0"/>
              <w:jc w:val="center"/>
              <w:rPr>
                <w:sz w:val="21"/>
                <w:szCs w:val="21"/>
              </w:rPr>
            </w:pPr>
            <w:r>
              <w:rPr>
                <w:rFonts w:hint="eastAsia"/>
                <w:sz w:val="21"/>
                <w:szCs w:val="21"/>
              </w:rPr>
              <w:t>一级</w:t>
            </w:r>
          </w:p>
        </w:tc>
        <w:tc>
          <w:tcPr>
            <w:tcW w:w="475" w:type="pct"/>
            <w:vAlign w:val="center"/>
          </w:tcPr>
          <w:p w14:paraId="34563B6F">
            <w:pPr>
              <w:spacing w:line="240" w:lineRule="auto"/>
              <w:ind w:firstLine="0" w:firstLineChars="0"/>
              <w:jc w:val="center"/>
              <w:rPr>
                <w:sz w:val="21"/>
                <w:szCs w:val="21"/>
              </w:rPr>
            </w:pPr>
            <w:r>
              <w:rPr>
                <w:rFonts w:hint="eastAsia"/>
                <w:sz w:val="21"/>
                <w:szCs w:val="21"/>
              </w:rPr>
              <w:t>二级</w:t>
            </w:r>
          </w:p>
        </w:tc>
        <w:tc>
          <w:tcPr>
            <w:tcW w:w="476" w:type="pct"/>
            <w:vAlign w:val="center"/>
          </w:tcPr>
          <w:p w14:paraId="6B32CE50">
            <w:pPr>
              <w:spacing w:line="240" w:lineRule="auto"/>
              <w:ind w:firstLine="0" w:firstLineChars="0"/>
              <w:jc w:val="center"/>
              <w:rPr>
                <w:sz w:val="21"/>
                <w:szCs w:val="21"/>
              </w:rPr>
            </w:pPr>
            <w:r>
              <w:rPr>
                <w:rFonts w:hint="eastAsia"/>
                <w:sz w:val="21"/>
                <w:szCs w:val="21"/>
              </w:rPr>
              <w:t>二级</w:t>
            </w:r>
          </w:p>
        </w:tc>
        <w:tc>
          <w:tcPr>
            <w:tcW w:w="475" w:type="pct"/>
            <w:vAlign w:val="center"/>
          </w:tcPr>
          <w:p w14:paraId="1721CDB9">
            <w:pPr>
              <w:spacing w:line="240" w:lineRule="auto"/>
              <w:ind w:firstLine="0" w:firstLineChars="0"/>
              <w:jc w:val="center"/>
              <w:rPr>
                <w:sz w:val="21"/>
                <w:szCs w:val="21"/>
              </w:rPr>
            </w:pPr>
            <w:r>
              <w:rPr>
                <w:rFonts w:hint="eastAsia"/>
                <w:sz w:val="21"/>
                <w:szCs w:val="21"/>
              </w:rPr>
              <w:t>二级</w:t>
            </w:r>
          </w:p>
        </w:tc>
        <w:tc>
          <w:tcPr>
            <w:tcW w:w="474" w:type="pct"/>
            <w:vAlign w:val="center"/>
          </w:tcPr>
          <w:p w14:paraId="06DDF306">
            <w:pPr>
              <w:spacing w:line="240" w:lineRule="auto"/>
              <w:ind w:firstLine="0" w:firstLineChars="0"/>
              <w:jc w:val="center"/>
              <w:rPr>
                <w:sz w:val="21"/>
                <w:szCs w:val="21"/>
              </w:rPr>
            </w:pPr>
            <w:r>
              <w:rPr>
                <w:rFonts w:hint="eastAsia"/>
                <w:sz w:val="21"/>
                <w:szCs w:val="21"/>
              </w:rPr>
              <w:t>三级</w:t>
            </w:r>
          </w:p>
        </w:tc>
        <w:tc>
          <w:tcPr>
            <w:tcW w:w="476" w:type="pct"/>
            <w:vAlign w:val="center"/>
          </w:tcPr>
          <w:p w14:paraId="0BC0E53B">
            <w:pPr>
              <w:spacing w:line="240" w:lineRule="auto"/>
              <w:ind w:firstLine="0" w:firstLineChars="0"/>
              <w:jc w:val="center"/>
              <w:rPr>
                <w:sz w:val="21"/>
                <w:szCs w:val="21"/>
              </w:rPr>
            </w:pPr>
            <w:r>
              <w:rPr>
                <w:rFonts w:hint="eastAsia"/>
                <w:sz w:val="21"/>
                <w:szCs w:val="21"/>
              </w:rPr>
              <w:t>三级</w:t>
            </w:r>
          </w:p>
        </w:tc>
        <w:tc>
          <w:tcPr>
            <w:tcW w:w="474" w:type="pct"/>
            <w:vAlign w:val="center"/>
          </w:tcPr>
          <w:p w14:paraId="0226B6D1">
            <w:pPr>
              <w:spacing w:line="240" w:lineRule="auto"/>
              <w:ind w:firstLine="0" w:firstLineChars="0"/>
              <w:jc w:val="center"/>
              <w:rPr>
                <w:sz w:val="21"/>
                <w:szCs w:val="21"/>
              </w:rPr>
            </w:pPr>
            <w:r>
              <w:rPr>
                <w:rFonts w:hint="eastAsia"/>
                <w:sz w:val="21"/>
                <w:szCs w:val="21"/>
              </w:rPr>
              <w:t>三级</w:t>
            </w:r>
          </w:p>
        </w:tc>
        <w:tc>
          <w:tcPr>
            <w:tcW w:w="475" w:type="pct"/>
            <w:vAlign w:val="center"/>
          </w:tcPr>
          <w:p w14:paraId="2240341D">
            <w:pPr>
              <w:spacing w:line="240" w:lineRule="auto"/>
              <w:ind w:firstLine="0" w:firstLineChars="0"/>
              <w:jc w:val="center"/>
              <w:rPr>
                <w:sz w:val="21"/>
                <w:szCs w:val="21"/>
              </w:rPr>
            </w:pPr>
            <w:r>
              <w:rPr>
                <w:rFonts w:hint="eastAsia"/>
                <w:sz w:val="21"/>
                <w:szCs w:val="21"/>
              </w:rPr>
              <w:t>-</w:t>
            </w:r>
          </w:p>
        </w:tc>
        <w:tc>
          <w:tcPr>
            <w:tcW w:w="474" w:type="pct"/>
            <w:vAlign w:val="center"/>
          </w:tcPr>
          <w:p w14:paraId="141BFB41">
            <w:pPr>
              <w:spacing w:line="240" w:lineRule="auto"/>
              <w:ind w:firstLine="0" w:firstLineChars="0"/>
              <w:jc w:val="center"/>
              <w:rPr>
                <w:sz w:val="21"/>
                <w:szCs w:val="21"/>
              </w:rPr>
            </w:pPr>
            <w:r>
              <w:rPr>
                <w:rFonts w:hint="eastAsia"/>
                <w:sz w:val="21"/>
                <w:szCs w:val="21"/>
              </w:rPr>
              <w:t>-</w:t>
            </w:r>
          </w:p>
        </w:tc>
      </w:tr>
      <w:tr w14:paraId="31DC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vAlign w:val="center"/>
          </w:tcPr>
          <w:p w14:paraId="01E7BA21">
            <w:pPr>
              <w:spacing w:line="240" w:lineRule="auto"/>
              <w:ind w:firstLine="0" w:firstLineChars="0"/>
              <w:rPr>
                <w:sz w:val="21"/>
                <w:szCs w:val="21"/>
              </w:rPr>
            </w:pPr>
            <w:r>
              <w:rPr>
                <w:rFonts w:hint="eastAsia"/>
                <w:sz w:val="21"/>
                <w:szCs w:val="21"/>
              </w:rPr>
              <w:t>注：”-”表示可不开展土壤环境影响评价工作</w:t>
            </w:r>
          </w:p>
        </w:tc>
      </w:tr>
    </w:tbl>
    <w:p w14:paraId="6956D5BF">
      <w:pPr>
        <w:ind w:firstLine="480"/>
      </w:pPr>
      <w:r>
        <w:rPr>
          <w:rFonts w:hint="eastAsia"/>
        </w:rPr>
        <w:t>综上所述，根据《环境影响评价技术导则土壤环境（试行）》（HJ964-2018），其中VI建设项目可不开展土壤环境影响评价；自身为敏感目标的建设项目，可根据需要仅对土壤环境现状进行调查。因此本项目仅对土壤环境现状进行调查。</w:t>
      </w:r>
    </w:p>
    <w:p w14:paraId="4352ED08">
      <w:pPr>
        <w:pStyle w:val="6"/>
        <w:ind w:firstLine="482"/>
      </w:pPr>
      <w:r>
        <w:rPr>
          <w:rFonts w:hint="eastAsia"/>
        </w:rPr>
        <w:t>2.6.1.5生态影响</w:t>
      </w:r>
    </w:p>
    <w:p w14:paraId="5F5C3448">
      <w:pPr>
        <w:ind w:firstLine="480"/>
      </w:pPr>
      <w:r>
        <w:rPr>
          <w:rFonts w:hint="eastAsia"/>
        </w:rPr>
        <w:t>根据《环境影响评价技术导则生态影响》（HJ1.9-2022），确定生态环境评价工作等级。根据生态影响评价工作等级划分内容。生态影响评价工作等级划分如下原则确定：</w:t>
      </w:r>
    </w:p>
    <w:p w14:paraId="6F4E88F7">
      <w:pPr>
        <w:ind w:firstLine="480"/>
      </w:pPr>
      <w:bookmarkStart w:id="44" w:name="_Hlk106660903"/>
      <w:r>
        <w:rPr>
          <w:rFonts w:hint="eastAsia"/>
        </w:rPr>
        <w:t>a）</w:t>
      </w:r>
      <w:r>
        <w:rPr>
          <w:rFonts w:hint="eastAsia"/>
        </w:rPr>
        <w:tab/>
      </w:r>
      <w:r>
        <w:rPr>
          <w:rFonts w:hint="eastAsia"/>
        </w:rPr>
        <w:t>涉及国家公园、自然保护区、世界自然遗产、重要生境时，评价等级为一级；</w:t>
      </w:r>
    </w:p>
    <w:p w14:paraId="32E971A1">
      <w:pPr>
        <w:ind w:firstLine="480"/>
      </w:pPr>
      <w:r>
        <w:rPr>
          <w:rFonts w:hint="eastAsia"/>
        </w:rPr>
        <w:t>b）涉及自然公园时，评价等级为二级；</w:t>
      </w:r>
    </w:p>
    <w:p w14:paraId="40B8F7BE">
      <w:pPr>
        <w:ind w:firstLine="480"/>
      </w:pPr>
      <w:r>
        <w:rPr>
          <w:rFonts w:hint="eastAsia"/>
        </w:rPr>
        <w:t>c）涉及生态保护红线时，评价等级不低于二级：</w:t>
      </w:r>
    </w:p>
    <w:bookmarkEnd w:id="44"/>
    <w:p w14:paraId="13050E17">
      <w:pPr>
        <w:ind w:firstLine="480"/>
      </w:pPr>
      <w:r>
        <w:rPr>
          <w:rFonts w:hint="eastAsia"/>
        </w:rPr>
        <w:t>d）根据HJ2.3判断属于水文要素影响型且地表水评价等级不低于二级的建设项目，生态影响评价等级不低于二级；</w:t>
      </w:r>
    </w:p>
    <w:p w14:paraId="43FA4892">
      <w:pPr>
        <w:ind w:firstLine="480"/>
      </w:pPr>
      <w:r>
        <w:rPr>
          <w:rFonts w:hint="eastAsia"/>
        </w:rPr>
        <w:t>e）</w:t>
      </w:r>
      <w:r>
        <w:rPr>
          <w:rFonts w:hint="eastAsia"/>
        </w:rPr>
        <w:tab/>
      </w:r>
      <w:r>
        <w:rPr>
          <w:rFonts w:hint="eastAsia"/>
        </w:rPr>
        <w:t>根据HJ610、HJ964判断地下水水位或土壤影响范围内分布有天然林、公益林、湿地等生态保护目标的建设项目，生态影响评价等级不低于二级；</w:t>
      </w:r>
    </w:p>
    <w:p w14:paraId="73BED610">
      <w:pPr>
        <w:ind w:firstLine="480"/>
      </w:pPr>
      <w:r>
        <w:rPr>
          <w:rFonts w:hint="eastAsia"/>
        </w:rPr>
        <w:t>f）</w:t>
      </w:r>
      <w:r>
        <w:rPr>
          <w:rFonts w:hint="eastAsia"/>
        </w:rPr>
        <w:tab/>
      </w:r>
      <w:r>
        <w:rPr>
          <w:rFonts w:hint="eastAsia"/>
        </w:rPr>
        <w:t>当工程占地规模大于20km</w:t>
      </w:r>
      <w:r>
        <w:rPr>
          <w:vertAlign w:val="superscript"/>
        </w:rPr>
        <w:t>2</w:t>
      </w:r>
      <w:r>
        <w:rPr>
          <w:rFonts w:hint="eastAsia"/>
        </w:rPr>
        <w:t>时（包括永久和临时占用陆域和水域），评价等级不低于二级：改扩建项目的占地范围以新增占地（包括陆域和水域）确定；</w:t>
      </w:r>
    </w:p>
    <w:p w14:paraId="7B271986">
      <w:pPr>
        <w:ind w:firstLine="480"/>
      </w:pPr>
      <w:r>
        <w:rPr>
          <w:rFonts w:hint="eastAsia"/>
        </w:rPr>
        <w:t>g）除本条a）、b）、c）、d）、e）、f）以外的情况，评价等级为三级；</w:t>
      </w:r>
    </w:p>
    <w:p w14:paraId="260B114F">
      <w:pPr>
        <w:ind w:firstLine="480"/>
      </w:pPr>
      <w:r>
        <w:rPr>
          <w:rFonts w:hint="eastAsia"/>
        </w:rPr>
        <w:t>h）当评价等级判定同时符合上述多种情况时，应采用其中最高的评价等级。</w:t>
      </w:r>
    </w:p>
    <w:p w14:paraId="11A3BF45">
      <w:pPr>
        <w:ind w:firstLine="480"/>
      </w:pPr>
      <w:r>
        <w:rPr>
          <w:rFonts w:hint="eastAsia"/>
        </w:rPr>
        <w:t>（2）工程占地范围及环境敏感情况</w:t>
      </w:r>
    </w:p>
    <w:p w14:paraId="51ED7D0D">
      <w:pPr>
        <w:ind w:firstLine="480"/>
      </w:pPr>
      <w:r>
        <w:rPr>
          <w:rFonts w:hint="eastAsia"/>
        </w:rPr>
        <w:t>本项目总占地面积24757.78m</w:t>
      </w:r>
      <w:r>
        <w:rPr>
          <w:rFonts w:hint="eastAsia"/>
          <w:vertAlign w:val="superscript"/>
        </w:rPr>
        <w:t>2</w:t>
      </w:r>
      <w:r>
        <w:rPr>
          <w:rFonts w:hint="eastAsia"/>
        </w:rPr>
        <w:t>（折0.0247578km</w:t>
      </w:r>
      <w:r>
        <w:rPr>
          <w:rFonts w:hint="eastAsia"/>
          <w:vertAlign w:val="superscript"/>
        </w:rPr>
        <w:t>2</w:t>
      </w:r>
      <w:r>
        <w:rPr>
          <w:rFonts w:hint="eastAsia"/>
        </w:rPr>
        <w:t>），小于2</w:t>
      </w:r>
      <w:r>
        <w:t>0</w:t>
      </w:r>
      <w:r>
        <w:rPr>
          <w:rFonts w:hint="eastAsia"/>
        </w:rPr>
        <w:t>km</w:t>
      </w:r>
      <w:r>
        <w:rPr>
          <w:rFonts w:hint="eastAsia"/>
          <w:vertAlign w:val="superscript"/>
        </w:rPr>
        <w:t>2</w:t>
      </w:r>
      <w:r>
        <w:rPr>
          <w:rFonts w:hint="eastAsia"/>
        </w:rPr>
        <w:t>。本项目周边不涉及国家公园、自然保护区、世界自然遗产、重要生境时，不涉及自然公园，不涉及生态保护红线。</w:t>
      </w:r>
    </w:p>
    <w:p w14:paraId="1EE34466">
      <w:pPr>
        <w:ind w:firstLine="480"/>
      </w:pPr>
      <w:r>
        <w:rPr>
          <w:rFonts w:hint="eastAsia"/>
        </w:rPr>
        <w:t>综上所述，本项目生态影响评价等级为三级。</w:t>
      </w:r>
    </w:p>
    <w:p w14:paraId="0FC3CD62">
      <w:pPr>
        <w:pStyle w:val="6"/>
        <w:ind w:firstLine="482"/>
      </w:pPr>
      <w:r>
        <w:rPr>
          <w:rFonts w:hint="eastAsia"/>
        </w:rPr>
        <w:t>2.6.1.6环境风险</w:t>
      </w:r>
    </w:p>
    <w:p w14:paraId="65AAD149">
      <w:pPr>
        <w:ind w:firstLine="480"/>
      </w:pPr>
      <w:r>
        <w:rPr>
          <w:rFonts w:hint="eastAsia"/>
        </w:rPr>
        <w:t>根据《建设项目环境风险评价技术导则》（HJ169-2018）、《关于切实加强风险防范严格环境影响评价管理的通知》（环发[2012]98号）、《关于进一步加强环境影响评价管理防范环境风险的通知》（环发[2012]77号）等要求，对本项目进行环境风险评价，通过对建设项目的环境风险进行分析、预测和评估，提出环境风险预防、控制、减缓措施，明确环境风险监控及应急建议要求，为建设项目环境风险防控提出科学依据。</w:t>
      </w:r>
    </w:p>
    <w:p w14:paraId="652BCF8F">
      <w:pPr>
        <w:ind w:firstLine="480"/>
      </w:pPr>
      <w:r>
        <w:rPr>
          <w:rFonts w:hint="eastAsia"/>
        </w:rP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2.6-10。</w:t>
      </w:r>
    </w:p>
    <w:p w14:paraId="5CC68C52">
      <w:pPr>
        <w:pStyle w:val="11"/>
      </w:pPr>
      <w:r>
        <w:rPr>
          <w:rFonts w:hint="eastAsia"/>
        </w:rPr>
        <w:t>表2.6-10评价工作等级划分表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42E2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shd w:val="clear" w:color="auto" w:fill="auto"/>
            <w:vAlign w:val="center"/>
          </w:tcPr>
          <w:p w14:paraId="48020ACB">
            <w:pPr>
              <w:spacing w:line="240" w:lineRule="auto"/>
              <w:ind w:firstLine="0" w:firstLineChars="0"/>
              <w:jc w:val="center"/>
              <w:rPr>
                <w:sz w:val="21"/>
              </w:rPr>
            </w:pPr>
            <w:r>
              <w:rPr>
                <w:rFonts w:hint="eastAsia"/>
                <w:sz w:val="21"/>
              </w:rPr>
              <w:t>环境风险潜势</w:t>
            </w:r>
          </w:p>
        </w:tc>
        <w:tc>
          <w:tcPr>
            <w:tcW w:w="1000" w:type="pct"/>
            <w:shd w:val="clear" w:color="auto" w:fill="auto"/>
            <w:vAlign w:val="center"/>
          </w:tcPr>
          <w:p w14:paraId="1164E1E5">
            <w:pPr>
              <w:spacing w:line="240" w:lineRule="auto"/>
              <w:ind w:firstLine="0" w:firstLineChars="0"/>
              <w:jc w:val="center"/>
              <w:rPr>
                <w:sz w:val="21"/>
              </w:rPr>
            </w:pPr>
            <w:r>
              <w:rPr>
                <w:rFonts w:hint="eastAsia"/>
                <w:sz w:val="21"/>
              </w:rPr>
              <w:t>Ⅳ、Ⅳ</w:t>
            </w:r>
            <w:r>
              <w:rPr>
                <w:rFonts w:hint="eastAsia"/>
                <w:sz w:val="21"/>
                <w:vertAlign w:val="superscript"/>
              </w:rPr>
              <w:t>+</w:t>
            </w:r>
          </w:p>
        </w:tc>
        <w:tc>
          <w:tcPr>
            <w:tcW w:w="1000" w:type="pct"/>
            <w:shd w:val="clear" w:color="auto" w:fill="auto"/>
            <w:vAlign w:val="center"/>
          </w:tcPr>
          <w:p w14:paraId="663AC0FE">
            <w:pPr>
              <w:spacing w:line="240" w:lineRule="auto"/>
              <w:ind w:firstLine="0" w:firstLineChars="0"/>
              <w:jc w:val="center"/>
              <w:rPr>
                <w:sz w:val="21"/>
              </w:rPr>
            </w:pPr>
            <w:r>
              <w:rPr>
                <w:rFonts w:hint="eastAsia"/>
                <w:sz w:val="21"/>
              </w:rPr>
              <w:t>Ⅲ</w:t>
            </w:r>
          </w:p>
        </w:tc>
        <w:tc>
          <w:tcPr>
            <w:tcW w:w="1000" w:type="pct"/>
            <w:shd w:val="clear" w:color="auto" w:fill="auto"/>
            <w:vAlign w:val="center"/>
          </w:tcPr>
          <w:p w14:paraId="770AAFF4">
            <w:pPr>
              <w:spacing w:line="240" w:lineRule="auto"/>
              <w:ind w:firstLine="0" w:firstLineChars="0"/>
              <w:jc w:val="center"/>
              <w:rPr>
                <w:sz w:val="21"/>
              </w:rPr>
            </w:pPr>
            <w:r>
              <w:rPr>
                <w:rFonts w:hint="eastAsia"/>
                <w:sz w:val="21"/>
              </w:rPr>
              <w:t>Ⅱ</w:t>
            </w:r>
          </w:p>
        </w:tc>
        <w:tc>
          <w:tcPr>
            <w:tcW w:w="1001" w:type="pct"/>
            <w:shd w:val="clear" w:color="auto" w:fill="auto"/>
            <w:vAlign w:val="center"/>
          </w:tcPr>
          <w:p w14:paraId="700D221E">
            <w:pPr>
              <w:spacing w:line="240" w:lineRule="auto"/>
              <w:ind w:firstLine="0" w:firstLineChars="0"/>
              <w:jc w:val="center"/>
              <w:rPr>
                <w:sz w:val="21"/>
              </w:rPr>
            </w:pPr>
            <w:r>
              <w:rPr>
                <w:rFonts w:hint="eastAsia"/>
                <w:sz w:val="21"/>
              </w:rPr>
              <w:t>Ⅰ</w:t>
            </w:r>
          </w:p>
        </w:tc>
      </w:tr>
      <w:tr w14:paraId="2711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shd w:val="clear" w:color="auto" w:fill="auto"/>
            <w:vAlign w:val="center"/>
          </w:tcPr>
          <w:p w14:paraId="1170A60F">
            <w:pPr>
              <w:spacing w:line="240" w:lineRule="auto"/>
              <w:ind w:firstLine="0" w:firstLineChars="0"/>
              <w:jc w:val="center"/>
              <w:rPr>
                <w:sz w:val="21"/>
              </w:rPr>
            </w:pPr>
            <w:r>
              <w:rPr>
                <w:rFonts w:hint="eastAsia"/>
                <w:sz w:val="21"/>
              </w:rPr>
              <w:t>评价工作等级</w:t>
            </w:r>
          </w:p>
        </w:tc>
        <w:tc>
          <w:tcPr>
            <w:tcW w:w="1000" w:type="pct"/>
            <w:shd w:val="clear" w:color="auto" w:fill="auto"/>
            <w:vAlign w:val="center"/>
          </w:tcPr>
          <w:p w14:paraId="299F5A07">
            <w:pPr>
              <w:spacing w:line="240" w:lineRule="auto"/>
              <w:ind w:firstLine="0" w:firstLineChars="0"/>
              <w:jc w:val="center"/>
              <w:rPr>
                <w:sz w:val="21"/>
              </w:rPr>
            </w:pPr>
            <w:r>
              <w:rPr>
                <w:rFonts w:hint="eastAsia"/>
                <w:sz w:val="21"/>
              </w:rPr>
              <w:t>一</w:t>
            </w:r>
          </w:p>
        </w:tc>
        <w:tc>
          <w:tcPr>
            <w:tcW w:w="1000" w:type="pct"/>
            <w:shd w:val="clear" w:color="auto" w:fill="auto"/>
            <w:vAlign w:val="center"/>
          </w:tcPr>
          <w:p w14:paraId="614D8A72">
            <w:pPr>
              <w:spacing w:line="240" w:lineRule="auto"/>
              <w:ind w:firstLine="0" w:firstLineChars="0"/>
              <w:jc w:val="center"/>
              <w:rPr>
                <w:sz w:val="21"/>
              </w:rPr>
            </w:pPr>
            <w:r>
              <w:rPr>
                <w:rFonts w:hint="eastAsia"/>
                <w:sz w:val="21"/>
              </w:rPr>
              <w:t>二</w:t>
            </w:r>
          </w:p>
        </w:tc>
        <w:tc>
          <w:tcPr>
            <w:tcW w:w="1000" w:type="pct"/>
            <w:shd w:val="clear" w:color="auto" w:fill="auto"/>
            <w:vAlign w:val="center"/>
          </w:tcPr>
          <w:p w14:paraId="76C51153">
            <w:pPr>
              <w:spacing w:line="240" w:lineRule="auto"/>
              <w:ind w:firstLine="0" w:firstLineChars="0"/>
              <w:jc w:val="center"/>
              <w:rPr>
                <w:sz w:val="21"/>
              </w:rPr>
            </w:pPr>
            <w:r>
              <w:rPr>
                <w:rFonts w:hint="eastAsia"/>
                <w:sz w:val="21"/>
              </w:rPr>
              <w:t>三</w:t>
            </w:r>
          </w:p>
        </w:tc>
        <w:tc>
          <w:tcPr>
            <w:tcW w:w="1001" w:type="pct"/>
            <w:shd w:val="clear" w:color="auto" w:fill="auto"/>
            <w:vAlign w:val="center"/>
          </w:tcPr>
          <w:p w14:paraId="01369C29">
            <w:pPr>
              <w:spacing w:line="240" w:lineRule="auto"/>
              <w:ind w:firstLine="0" w:firstLineChars="0"/>
              <w:jc w:val="center"/>
              <w:rPr>
                <w:sz w:val="21"/>
              </w:rPr>
            </w:pPr>
            <w:r>
              <w:rPr>
                <w:rFonts w:hint="eastAsia"/>
                <w:sz w:val="21"/>
              </w:rPr>
              <w:t>简单分析</w:t>
            </w:r>
            <w:r>
              <w:rPr>
                <w:rFonts w:hint="eastAsia"/>
                <w:sz w:val="21"/>
                <w:vertAlign w:val="superscript"/>
              </w:rPr>
              <w:t>a</w:t>
            </w:r>
          </w:p>
        </w:tc>
      </w:tr>
      <w:tr w14:paraId="36AF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5"/>
            <w:shd w:val="clear" w:color="auto" w:fill="auto"/>
            <w:vAlign w:val="center"/>
          </w:tcPr>
          <w:p w14:paraId="656389F1">
            <w:pPr>
              <w:spacing w:line="240" w:lineRule="auto"/>
              <w:ind w:firstLine="0" w:firstLineChars="0"/>
              <w:rPr>
                <w:sz w:val="21"/>
              </w:rPr>
            </w:pPr>
            <w:r>
              <w:rPr>
                <w:rFonts w:hint="eastAsia"/>
                <w:sz w:val="21"/>
              </w:rPr>
              <w:t>a是相对于详细评价工作内容而言，在描述危险物质、环境影响途径、环境危害后果、风险防范措施等方面给出定性的说明。</w:t>
            </w:r>
          </w:p>
        </w:tc>
      </w:tr>
    </w:tbl>
    <w:p w14:paraId="1312797B">
      <w:pPr>
        <w:ind w:firstLine="480"/>
      </w:pPr>
      <w:r>
        <w:rPr>
          <w:rFonts w:hint="eastAsia"/>
        </w:rPr>
        <w:t>本项目不涉及附录B中的危险化学品，则存储量和临界量比值（Q）＜1，该项目环境风险潜势为I，环境风险评价工作级别确定为简单分析。</w:t>
      </w:r>
    </w:p>
    <w:p w14:paraId="46CB0D45">
      <w:pPr>
        <w:pStyle w:val="6"/>
        <w:ind w:firstLine="482"/>
      </w:pPr>
      <w:r>
        <w:rPr>
          <w:rFonts w:hint="eastAsia"/>
        </w:rPr>
        <w:t>2.6.1.7小结</w:t>
      </w:r>
    </w:p>
    <w:p w14:paraId="76C8E2A2">
      <w:pPr>
        <w:ind w:firstLine="480"/>
      </w:pPr>
      <w:r>
        <w:rPr>
          <w:rFonts w:hint="eastAsia"/>
        </w:rPr>
        <w:t>本项目环境影响评级等级见表2.6-11。</w:t>
      </w:r>
    </w:p>
    <w:p w14:paraId="13AB6780">
      <w:pPr>
        <w:pStyle w:val="11"/>
      </w:pPr>
      <w:r>
        <w:rPr>
          <w:rFonts w:hint="eastAsia"/>
        </w:rPr>
        <w:t>表2.6-11环境影响评价等级表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597"/>
        <w:gridCol w:w="2468"/>
        <w:gridCol w:w="1155"/>
      </w:tblGrid>
      <w:tr w14:paraId="595F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Align w:val="center"/>
          </w:tcPr>
          <w:p w14:paraId="31AE5CB6">
            <w:pPr>
              <w:spacing w:line="240" w:lineRule="auto"/>
              <w:ind w:firstLine="0" w:firstLineChars="0"/>
              <w:jc w:val="center"/>
              <w:rPr>
                <w:sz w:val="21"/>
                <w:szCs w:val="21"/>
              </w:rPr>
            </w:pPr>
            <w:r>
              <w:rPr>
                <w:rFonts w:hint="eastAsia"/>
                <w:sz w:val="21"/>
                <w:szCs w:val="21"/>
              </w:rPr>
              <w:t>专题</w:t>
            </w:r>
          </w:p>
        </w:tc>
        <w:tc>
          <w:tcPr>
            <w:tcW w:w="6065" w:type="dxa"/>
            <w:gridSpan w:val="2"/>
            <w:vAlign w:val="center"/>
          </w:tcPr>
          <w:p w14:paraId="09278956">
            <w:pPr>
              <w:spacing w:line="240" w:lineRule="auto"/>
              <w:ind w:firstLine="0" w:firstLineChars="0"/>
              <w:jc w:val="center"/>
              <w:rPr>
                <w:sz w:val="21"/>
                <w:szCs w:val="21"/>
              </w:rPr>
            </w:pPr>
            <w:r>
              <w:rPr>
                <w:rFonts w:hint="eastAsia"/>
                <w:sz w:val="21"/>
                <w:szCs w:val="21"/>
              </w:rPr>
              <w:t>等级判别依据</w:t>
            </w:r>
          </w:p>
        </w:tc>
        <w:tc>
          <w:tcPr>
            <w:tcW w:w="1155" w:type="dxa"/>
            <w:vAlign w:val="center"/>
          </w:tcPr>
          <w:p w14:paraId="4CCC6C34">
            <w:pPr>
              <w:spacing w:line="240" w:lineRule="auto"/>
              <w:ind w:firstLine="0" w:firstLineChars="0"/>
              <w:jc w:val="center"/>
              <w:rPr>
                <w:sz w:val="21"/>
                <w:szCs w:val="21"/>
              </w:rPr>
            </w:pPr>
            <w:r>
              <w:rPr>
                <w:rFonts w:hint="eastAsia"/>
                <w:sz w:val="21"/>
                <w:szCs w:val="21"/>
              </w:rPr>
              <w:t>评价等级</w:t>
            </w:r>
          </w:p>
        </w:tc>
      </w:tr>
      <w:tr w14:paraId="42BA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4CCA684A">
            <w:pPr>
              <w:spacing w:line="240" w:lineRule="auto"/>
              <w:ind w:firstLine="0" w:firstLineChars="0"/>
              <w:jc w:val="center"/>
              <w:rPr>
                <w:sz w:val="21"/>
                <w:szCs w:val="21"/>
              </w:rPr>
            </w:pPr>
            <w:r>
              <w:rPr>
                <w:rFonts w:hint="eastAsia"/>
                <w:sz w:val="21"/>
                <w:szCs w:val="21"/>
              </w:rPr>
              <w:t>环境空气</w:t>
            </w:r>
          </w:p>
        </w:tc>
        <w:tc>
          <w:tcPr>
            <w:tcW w:w="3597" w:type="dxa"/>
            <w:vAlign w:val="center"/>
          </w:tcPr>
          <w:p w14:paraId="0C0FB2CE">
            <w:pPr>
              <w:spacing w:line="240" w:lineRule="auto"/>
              <w:ind w:firstLine="0" w:firstLineChars="0"/>
              <w:jc w:val="center"/>
              <w:rPr>
                <w:sz w:val="21"/>
                <w:szCs w:val="21"/>
              </w:rPr>
            </w:pPr>
            <w:r>
              <w:rPr>
                <w:rFonts w:hint="eastAsia"/>
                <w:sz w:val="21"/>
                <w:szCs w:val="21"/>
              </w:rPr>
              <w:t>污染物最大地面质量浓度占标率</w:t>
            </w:r>
          </w:p>
        </w:tc>
        <w:tc>
          <w:tcPr>
            <w:tcW w:w="2468" w:type="dxa"/>
            <w:vAlign w:val="center"/>
          </w:tcPr>
          <w:p w14:paraId="514B4D18">
            <w:pPr>
              <w:spacing w:line="240" w:lineRule="auto"/>
              <w:ind w:firstLine="0" w:firstLineChars="0"/>
              <w:jc w:val="center"/>
              <w:rPr>
                <w:sz w:val="21"/>
                <w:szCs w:val="21"/>
              </w:rPr>
            </w:pPr>
            <w:r>
              <w:rPr>
                <w:rFonts w:hint="eastAsia"/>
                <w:sz w:val="21"/>
                <w:szCs w:val="21"/>
              </w:rPr>
              <w:t>0.3145%</w:t>
            </w:r>
          </w:p>
        </w:tc>
        <w:tc>
          <w:tcPr>
            <w:tcW w:w="1155" w:type="dxa"/>
            <w:vMerge w:val="restart"/>
            <w:vAlign w:val="center"/>
          </w:tcPr>
          <w:p w14:paraId="50D97DC4">
            <w:pPr>
              <w:spacing w:line="240" w:lineRule="auto"/>
              <w:ind w:firstLine="0" w:firstLineChars="0"/>
              <w:jc w:val="center"/>
              <w:rPr>
                <w:sz w:val="21"/>
                <w:szCs w:val="21"/>
              </w:rPr>
            </w:pPr>
            <w:r>
              <w:rPr>
                <w:rFonts w:hint="eastAsia"/>
                <w:sz w:val="21"/>
                <w:szCs w:val="21"/>
              </w:rPr>
              <w:t>三级</w:t>
            </w:r>
          </w:p>
        </w:tc>
      </w:tr>
      <w:tr w14:paraId="6270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0C7A1696">
            <w:pPr>
              <w:spacing w:line="240" w:lineRule="auto"/>
              <w:ind w:firstLine="0" w:firstLineChars="0"/>
              <w:jc w:val="center"/>
              <w:rPr>
                <w:sz w:val="21"/>
                <w:szCs w:val="21"/>
              </w:rPr>
            </w:pPr>
          </w:p>
        </w:tc>
        <w:tc>
          <w:tcPr>
            <w:tcW w:w="3597" w:type="dxa"/>
            <w:vAlign w:val="center"/>
          </w:tcPr>
          <w:p w14:paraId="42C12EAA">
            <w:pPr>
              <w:spacing w:line="240" w:lineRule="auto"/>
              <w:ind w:firstLine="0" w:firstLineChars="0"/>
              <w:jc w:val="center"/>
              <w:rPr>
                <w:sz w:val="21"/>
                <w:szCs w:val="21"/>
              </w:rPr>
            </w:pPr>
            <w:r>
              <w:rPr>
                <w:rFonts w:hint="eastAsia"/>
                <w:sz w:val="21"/>
                <w:szCs w:val="21"/>
              </w:rPr>
              <w:t>主要评价因子的环境质量现状</w:t>
            </w:r>
          </w:p>
        </w:tc>
        <w:tc>
          <w:tcPr>
            <w:tcW w:w="2468" w:type="dxa"/>
            <w:vAlign w:val="center"/>
          </w:tcPr>
          <w:p w14:paraId="0828161D">
            <w:pPr>
              <w:spacing w:line="240" w:lineRule="auto"/>
              <w:ind w:firstLine="0" w:firstLineChars="0"/>
              <w:jc w:val="center"/>
              <w:rPr>
                <w:sz w:val="21"/>
                <w:szCs w:val="21"/>
              </w:rPr>
            </w:pPr>
            <w:r>
              <w:rPr>
                <w:rFonts w:hint="eastAsia"/>
                <w:sz w:val="21"/>
                <w:szCs w:val="21"/>
              </w:rPr>
              <w:t>满足（GB3095-2012）二级标准</w:t>
            </w:r>
          </w:p>
        </w:tc>
        <w:tc>
          <w:tcPr>
            <w:tcW w:w="1155" w:type="dxa"/>
            <w:vMerge w:val="continue"/>
            <w:vAlign w:val="center"/>
          </w:tcPr>
          <w:p w14:paraId="04E50EA9">
            <w:pPr>
              <w:spacing w:line="240" w:lineRule="auto"/>
              <w:ind w:firstLine="0" w:firstLineChars="0"/>
              <w:jc w:val="center"/>
              <w:rPr>
                <w:sz w:val="21"/>
                <w:szCs w:val="21"/>
              </w:rPr>
            </w:pPr>
          </w:p>
        </w:tc>
      </w:tr>
      <w:tr w14:paraId="285B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02584574">
            <w:pPr>
              <w:spacing w:line="240" w:lineRule="auto"/>
              <w:ind w:firstLine="0" w:firstLineChars="0"/>
              <w:jc w:val="center"/>
              <w:rPr>
                <w:sz w:val="21"/>
                <w:szCs w:val="21"/>
              </w:rPr>
            </w:pPr>
          </w:p>
        </w:tc>
        <w:tc>
          <w:tcPr>
            <w:tcW w:w="3597" w:type="dxa"/>
            <w:vAlign w:val="center"/>
          </w:tcPr>
          <w:p w14:paraId="0F6D323C">
            <w:pPr>
              <w:spacing w:line="240" w:lineRule="auto"/>
              <w:ind w:firstLine="0" w:firstLineChars="0"/>
              <w:jc w:val="center"/>
              <w:rPr>
                <w:sz w:val="21"/>
                <w:szCs w:val="21"/>
              </w:rPr>
            </w:pPr>
            <w:r>
              <w:rPr>
                <w:rFonts w:hint="eastAsia"/>
                <w:sz w:val="21"/>
                <w:szCs w:val="21"/>
              </w:rPr>
              <w:t>当地环境空气质量功能类别</w:t>
            </w:r>
          </w:p>
        </w:tc>
        <w:tc>
          <w:tcPr>
            <w:tcW w:w="2468" w:type="dxa"/>
            <w:vAlign w:val="center"/>
          </w:tcPr>
          <w:p w14:paraId="6B2CD906">
            <w:pPr>
              <w:spacing w:line="240" w:lineRule="auto"/>
              <w:ind w:firstLine="0" w:firstLineChars="0"/>
              <w:jc w:val="center"/>
              <w:rPr>
                <w:sz w:val="21"/>
                <w:szCs w:val="21"/>
              </w:rPr>
            </w:pPr>
            <w:r>
              <w:rPr>
                <w:rFonts w:hint="eastAsia"/>
                <w:sz w:val="21"/>
                <w:szCs w:val="21"/>
              </w:rPr>
              <w:t>二类</w:t>
            </w:r>
          </w:p>
        </w:tc>
        <w:tc>
          <w:tcPr>
            <w:tcW w:w="1155" w:type="dxa"/>
            <w:vMerge w:val="continue"/>
            <w:vAlign w:val="center"/>
          </w:tcPr>
          <w:p w14:paraId="328EB8FC">
            <w:pPr>
              <w:spacing w:line="240" w:lineRule="auto"/>
              <w:ind w:firstLine="0" w:firstLineChars="0"/>
              <w:jc w:val="center"/>
              <w:rPr>
                <w:sz w:val="21"/>
                <w:szCs w:val="21"/>
              </w:rPr>
            </w:pPr>
          </w:p>
        </w:tc>
      </w:tr>
      <w:tr w14:paraId="6BBB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5790AA30">
            <w:pPr>
              <w:spacing w:line="240" w:lineRule="auto"/>
              <w:ind w:firstLine="0" w:firstLineChars="0"/>
              <w:jc w:val="center"/>
              <w:rPr>
                <w:sz w:val="21"/>
                <w:szCs w:val="21"/>
              </w:rPr>
            </w:pPr>
          </w:p>
        </w:tc>
        <w:tc>
          <w:tcPr>
            <w:tcW w:w="3597" w:type="dxa"/>
            <w:vAlign w:val="center"/>
          </w:tcPr>
          <w:p w14:paraId="63DDD7EA">
            <w:pPr>
              <w:spacing w:line="240" w:lineRule="auto"/>
              <w:ind w:firstLine="0" w:firstLineChars="0"/>
              <w:jc w:val="center"/>
              <w:rPr>
                <w:sz w:val="21"/>
                <w:szCs w:val="21"/>
              </w:rPr>
            </w:pPr>
            <w:r>
              <w:rPr>
                <w:rFonts w:hint="eastAsia"/>
                <w:sz w:val="21"/>
                <w:szCs w:val="21"/>
              </w:rPr>
              <w:t>区域空气环境敏感程度</w:t>
            </w:r>
          </w:p>
        </w:tc>
        <w:tc>
          <w:tcPr>
            <w:tcW w:w="2468" w:type="dxa"/>
            <w:vAlign w:val="center"/>
          </w:tcPr>
          <w:p w14:paraId="50B11C1A">
            <w:pPr>
              <w:spacing w:line="240" w:lineRule="auto"/>
              <w:ind w:firstLine="0" w:firstLineChars="0"/>
              <w:jc w:val="center"/>
              <w:rPr>
                <w:sz w:val="21"/>
                <w:szCs w:val="21"/>
              </w:rPr>
            </w:pPr>
            <w:r>
              <w:rPr>
                <w:rFonts w:hint="eastAsia"/>
                <w:sz w:val="21"/>
                <w:szCs w:val="21"/>
              </w:rPr>
              <w:t>一般</w:t>
            </w:r>
          </w:p>
        </w:tc>
        <w:tc>
          <w:tcPr>
            <w:tcW w:w="1155" w:type="dxa"/>
            <w:vMerge w:val="continue"/>
            <w:vAlign w:val="center"/>
          </w:tcPr>
          <w:p w14:paraId="358FE118">
            <w:pPr>
              <w:spacing w:line="240" w:lineRule="auto"/>
              <w:ind w:firstLine="0" w:firstLineChars="0"/>
              <w:jc w:val="center"/>
              <w:rPr>
                <w:sz w:val="21"/>
                <w:szCs w:val="21"/>
              </w:rPr>
            </w:pPr>
          </w:p>
        </w:tc>
      </w:tr>
      <w:tr w14:paraId="5F3F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0797ED10">
            <w:pPr>
              <w:spacing w:line="240" w:lineRule="auto"/>
              <w:ind w:firstLine="0" w:firstLineChars="0"/>
              <w:jc w:val="center"/>
              <w:rPr>
                <w:sz w:val="21"/>
                <w:szCs w:val="21"/>
              </w:rPr>
            </w:pPr>
            <w:r>
              <w:rPr>
                <w:rFonts w:hint="eastAsia"/>
                <w:sz w:val="21"/>
                <w:szCs w:val="21"/>
              </w:rPr>
              <w:t>地表水</w:t>
            </w:r>
          </w:p>
        </w:tc>
        <w:tc>
          <w:tcPr>
            <w:tcW w:w="3597" w:type="dxa"/>
            <w:vAlign w:val="center"/>
          </w:tcPr>
          <w:p w14:paraId="6A6E4086">
            <w:pPr>
              <w:spacing w:line="240" w:lineRule="auto"/>
              <w:ind w:firstLine="0" w:firstLineChars="0"/>
              <w:jc w:val="center"/>
              <w:rPr>
                <w:sz w:val="21"/>
                <w:szCs w:val="21"/>
              </w:rPr>
            </w:pPr>
            <w:r>
              <w:rPr>
                <w:rFonts w:hint="eastAsia"/>
                <w:sz w:val="21"/>
                <w:szCs w:val="21"/>
              </w:rPr>
              <w:t>排放方式</w:t>
            </w:r>
          </w:p>
        </w:tc>
        <w:tc>
          <w:tcPr>
            <w:tcW w:w="2468" w:type="dxa"/>
            <w:vAlign w:val="center"/>
          </w:tcPr>
          <w:p w14:paraId="22AE39FC">
            <w:pPr>
              <w:spacing w:line="240" w:lineRule="auto"/>
              <w:ind w:firstLine="0" w:firstLineChars="0"/>
              <w:jc w:val="center"/>
              <w:rPr>
                <w:sz w:val="21"/>
                <w:szCs w:val="21"/>
              </w:rPr>
            </w:pPr>
            <w:r>
              <w:rPr>
                <w:rFonts w:hint="eastAsia"/>
                <w:sz w:val="21"/>
                <w:szCs w:val="21"/>
              </w:rPr>
              <w:t>间接排放</w:t>
            </w:r>
          </w:p>
        </w:tc>
        <w:tc>
          <w:tcPr>
            <w:tcW w:w="1155" w:type="dxa"/>
            <w:vMerge w:val="restart"/>
            <w:vAlign w:val="center"/>
          </w:tcPr>
          <w:p w14:paraId="10F34234">
            <w:pPr>
              <w:spacing w:line="240" w:lineRule="auto"/>
              <w:ind w:firstLine="0" w:firstLineChars="0"/>
              <w:jc w:val="center"/>
              <w:rPr>
                <w:sz w:val="21"/>
                <w:szCs w:val="21"/>
              </w:rPr>
            </w:pPr>
            <w:r>
              <w:rPr>
                <w:rFonts w:hint="eastAsia"/>
                <w:sz w:val="21"/>
                <w:szCs w:val="21"/>
              </w:rPr>
              <w:t>三级B</w:t>
            </w:r>
          </w:p>
        </w:tc>
      </w:tr>
      <w:tr w14:paraId="5E73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2426FB39">
            <w:pPr>
              <w:spacing w:line="240" w:lineRule="auto"/>
              <w:ind w:firstLine="0" w:firstLineChars="0"/>
              <w:jc w:val="center"/>
              <w:rPr>
                <w:sz w:val="21"/>
                <w:szCs w:val="21"/>
              </w:rPr>
            </w:pPr>
          </w:p>
        </w:tc>
        <w:tc>
          <w:tcPr>
            <w:tcW w:w="3597" w:type="dxa"/>
            <w:vAlign w:val="center"/>
          </w:tcPr>
          <w:p w14:paraId="068083BD">
            <w:pPr>
              <w:spacing w:line="240" w:lineRule="auto"/>
              <w:ind w:firstLine="0" w:firstLineChars="0"/>
              <w:jc w:val="center"/>
              <w:rPr>
                <w:sz w:val="21"/>
                <w:szCs w:val="21"/>
              </w:rPr>
            </w:pPr>
            <w:r>
              <w:rPr>
                <w:rFonts w:hint="eastAsia"/>
                <w:sz w:val="21"/>
                <w:szCs w:val="21"/>
              </w:rPr>
              <w:t>生产废水</w:t>
            </w:r>
          </w:p>
        </w:tc>
        <w:tc>
          <w:tcPr>
            <w:tcW w:w="2468" w:type="dxa"/>
            <w:vAlign w:val="center"/>
          </w:tcPr>
          <w:p w14:paraId="0B4AAED3">
            <w:pPr>
              <w:spacing w:line="240" w:lineRule="auto"/>
              <w:ind w:firstLine="0" w:firstLineChars="0"/>
              <w:jc w:val="center"/>
              <w:rPr>
                <w:sz w:val="21"/>
                <w:szCs w:val="21"/>
              </w:rPr>
            </w:pPr>
            <w:r>
              <w:rPr>
                <w:rFonts w:hint="eastAsia"/>
                <w:sz w:val="21"/>
                <w:szCs w:val="21"/>
              </w:rPr>
              <w:t>综合利用，不外排</w:t>
            </w:r>
          </w:p>
        </w:tc>
        <w:tc>
          <w:tcPr>
            <w:tcW w:w="1155" w:type="dxa"/>
            <w:vMerge w:val="continue"/>
            <w:vAlign w:val="center"/>
          </w:tcPr>
          <w:p w14:paraId="4B217ADE">
            <w:pPr>
              <w:spacing w:line="240" w:lineRule="auto"/>
              <w:ind w:firstLine="0" w:firstLineChars="0"/>
              <w:jc w:val="center"/>
              <w:rPr>
                <w:sz w:val="21"/>
                <w:szCs w:val="21"/>
              </w:rPr>
            </w:pPr>
          </w:p>
        </w:tc>
      </w:tr>
      <w:tr w14:paraId="2C86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0B989524">
            <w:pPr>
              <w:spacing w:line="240" w:lineRule="auto"/>
              <w:ind w:firstLine="0" w:firstLineChars="0"/>
              <w:jc w:val="center"/>
              <w:rPr>
                <w:sz w:val="21"/>
                <w:szCs w:val="21"/>
              </w:rPr>
            </w:pPr>
            <w:r>
              <w:rPr>
                <w:rFonts w:hint="eastAsia"/>
                <w:sz w:val="21"/>
                <w:szCs w:val="21"/>
              </w:rPr>
              <w:t>地下水</w:t>
            </w:r>
          </w:p>
        </w:tc>
        <w:tc>
          <w:tcPr>
            <w:tcW w:w="3597" w:type="dxa"/>
            <w:vAlign w:val="center"/>
          </w:tcPr>
          <w:p w14:paraId="779E385A">
            <w:pPr>
              <w:spacing w:line="240" w:lineRule="auto"/>
              <w:ind w:firstLine="0" w:firstLineChars="0"/>
              <w:jc w:val="center"/>
              <w:rPr>
                <w:sz w:val="21"/>
                <w:szCs w:val="21"/>
              </w:rPr>
            </w:pPr>
            <w:r>
              <w:rPr>
                <w:rFonts w:hint="eastAsia"/>
                <w:sz w:val="21"/>
                <w:szCs w:val="21"/>
              </w:rPr>
              <w:t>建设项目行业分类</w:t>
            </w:r>
          </w:p>
        </w:tc>
        <w:tc>
          <w:tcPr>
            <w:tcW w:w="2468" w:type="dxa"/>
            <w:vAlign w:val="center"/>
          </w:tcPr>
          <w:p w14:paraId="0BE4D055">
            <w:pPr>
              <w:spacing w:line="240" w:lineRule="auto"/>
              <w:ind w:firstLine="0" w:firstLineChars="0"/>
              <w:jc w:val="center"/>
              <w:rPr>
                <w:sz w:val="21"/>
                <w:szCs w:val="21"/>
              </w:rPr>
            </w:pPr>
            <w:r>
              <w:rPr>
                <w:rFonts w:hint="eastAsia"/>
                <w:sz w:val="21"/>
                <w:szCs w:val="21"/>
              </w:rPr>
              <w:t>Ⅲ类行业</w:t>
            </w:r>
          </w:p>
        </w:tc>
        <w:tc>
          <w:tcPr>
            <w:tcW w:w="1155" w:type="dxa"/>
            <w:vMerge w:val="restart"/>
            <w:vAlign w:val="center"/>
          </w:tcPr>
          <w:p w14:paraId="6418F543">
            <w:pPr>
              <w:spacing w:line="240" w:lineRule="auto"/>
              <w:ind w:firstLine="0" w:firstLineChars="0"/>
              <w:jc w:val="center"/>
              <w:rPr>
                <w:sz w:val="21"/>
                <w:szCs w:val="21"/>
              </w:rPr>
            </w:pPr>
            <w:r>
              <w:rPr>
                <w:rFonts w:hint="eastAsia"/>
                <w:sz w:val="21"/>
                <w:szCs w:val="21"/>
              </w:rPr>
              <w:t>三级</w:t>
            </w:r>
          </w:p>
        </w:tc>
      </w:tr>
      <w:tr w14:paraId="4DD8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2CE8CB82">
            <w:pPr>
              <w:spacing w:line="240" w:lineRule="auto"/>
              <w:ind w:firstLine="0" w:firstLineChars="0"/>
              <w:jc w:val="center"/>
              <w:rPr>
                <w:sz w:val="21"/>
                <w:szCs w:val="21"/>
              </w:rPr>
            </w:pPr>
          </w:p>
        </w:tc>
        <w:tc>
          <w:tcPr>
            <w:tcW w:w="3597" w:type="dxa"/>
            <w:vAlign w:val="center"/>
          </w:tcPr>
          <w:p w14:paraId="79D3F75D">
            <w:pPr>
              <w:spacing w:line="240" w:lineRule="auto"/>
              <w:ind w:firstLine="0" w:firstLineChars="0"/>
              <w:jc w:val="center"/>
              <w:rPr>
                <w:sz w:val="21"/>
                <w:szCs w:val="21"/>
              </w:rPr>
            </w:pPr>
            <w:r>
              <w:rPr>
                <w:rFonts w:hint="eastAsia"/>
                <w:sz w:val="21"/>
                <w:szCs w:val="21"/>
              </w:rPr>
              <w:t>区域地下水敏感程度分级</w:t>
            </w:r>
          </w:p>
        </w:tc>
        <w:tc>
          <w:tcPr>
            <w:tcW w:w="2468" w:type="dxa"/>
            <w:vAlign w:val="center"/>
          </w:tcPr>
          <w:p w14:paraId="53C5B361">
            <w:pPr>
              <w:spacing w:line="240" w:lineRule="auto"/>
              <w:ind w:firstLine="0" w:firstLineChars="0"/>
              <w:jc w:val="center"/>
              <w:rPr>
                <w:sz w:val="21"/>
                <w:szCs w:val="21"/>
              </w:rPr>
            </w:pPr>
            <w:r>
              <w:rPr>
                <w:rFonts w:hint="eastAsia"/>
                <w:sz w:val="21"/>
                <w:szCs w:val="21"/>
              </w:rPr>
              <w:t>不敏感</w:t>
            </w:r>
          </w:p>
        </w:tc>
        <w:tc>
          <w:tcPr>
            <w:tcW w:w="1155" w:type="dxa"/>
            <w:vMerge w:val="continue"/>
            <w:vAlign w:val="center"/>
          </w:tcPr>
          <w:p w14:paraId="627F6F2C">
            <w:pPr>
              <w:spacing w:line="240" w:lineRule="auto"/>
              <w:ind w:firstLine="0" w:firstLineChars="0"/>
              <w:jc w:val="center"/>
              <w:rPr>
                <w:sz w:val="21"/>
                <w:szCs w:val="21"/>
              </w:rPr>
            </w:pPr>
          </w:p>
        </w:tc>
      </w:tr>
      <w:tr w14:paraId="0E5B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10CFBB25">
            <w:pPr>
              <w:spacing w:line="240" w:lineRule="auto"/>
              <w:ind w:firstLine="0" w:firstLineChars="0"/>
              <w:jc w:val="center"/>
              <w:rPr>
                <w:sz w:val="21"/>
                <w:szCs w:val="21"/>
              </w:rPr>
            </w:pPr>
            <w:r>
              <w:rPr>
                <w:rFonts w:hint="eastAsia"/>
                <w:sz w:val="21"/>
                <w:szCs w:val="21"/>
              </w:rPr>
              <w:t>声环境</w:t>
            </w:r>
          </w:p>
        </w:tc>
        <w:tc>
          <w:tcPr>
            <w:tcW w:w="3597" w:type="dxa"/>
            <w:vAlign w:val="center"/>
          </w:tcPr>
          <w:p w14:paraId="0C4B3BC8">
            <w:pPr>
              <w:spacing w:line="240" w:lineRule="auto"/>
              <w:ind w:firstLine="0" w:firstLineChars="0"/>
              <w:jc w:val="center"/>
              <w:rPr>
                <w:sz w:val="21"/>
                <w:szCs w:val="21"/>
              </w:rPr>
            </w:pPr>
            <w:r>
              <w:rPr>
                <w:rFonts w:hint="eastAsia"/>
                <w:sz w:val="21"/>
                <w:szCs w:val="21"/>
              </w:rPr>
              <w:t>项目所在地声环境功能区类别</w:t>
            </w:r>
          </w:p>
        </w:tc>
        <w:tc>
          <w:tcPr>
            <w:tcW w:w="2468" w:type="dxa"/>
            <w:vAlign w:val="center"/>
          </w:tcPr>
          <w:p w14:paraId="3D412A1E">
            <w:pPr>
              <w:spacing w:line="240" w:lineRule="auto"/>
              <w:ind w:firstLine="0" w:firstLineChars="0"/>
              <w:jc w:val="center"/>
              <w:rPr>
                <w:sz w:val="21"/>
                <w:szCs w:val="21"/>
              </w:rPr>
            </w:pPr>
            <w:r>
              <w:rPr>
                <w:rFonts w:hint="eastAsia"/>
                <w:sz w:val="21"/>
                <w:szCs w:val="21"/>
              </w:rPr>
              <w:t>2类</w:t>
            </w:r>
          </w:p>
        </w:tc>
        <w:tc>
          <w:tcPr>
            <w:tcW w:w="1155" w:type="dxa"/>
            <w:vMerge w:val="restart"/>
            <w:vAlign w:val="center"/>
          </w:tcPr>
          <w:p w14:paraId="07F99F29">
            <w:pPr>
              <w:spacing w:line="240" w:lineRule="auto"/>
              <w:ind w:firstLine="0" w:firstLineChars="0"/>
              <w:jc w:val="center"/>
              <w:rPr>
                <w:sz w:val="21"/>
                <w:szCs w:val="21"/>
              </w:rPr>
            </w:pPr>
            <w:r>
              <w:rPr>
                <w:rFonts w:hint="eastAsia"/>
                <w:sz w:val="21"/>
                <w:szCs w:val="21"/>
              </w:rPr>
              <w:t>二级</w:t>
            </w:r>
          </w:p>
        </w:tc>
      </w:tr>
      <w:tr w14:paraId="0D2C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6E49FBD1">
            <w:pPr>
              <w:spacing w:line="240" w:lineRule="auto"/>
              <w:ind w:firstLine="0" w:firstLineChars="0"/>
              <w:jc w:val="center"/>
              <w:rPr>
                <w:sz w:val="21"/>
                <w:szCs w:val="21"/>
              </w:rPr>
            </w:pPr>
          </w:p>
        </w:tc>
        <w:tc>
          <w:tcPr>
            <w:tcW w:w="3597" w:type="dxa"/>
            <w:vAlign w:val="center"/>
          </w:tcPr>
          <w:p w14:paraId="274E6542">
            <w:pPr>
              <w:spacing w:line="240" w:lineRule="auto"/>
              <w:ind w:firstLine="0" w:firstLineChars="0"/>
              <w:jc w:val="center"/>
              <w:rPr>
                <w:sz w:val="21"/>
                <w:szCs w:val="21"/>
              </w:rPr>
            </w:pPr>
            <w:r>
              <w:rPr>
                <w:rFonts w:hint="eastAsia"/>
                <w:sz w:val="21"/>
                <w:szCs w:val="21"/>
              </w:rPr>
              <w:t>区域声环境敏感程度</w:t>
            </w:r>
          </w:p>
        </w:tc>
        <w:tc>
          <w:tcPr>
            <w:tcW w:w="2468" w:type="dxa"/>
            <w:vAlign w:val="center"/>
          </w:tcPr>
          <w:p w14:paraId="058F50D9">
            <w:pPr>
              <w:spacing w:line="240" w:lineRule="auto"/>
              <w:ind w:firstLine="0" w:firstLineChars="0"/>
              <w:jc w:val="center"/>
              <w:rPr>
                <w:sz w:val="21"/>
                <w:szCs w:val="21"/>
              </w:rPr>
            </w:pPr>
            <w:r>
              <w:rPr>
                <w:rFonts w:hint="eastAsia"/>
                <w:sz w:val="21"/>
                <w:szCs w:val="21"/>
              </w:rPr>
              <w:t>一般区域</w:t>
            </w:r>
          </w:p>
        </w:tc>
        <w:tc>
          <w:tcPr>
            <w:tcW w:w="1155" w:type="dxa"/>
            <w:vMerge w:val="continue"/>
            <w:vAlign w:val="center"/>
          </w:tcPr>
          <w:p w14:paraId="661D4D53">
            <w:pPr>
              <w:spacing w:line="240" w:lineRule="auto"/>
              <w:ind w:firstLine="0" w:firstLineChars="0"/>
              <w:jc w:val="center"/>
              <w:rPr>
                <w:sz w:val="21"/>
                <w:szCs w:val="21"/>
              </w:rPr>
            </w:pPr>
          </w:p>
        </w:tc>
      </w:tr>
      <w:tr w14:paraId="192E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7B935C93">
            <w:pPr>
              <w:spacing w:line="240" w:lineRule="auto"/>
              <w:ind w:firstLine="0" w:firstLineChars="0"/>
              <w:jc w:val="center"/>
              <w:rPr>
                <w:sz w:val="21"/>
                <w:szCs w:val="21"/>
              </w:rPr>
            </w:pPr>
          </w:p>
        </w:tc>
        <w:tc>
          <w:tcPr>
            <w:tcW w:w="3597" w:type="dxa"/>
            <w:vAlign w:val="center"/>
          </w:tcPr>
          <w:p w14:paraId="5F535ABA">
            <w:pPr>
              <w:spacing w:line="240" w:lineRule="auto"/>
              <w:ind w:firstLine="0" w:firstLineChars="0"/>
              <w:jc w:val="center"/>
              <w:rPr>
                <w:sz w:val="21"/>
                <w:szCs w:val="21"/>
              </w:rPr>
            </w:pPr>
            <w:r>
              <w:rPr>
                <w:rFonts w:hint="eastAsia"/>
                <w:sz w:val="21"/>
                <w:szCs w:val="21"/>
              </w:rPr>
              <w:t>项目建设前后敏感目标噪声级的变化程度</w:t>
            </w:r>
          </w:p>
        </w:tc>
        <w:tc>
          <w:tcPr>
            <w:tcW w:w="2468" w:type="dxa"/>
            <w:vAlign w:val="center"/>
          </w:tcPr>
          <w:p w14:paraId="1BCC7DFE">
            <w:pPr>
              <w:spacing w:line="240" w:lineRule="auto"/>
              <w:ind w:firstLine="0" w:firstLineChars="0"/>
              <w:jc w:val="center"/>
              <w:rPr>
                <w:sz w:val="21"/>
                <w:szCs w:val="21"/>
              </w:rPr>
            </w:pPr>
            <w:r>
              <w:rPr>
                <w:rFonts w:hint="eastAsia"/>
                <w:sz w:val="21"/>
                <w:szCs w:val="21"/>
              </w:rPr>
              <w:t>噪声级增高量3~5dB（A）</w:t>
            </w:r>
          </w:p>
        </w:tc>
        <w:tc>
          <w:tcPr>
            <w:tcW w:w="1155" w:type="dxa"/>
            <w:vMerge w:val="continue"/>
            <w:vAlign w:val="center"/>
          </w:tcPr>
          <w:p w14:paraId="0F0A4CBF">
            <w:pPr>
              <w:spacing w:line="240" w:lineRule="auto"/>
              <w:ind w:firstLine="0" w:firstLineChars="0"/>
              <w:jc w:val="center"/>
              <w:rPr>
                <w:sz w:val="21"/>
                <w:szCs w:val="21"/>
              </w:rPr>
            </w:pPr>
          </w:p>
        </w:tc>
      </w:tr>
      <w:tr w14:paraId="738F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3A8E0EF0">
            <w:pPr>
              <w:spacing w:line="240" w:lineRule="auto"/>
              <w:ind w:firstLine="0" w:firstLineChars="0"/>
              <w:jc w:val="center"/>
              <w:rPr>
                <w:sz w:val="21"/>
                <w:szCs w:val="21"/>
              </w:rPr>
            </w:pPr>
            <w:r>
              <w:rPr>
                <w:rFonts w:hint="eastAsia"/>
                <w:sz w:val="21"/>
                <w:szCs w:val="21"/>
              </w:rPr>
              <w:t>土壤</w:t>
            </w:r>
          </w:p>
        </w:tc>
        <w:tc>
          <w:tcPr>
            <w:tcW w:w="3597" w:type="dxa"/>
            <w:vAlign w:val="center"/>
          </w:tcPr>
          <w:p w14:paraId="76DFE1EE">
            <w:pPr>
              <w:spacing w:line="240" w:lineRule="auto"/>
              <w:ind w:firstLine="0" w:firstLineChars="0"/>
              <w:jc w:val="center"/>
              <w:rPr>
                <w:sz w:val="21"/>
                <w:szCs w:val="21"/>
              </w:rPr>
            </w:pPr>
            <w:r>
              <w:rPr>
                <w:rFonts w:hint="eastAsia"/>
                <w:sz w:val="21"/>
                <w:szCs w:val="21"/>
              </w:rPr>
              <w:t>建设项目行业分类</w:t>
            </w:r>
          </w:p>
        </w:tc>
        <w:tc>
          <w:tcPr>
            <w:tcW w:w="2468" w:type="dxa"/>
            <w:vAlign w:val="center"/>
          </w:tcPr>
          <w:p w14:paraId="05EB5203">
            <w:pPr>
              <w:spacing w:line="240" w:lineRule="auto"/>
              <w:ind w:firstLine="0" w:firstLineChars="0"/>
              <w:jc w:val="center"/>
              <w:rPr>
                <w:sz w:val="21"/>
                <w:szCs w:val="21"/>
              </w:rPr>
            </w:pPr>
            <w:r>
              <w:rPr>
                <w:rFonts w:hint="eastAsia"/>
                <w:sz w:val="21"/>
                <w:szCs w:val="21"/>
              </w:rPr>
              <w:t>VI类行业</w:t>
            </w:r>
          </w:p>
        </w:tc>
        <w:tc>
          <w:tcPr>
            <w:tcW w:w="1155" w:type="dxa"/>
            <w:vMerge w:val="restart"/>
            <w:vAlign w:val="center"/>
          </w:tcPr>
          <w:p w14:paraId="2FB5FBF5">
            <w:pPr>
              <w:spacing w:line="240" w:lineRule="auto"/>
              <w:ind w:firstLine="0" w:firstLineChars="0"/>
              <w:jc w:val="center"/>
              <w:rPr>
                <w:sz w:val="21"/>
                <w:szCs w:val="21"/>
              </w:rPr>
            </w:pPr>
            <w:r>
              <w:rPr>
                <w:rFonts w:hint="eastAsia"/>
                <w:sz w:val="21"/>
                <w:szCs w:val="21"/>
              </w:rPr>
              <w:t>仅对现状进行调查</w:t>
            </w:r>
          </w:p>
        </w:tc>
      </w:tr>
      <w:tr w14:paraId="4700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69475B1A">
            <w:pPr>
              <w:spacing w:line="240" w:lineRule="auto"/>
              <w:ind w:firstLine="0" w:firstLineChars="0"/>
              <w:jc w:val="center"/>
              <w:rPr>
                <w:sz w:val="21"/>
                <w:szCs w:val="21"/>
              </w:rPr>
            </w:pPr>
          </w:p>
        </w:tc>
        <w:tc>
          <w:tcPr>
            <w:tcW w:w="3597" w:type="dxa"/>
            <w:vAlign w:val="center"/>
          </w:tcPr>
          <w:p w14:paraId="717ED553">
            <w:pPr>
              <w:spacing w:line="240" w:lineRule="auto"/>
              <w:ind w:firstLine="0" w:firstLineChars="0"/>
              <w:jc w:val="center"/>
              <w:rPr>
                <w:sz w:val="21"/>
                <w:szCs w:val="21"/>
              </w:rPr>
            </w:pPr>
            <w:r>
              <w:rPr>
                <w:rFonts w:hint="eastAsia"/>
                <w:sz w:val="21"/>
                <w:szCs w:val="21"/>
              </w:rPr>
              <w:t>建设项目占地规模</w:t>
            </w:r>
          </w:p>
        </w:tc>
        <w:tc>
          <w:tcPr>
            <w:tcW w:w="2468" w:type="dxa"/>
            <w:vAlign w:val="center"/>
          </w:tcPr>
          <w:p w14:paraId="29CACC09">
            <w:pPr>
              <w:spacing w:line="240" w:lineRule="auto"/>
              <w:ind w:firstLine="0" w:firstLineChars="0"/>
              <w:jc w:val="center"/>
              <w:rPr>
                <w:sz w:val="21"/>
                <w:szCs w:val="21"/>
              </w:rPr>
            </w:pPr>
            <w:r>
              <w:rPr>
                <w:rFonts w:hint="eastAsia"/>
                <w:sz w:val="21"/>
                <w:szCs w:val="21"/>
              </w:rPr>
              <w:t>小型</w:t>
            </w:r>
          </w:p>
        </w:tc>
        <w:tc>
          <w:tcPr>
            <w:tcW w:w="1155" w:type="dxa"/>
            <w:vMerge w:val="continue"/>
            <w:vAlign w:val="center"/>
          </w:tcPr>
          <w:p w14:paraId="64024AE9">
            <w:pPr>
              <w:spacing w:line="240" w:lineRule="auto"/>
              <w:ind w:firstLine="0" w:firstLineChars="0"/>
              <w:jc w:val="center"/>
              <w:rPr>
                <w:sz w:val="21"/>
                <w:szCs w:val="21"/>
              </w:rPr>
            </w:pPr>
          </w:p>
        </w:tc>
      </w:tr>
      <w:tr w14:paraId="50C7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02892BFC">
            <w:pPr>
              <w:spacing w:line="240" w:lineRule="auto"/>
              <w:ind w:firstLine="0" w:firstLineChars="0"/>
              <w:jc w:val="center"/>
              <w:rPr>
                <w:sz w:val="21"/>
                <w:szCs w:val="21"/>
              </w:rPr>
            </w:pPr>
          </w:p>
        </w:tc>
        <w:tc>
          <w:tcPr>
            <w:tcW w:w="3597" w:type="dxa"/>
            <w:vAlign w:val="center"/>
          </w:tcPr>
          <w:p w14:paraId="63691BCA">
            <w:pPr>
              <w:spacing w:line="240" w:lineRule="auto"/>
              <w:ind w:firstLine="0" w:firstLineChars="0"/>
              <w:jc w:val="center"/>
              <w:rPr>
                <w:sz w:val="21"/>
                <w:szCs w:val="21"/>
              </w:rPr>
            </w:pPr>
            <w:r>
              <w:rPr>
                <w:rFonts w:hint="eastAsia"/>
                <w:sz w:val="21"/>
                <w:szCs w:val="21"/>
              </w:rPr>
              <w:t>区域土壤敏感程度</w:t>
            </w:r>
          </w:p>
        </w:tc>
        <w:tc>
          <w:tcPr>
            <w:tcW w:w="2468" w:type="dxa"/>
            <w:vAlign w:val="center"/>
          </w:tcPr>
          <w:p w14:paraId="525C0BE5">
            <w:pPr>
              <w:spacing w:line="240" w:lineRule="auto"/>
              <w:ind w:firstLine="0" w:firstLineChars="0"/>
              <w:jc w:val="center"/>
              <w:rPr>
                <w:sz w:val="21"/>
                <w:szCs w:val="21"/>
              </w:rPr>
            </w:pPr>
            <w:r>
              <w:rPr>
                <w:rFonts w:hint="eastAsia"/>
                <w:sz w:val="21"/>
                <w:szCs w:val="21"/>
              </w:rPr>
              <w:t>敏感</w:t>
            </w:r>
          </w:p>
        </w:tc>
        <w:tc>
          <w:tcPr>
            <w:tcW w:w="1155" w:type="dxa"/>
            <w:vMerge w:val="continue"/>
            <w:vAlign w:val="center"/>
          </w:tcPr>
          <w:p w14:paraId="3041362C">
            <w:pPr>
              <w:spacing w:line="240" w:lineRule="auto"/>
              <w:ind w:firstLine="0" w:firstLineChars="0"/>
              <w:jc w:val="center"/>
              <w:rPr>
                <w:sz w:val="21"/>
                <w:szCs w:val="21"/>
              </w:rPr>
            </w:pPr>
          </w:p>
        </w:tc>
      </w:tr>
      <w:tr w14:paraId="6DA0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218D7772">
            <w:pPr>
              <w:spacing w:line="240" w:lineRule="auto"/>
              <w:ind w:firstLine="0" w:firstLineChars="0"/>
              <w:jc w:val="center"/>
              <w:rPr>
                <w:sz w:val="21"/>
                <w:szCs w:val="21"/>
              </w:rPr>
            </w:pPr>
            <w:r>
              <w:rPr>
                <w:rFonts w:hint="eastAsia"/>
                <w:sz w:val="21"/>
                <w:szCs w:val="21"/>
              </w:rPr>
              <w:t>生态环境</w:t>
            </w:r>
          </w:p>
        </w:tc>
        <w:tc>
          <w:tcPr>
            <w:tcW w:w="3597" w:type="dxa"/>
            <w:vAlign w:val="center"/>
          </w:tcPr>
          <w:p w14:paraId="4B2C0E9B">
            <w:pPr>
              <w:spacing w:line="240" w:lineRule="auto"/>
              <w:ind w:firstLine="0" w:firstLineChars="0"/>
              <w:jc w:val="center"/>
              <w:rPr>
                <w:sz w:val="21"/>
                <w:szCs w:val="21"/>
              </w:rPr>
            </w:pPr>
            <w:r>
              <w:rPr>
                <w:rFonts w:hint="eastAsia"/>
                <w:sz w:val="21"/>
                <w:szCs w:val="21"/>
              </w:rPr>
              <w:t>区域生态环境敏感程度</w:t>
            </w:r>
          </w:p>
        </w:tc>
        <w:tc>
          <w:tcPr>
            <w:tcW w:w="2468" w:type="dxa"/>
            <w:vAlign w:val="center"/>
          </w:tcPr>
          <w:p w14:paraId="74392101">
            <w:pPr>
              <w:spacing w:line="240" w:lineRule="auto"/>
              <w:ind w:firstLine="0" w:firstLineChars="0"/>
              <w:jc w:val="center"/>
              <w:rPr>
                <w:sz w:val="21"/>
                <w:szCs w:val="21"/>
              </w:rPr>
            </w:pPr>
            <w:r>
              <w:rPr>
                <w:rFonts w:hint="eastAsia"/>
                <w:sz w:val="21"/>
                <w:szCs w:val="21"/>
              </w:rPr>
              <w:t>一般区域</w:t>
            </w:r>
          </w:p>
        </w:tc>
        <w:tc>
          <w:tcPr>
            <w:tcW w:w="1155" w:type="dxa"/>
            <w:vMerge w:val="restart"/>
            <w:vAlign w:val="center"/>
          </w:tcPr>
          <w:p w14:paraId="4EB41541">
            <w:pPr>
              <w:spacing w:line="240" w:lineRule="auto"/>
              <w:ind w:firstLine="0" w:firstLineChars="0"/>
              <w:jc w:val="center"/>
              <w:rPr>
                <w:sz w:val="21"/>
                <w:szCs w:val="21"/>
              </w:rPr>
            </w:pPr>
            <w:r>
              <w:rPr>
                <w:rFonts w:hint="eastAsia"/>
                <w:sz w:val="21"/>
                <w:szCs w:val="21"/>
              </w:rPr>
              <w:t>三级</w:t>
            </w:r>
          </w:p>
        </w:tc>
      </w:tr>
      <w:tr w14:paraId="70C2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372C859B">
            <w:pPr>
              <w:spacing w:line="240" w:lineRule="auto"/>
              <w:ind w:firstLine="0" w:firstLineChars="0"/>
              <w:jc w:val="center"/>
              <w:rPr>
                <w:sz w:val="21"/>
                <w:szCs w:val="21"/>
              </w:rPr>
            </w:pPr>
          </w:p>
        </w:tc>
        <w:tc>
          <w:tcPr>
            <w:tcW w:w="3597" w:type="dxa"/>
            <w:vAlign w:val="center"/>
          </w:tcPr>
          <w:p w14:paraId="420E5EDB">
            <w:pPr>
              <w:spacing w:line="240" w:lineRule="auto"/>
              <w:ind w:firstLine="0" w:firstLineChars="0"/>
              <w:jc w:val="center"/>
              <w:rPr>
                <w:sz w:val="21"/>
                <w:szCs w:val="21"/>
              </w:rPr>
            </w:pPr>
            <w:r>
              <w:rPr>
                <w:rFonts w:hint="eastAsia"/>
                <w:sz w:val="21"/>
                <w:szCs w:val="21"/>
              </w:rPr>
              <w:t>工程占地范围</w:t>
            </w:r>
          </w:p>
        </w:tc>
        <w:tc>
          <w:tcPr>
            <w:tcW w:w="2468" w:type="dxa"/>
            <w:vAlign w:val="center"/>
          </w:tcPr>
          <w:p w14:paraId="3C59BF57">
            <w:pPr>
              <w:spacing w:line="240" w:lineRule="auto"/>
              <w:ind w:firstLine="0" w:firstLineChars="0"/>
              <w:jc w:val="center"/>
              <w:rPr>
                <w:sz w:val="21"/>
                <w:szCs w:val="21"/>
              </w:rPr>
            </w:pPr>
            <w:r>
              <w:rPr>
                <w:rFonts w:hint="eastAsia"/>
                <w:sz w:val="21"/>
                <w:szCs w:val="21"/>
              </w:rPr>
              <w:t>厂区占地面积约24757.78m</w:t>
            </w:r>
            <w:r>
              <w:rPr>
                <w:rFonts w:hint="eastAsia"/>
                <w:sz w:val="21"/>
                <w:szCs w:val="21"/>
                <w:vertAlign w:val="superscript"/>
              </w:rPr>
              <w:t>2</w:t>
            </w:r>
          </w:p>
        </w:tc>
        <w:tc>
          <w:tcPr>
            <w:tcW w:w="1155" w:type="dxa"/>
            <w:vMerge w:val="continue"/>
            <w:vAlign w:val="center"/>
          </w:tcPr>
          <w:p w14:paraId="5A0E46E5">
            <w:pPr>
              <w:spacing w:line="240" w:lineRule="auto"/>
              <w:ind w:firstLine="0" w:firstLineChars="0"/>
              <w:jc w:val="center"/>
              <w:rPr>
                <w:sz w:val="21"/>
                <w:szCs w:val="21"/>
              </w:rPr>
            </w:pPr>
          </w:p>
        </w:tc>
      </w:tr>
      <w:tr w14:paraId="6C24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Align w:val="center"/>
          </w:tcPr>
          <w:p w14:paraId="73C081B9">
            <w:pPr>
              <w:spacing w:line="240" w:lineRule="auto"/>
              <w:ind w:firstLine="0" w:firstLineChars="0"/>
              <w:jc w:val="center"/>
              <w:rPr>
                <w:sz w:val="21"/>
                <w:szCs w:val="21"/>
              </w:rPr>
            </w:pPr>
            <w:r>
              <w:rPr>
                <w:rFonts w:hint="eastAsia"/>
                <w:sz w:val="21"/>
                <w:szCs w:val="21"/>
              </w:rPr>
              <w:t>环境风险</w:t>
            </w:r>
          </w:p>
          <w:p w14:paraId="3B3D8D1E">
            <w:pPr>
              <w:spacing w:line="240" w:lineRule="auto"/>
              <w:ind w:firstLine="0" w:firstLineChars="0"/>
              <w:jc w:val="center"/>
              <w:rPr>
                <w:sz w:val="21"/>
                <w:szCs w:val="21"/>
              </w:rPr>
            </w:pPr>
            <w:r>
              <w:rPr>
                <w:rFonts w:hint="eastAsia"/>
                <w:sz w:val="21"/>
                <w:szCs w:val="21"/>
              </w:rPr>
              <w:t>评价</w:t>
            </w:r>
          </w:p>
        </w:tc>
        <w:tc>
          <w:tcPr>
            <w:tcW w:w="3597" w:type="dxa"/>
            <w:vAlign w:val="center"/>
          </w:tcPr>
          <w:p w14:paraId="435B9BEE">
            <w:pPr>
              <w:spacing w:line="240" w:lineRule="auto"/>
              <w:ind w:firstLine="0" w:firstLineChars="0"/>
              <w:jc w:val="center"/>
              <w:rPr>
                <w:sz w:val="21"/>
                <w:szCs w:val="21"/>
              </w:rPr>
            </w:pPr>
            <w:r>
              <w:rPr>
                <w:rFonts w:hint="eastAsia"/>
                <w:sz w:val="21"/>
                <w:szCs w:val="21"/>
              </w:rPr>
              <w:t>危险物质数量与临界量比值</w:t>
            </w:r>
          </w:p>
        </w:tc>
        <w:tc>
          <w:tcPr>
            <w:tcW w:w="2468" w:type="dxa"/>
            <w:vAlign w:val="center"/>
          </w:tcPr>
          <w:p w14:paraId="2C79BFBF">
            <w:pPr>
              <w:spacing w:line="240" w:lineRule="auto"/>
              <w:ind w:firstLine="0" w:firstLineChars="0"/>
              <w:jc w:val="center"/>
              <w:rPr>
                <w:sz w:val="21"/>
                <w:szCs w:val="21"/>
              </w:rPr>
            </w:pPr>
            <w:r>
              <w:rPr>
                <w:rFonts w:hint="eastAsia"/>
                <w:sz w:val="21"/>
                <w:szCs w:val="21"/>
              </w:rPr>
              <w:t>不涉及附录B中的化学品，Q＜1</w:t>
            </w:r>
          </w:p>
        </w:tc>
        <w:tc>
          <w:tcPr>
            <w:tcW w:w="1155" w:type="dxa"/>
            <w:vAlign w:val="center"/>
          </w:tcPr>
          <w:p w14:paraId="55BDC466">
            <w:pPr>
              <w:spacing w:line="240" w:lineRule="auto"/>
              <w:ind w:firstLine="0" w:firstLineChars="0"/>
              <w:jc w:val="center"/>
              <w:rPr>
                <w:sz w:val="21"/>
                <w:szCs w:val="21"/>
              </w:rPr>
            </w:pPr>
            <w:r>
              <w:rPr>
                <w:rFonts w:hint="eastAsia"/>
                <w:sz w:val="21"/>
                <w:szCs w:val="21"/>
              </w:rPr>
              <w:t>简单分析</w:t>
            </w:r>
          </w:p>
        </w:tc>
      </w:tr>
    </w:tbl>
    <w:p w14:paraId="494BBF2F">
      <w:pPr>
        <w:pStyle w:val="5"/>
      </w:pPr>
      <w:bookmarkStart w:id="45" w:name="_Toc106663443"/>
      <w:r>
        <w:rPr>
          <w:rFonts w:hint="eastAsia"/>
        </w:rPr>
        <w:t>2.6.2评价范围</w:t>
      </w:r>
      <w:bookmarkEnd w:id="45"/>
    </w:p>
    <w:p w14:paraId="79F23853">
      <w:pPr>
        <w:ind w:firstLine="480"/>
      </w:pPr>
      <w:r>
        <w:rPr>
          <w:rFonts w:hint="eastAsia"/>
        </w:rPr>
        <w:t>根据评价工作等级及当地气象条件、自然环境状况确定各环境要素评价范围如下：</w:t>
      </w:r>
    </w:p>
    <w:p w14:paraId="5C67C894">
      <w:pPr>
        <w:pStyle w:val="6"/>
        <w:ind w:firstLine="482"/>
      </w:pPr>
      <w:r>
        <w:rPr>
          <w:rFonts w:hint="eastAsia"/>
        </w:rPr>
        <w:t>2.6.2.1环境空气</w:t>
      </w:r>
    </w:p>
    <w:p w14:paraId="1486BC7F">
      <w:pPr>
        <w:ind w:firstLine="480"/>
      </w:pPr>
      <w:r>
        <w:t>根据《环境影响评价技术导则大气环境》</w:t>
      </w:r>
      <w:r>
        <w:rPr>
          <w:rFonts w:hint="eastAsia"/>
        </w:rPr>
        <w:t>（</w:t>
      </w:r>
      <w:r>
        <w:t>HJ2.2-2018</w:t>
      </w:r>
      <w:r>
        <w:rPr>
          <w:rFonts w:hint="eastAsia"/>
        </w:rPr>
        <w:t>）</w:t>
      </w:r>
      <w:r>
        <w:t>，</w:t>
      </w:r>
      <w:r>
        <w:rPr>
          <w:rFonts w:hint="eastAsia"/>
        </w:rPr>
        <w:t>三</w:t>
      </w:r>
      <w:r>
        <w:t>级评价项目</w:t>
      </w:r>
      <w:r>
        <w:rPr>
          <w:rFonts w:hint="eastAsia"/>
        </w:rPr>
        <w:t>不需设置大气环境影响评价范围。</w:t>
      </w:r>
    </w:p>
    <w:p w14:paraId="0FFA08BD">
      <w:pPr>
        <w:pStyle w:val="6"/>
        <w:ind w:firstLine="482"/>
      </w:pPr>
      <w:r>
        <w:rPr>
          <w:rFonts w:hint="eastAsia"/>
        </w:rPr>
        <w:t>2.6.2.2地下水环境</w:t>
      </w:r>
    </w:p>
    <w:p w14:paraId="062E01C5">
      <w:pPr>
        <w:ind w:firstLine="480"/>
      </w:pPr>
      <w:r>
        <w:rPr>
          <w:rFonts w:hint="eastAsia"/>
          <w:szCs w:val="24"/>
          <w:lang w:bidi="ar"/>
        </w:rPr>
        <w:t>地下水评价范围重点考虑了污染源分布特征、地下水径流特征、地下水可能受到污染的区域；同时要能说明地下水环境基本状况，并满足对地下水环境影响进行预测和评价需要。根据项目所在区地形地貌及污染源所在场地，评价范围确定为以项目区为边界，确定为相对独立的水文地质单元。该项目地下水评价等级为三级；根据查表法，地下水二级评价的评价范围为6km</w:t>
      </w:r>
      <w:r>
        <w:rPr>
          <w:rFonts w:hint="eastAsia"/>
          <w:szCs w:val="24"/>
          <w:vertAlign w:val="superscript"/>
          <w:lang w:bidi="ar"/>
        </w:rPr>
        <w:t>2</w:t>
      </w:r>
      <w:r>
        <w:rPr>
          <w:rFonts w:hint="eastAsia"/>
          <w:szCs w:val="24"/>
          <w:lang w:bidi="ar"/>
        </w:rPr>
        <w:t>，必要时可适当扩大范围；本项目地下水评价范围以项目区为中心，向地下水上游延伸1km、下游延伸2km，向地下水流侧向各延伸1km，因此本项目地下水环境评价范围最终确定为6km</w:t>
      </w:r>
      <w:r>
        <w:rPr>
          <w:rFonts w:hint="eastAsia"/>
          <w:szCs w:val="24"/>
          <w:vertAlign w:val="superscript"/>
          <w:lang w:bidi="ar"/>
        </w:rPr>
        <w:t>2</w:t>
      </w:r>
      <w:r>
        <w:rPr>
          <w:rFonts w:hint="eastAsia"/>
          <w:szCs w:val="24"/>
          <w:lang w:bidi="ar"/>
        </w:rPr>
        <w:t>。</w:t>
      </w:r>
    </w:p>
    <w:p w14:paraId="2E06A481">
      <w:pPr>
        <w:pStyle w:val="6"/>
        <w:ind w:firstLine="482"/>
      </w:pPr>
      <w:r>
        <w:rPr>
          <w:rFonts w:hint="eastAsia"/>
        </w:rPr>
        <w:t>2.6.2.3声环境</w:t>
      </w:r>
    </w:p>
    <w:p w14:paraId="4FE1BCB5">
      <w:pPr>
        <w:ind w:firstLine="480"/>
      </w:pPr>
      <w:r>
        <w:t>项目噪声评价范围为厂区周围200m区域</w:t>
      </w:r>
      <w:r>
        <w:rPr>
          <w:rFonts w:hint="eastAsia"/>
        </w:rPr>
        <w:t>。</w:t>
      </w:r>
    </w:p>
    <w:p w14:paraId="22114F69">
      <w:pPr>
        <w:pStyle w:val="6"/>
        <w:ind w:firstLine="482"/>
      </w:pPr>
      <w:r>
        <w:rPr>
          <w:rFonts w:hint="eastAsia"/>
        </w:rPr>
        <w:t>2.6.2.4土壤环境</w:t>
      </w:r>
    </w:p>
    <w:p w14:paraId="0D2038F4">
      <w:pPr>
        <w:ind w:firstLine="480"/>
      </w:pPr>
      <w:r>
        <w:t>项目土壤评价范围为项目区范围和占地范围外50m范围内</w:t>
      </w:r>
      <w:r>
        <w:rPr>
          <w:rFonts w:hint="eastAsia"/>
        </w:rPr>
        <w:t>。</w:t>
      </w:r>
    </w:p>
    <w:p w14:paraId="283598E5">
      <w:pPr>
        <w:pStyle w:val="6"/>
        <w:ind w:firstLine="482"/>
      </w:pPr>
      <w:r>
        <w:rPr>
          <w:rFonts w:hint="eastAsia"/>
        </w:rPr>
        <w:t>2.6.2.5生态影响</w:t>
      </w:r>
    </w:p>
    <w:p w14:paraId="2B376222">
      <w:pPr>
        <w:ind w:firstLine="480"/>
      </w:pPr>
      <w:r>
        <w:rPr>
          <w:rFonts w:hint="eastAsia"/>
        </w:rPr>
        <w:t>本项目评价范围为本项目活动直接影响区域和间接影响区域，根据本项目的特点，本项目的生态影响范围为本项目的占地区域。</w:t>
      </w:r>
    </w:p>
    <w:p w14:paraId="06BC7D22">
      <w:pPr>
        <w:pStyle w:val="6"/>
        <w:ind w:firstLine="482"/>
      </w:pPr>
      <w:r>
        <w:rPr>
          <w:rFonts w:hint="eastAsia"/>
        </w:rPr>
        <w:t>2.6.2.6环境风险</w:t>
      </w:r>
    </w:p>
    <w:p w14:paraId="08193F79">
      <w:pPr>
        <w:ind w:firstLine="480"/>
      </w:pPr>
      <w:r>
        <w:rPr>
          <w:rFonts w:hint="eastAsia"/>
        </w:rPr>
        <w:t>项目风险评价等级为简单分析，从风险源、环境影响途径、环境危害后果、风险防范措施等方面给出定性的说明。</w:t>
      </w:r>
    </w:p>
    <w:p w14:paraId="4BA4A853">
      <w:pPr>
        <w:ind w:firstLine="480"/>
      </w:pPr>
      <w:r>
        <w:rPr>
          <w:rFonts w:hint="eastAsia"/>
        </w:rPr>
        <w:t>本项目环境影响评价范围一览表见表2.6-12，项目评价范围图见附图2.6-1。</w:t>
      </w:r>
    </w:p>
    <w:p w14:paraId="06DA47CE">
      <w:pPr>
        <w:pStyle w:val="11"/>
      </w:pPr>
      <w:r>
        <w:rPr>
          <w:rFonts w:hint="eastAsia"/>
        </w:rPr>
        <w:t>表2.6-12环境影响评价范围一览表</w:t>
      </w:r>
    </w:p>
    <w:tbl>
      <w:tblPr>
        <w:tblStyle w:val="18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7"/>
        <w:gridCol w:w="1277"/>
        <w:gridCol w:w="1311"/>
        <w:gridCol w:w="5018"/>
      </w:tblGrid>
      <w:tr w14:paraId="3A4A2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425" w:type="pct"/>
            <w:tcBorders>
              <w:top w:val="single" w:color="000000" w:sz="2" w:space="0"/>
              <w:bottom w:val="single" w:color="000000" w:sz="2" w:space="0"/>
            </w:tcBorders>
            <w:vAlign w:val="center"/>
          </w:tcPr>
          <w:p w14:paraId="7F016088">
            <w:pPr>
              <w:spacing w:line="360" w:lineRule="exact"/>
              <w:ind w:firstLine="0" w:firstLineChars="0"/>
              <w:jc w:val="center"/>
              <w:rPr>
                <w:rFonts w:cs="宋体"/>
                <w:sz w:val="21"/>
                <w:szCs w:val="21"/>
              </w:rPr>
            </w:pPr>
            <w:r>
              <w:rPr>
                <w:rFonts w:cs="宋体"/>
                <w:sz w:val="21"/>
                <w:szCs w:val="21"/>
              </w:rPr>
              <w:t>序号</w:t>
            </w:r>
          </w:p>
        </w:tc>
        <w:tc>
          <w:tcPr>
            <w:tcW w:w="768" w:type="pct"/>
            <w:tcBorders>
              <w:top w:val="single" w:color="000000" w:sz="2" w:space="0"/>
              <w:bottom w:val="single" w:color="000000" w:sz="2" w:space="0"/>
            </w:tcBorders>
            <w:vAlign w:val="center"/>
          </w:tcPr>
          <w:p w14:paraId="72E1322C">
            <w:pPr>
              <w:spacing w:line="360" w:lineRule="exact"/>
              <w:ind w:firstLine="0" w:firstLineChars="0"/>
              <w:jc w:val="center"/>
              <w:rPr>
                <w:rFonts w:cs="宋体"/>
                <w:sz w:val="21"/>
                <w:szCs w:val="21"/>
              </w:rPr>
            </w:pPr>
            <w:r>
              <w:rPr>
                <w:rFonts w:cs="宋体"/>
                <w:sz w:val="21"/>
                <w:szCs w:val="21"/>
              </w:rPr>
              <w:t>类别</w:t>
            </w:r>
          </w:p>
        </w:tc>
        <w:tc>
          <w:tcPr>
            <w:tcW w:w="788" w:type="pct"/>
            <w:tcBorders>
              <w:top w:val="single" w:color="000000" w:sz="2" w:space="0"/>
              <w:bottom w:val="single" w:color="000000" w:sz="2" w:space="0"/>
            </w:tcBorders>
            <w:vAlign w:val="center"/>
          </w:tcPr>
          <w:p w14:paraId="444EAA0F">
            <w:pPr>
              <w:spacing w:line="360" w:lineRule="exact"/>
              <w:ind w:firstLine="0" w:firstLineChars="0"/>
              <w:jc w:val="center"/>
              <w:rPr>
                <w:rFonts w:cs="宋体"/>
                <w:sz w:val="21"/>
                <w:szCs w:val="21"/>
              </w:rPr>
            </w:pPr>
            <w:r>
              <w:rPr>
                <w:rFonts w:cs="宋体"/>
                <w:sz w:val="21"/>
                <w:szCs w:val="21"/>
              </w:rPr>
              <w:t>评价等级</w:t>
            </w:r>
          </w:p>
        </w:tc>
        <w:tc>
          <w:tcPr>
            <w:tcW w:w="3017" w:type="pct"/>
            <w:tcBorders>
              <w:top w:val="single" w:color="000000" w:sz="2" w:space="0"/>
              <w:bottom w:val="single" w:color="000000" w:sz="2" w:space="0"/>
            </w:tcBorders>
            <w:vAlign w:val="center"/>
          </w:tcPr>
          <w:p w14:paraId="18DEE6D4">
            <w:pPr>
              <w:spacing w:line="360" w:lineRule="exact"/>
              <w:ind w:firstLine="0" w:firstLineChars="0"/>
              <w:jc w:val="center"/>
              <w:rPr>
                <w:rFonts w:cs="宋体"/>
                <w:sz w:val="21"/>
                <w:szCs w:val="21"/>
              </w:rPr>
            </w:pPr>
            <w:r>
              <w:rPr>
                <w:rFonts w:cs="宋体"/>
                <w:sz w:val="21"/>
                <w:szCs w:val="21"/>
              </w:rPr>
              <w:t>评价范围</w:t>
            </w:r>
          </w:p>
        </w:tc>
      </w:tr>
      <w:tr w14:paraId="1BB02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425" w:type="pct"/>
            <w:tcBorders>
              <w:top w:val="single" w:color="000000" w:sz="2" w:space="0"/>
              <w:bottom w:val="single" w:color="000000" w:sz="2" w:space="0"/>
            </w:tcBorders>
            <w:vAlign w:val="center"/>
          </w:tcPr>
          <w:p w14:paraId="49460F23">
            <w:pPr>
              <w:spacing w:line="360" w:lineRule="exact"/>
              <w:ind w:firstLine="0" w:firstLineChars="0"/>
              <w:jc w:val="center"/>
              <w:rPr>
                <w:sz w:val="21"/>
                <w:szCs w:val="21"/>
              </w:rPr>
            </w:pPr>
            <w:r>
              <w:rPr>
                <w:sz w:val="21"/>
                <w:szCs w:val="21"/>
              </w:rPr>
              <w:t>1</w:t>
            </w:r>
          </w:p>
        </w:tc>
        <w:tc>
          <w:tcPr>
            <w:tcW w:w="768" w:type="pct"/>
            <w:tcBorders>
              <w:top w:val="single" w:color="000000" w:sz="2" w:space="0"/>
              <w:bottom w:val="single" w:color="000000" w:sz="2" w:space="0"/>
            </w:tcBorders>
            <w:vAlign w:val="center"/>
          </w:tcPr>
          <w:p w14:paraId="1FBF9346">
            <w:pPr>
              <w:spacing w:line="360" w:lineRule="exact"/>
              <w:ind w:firstLine="0" w:firstLineChars="0"/>
              <w:jc w:val="center"/>
              <w:rPr>
                <w:rFonts w:cs="宋体"/>
                <w:sz w:val="21"/>
                <w:szCs w:val="21"/>
              </w:rPr>
            </w:pPr>
            <w:r>
              <w:rPr>
                <w:rFonts w:cs="宋体"/>
                <w:sz w:val="21"/>
                <w:szCs w:val="21"/>
              </w:rPr>
              <w:t>环境空气</w:t>
            </w:r>
          </w:p>
        </w:tc>
        <w:tc>
          <w:tcPr>
            <w:tcW w:w="788" w:type="pct"/>
            <w:tcBorders>
              <w:top w:val="single" w:color="000000" w:sz="2" w:space="0"/>
              <w:bottom w:val="single" w:color="000000" w:sz="2" w:space="0"/>
            </w:tcBorders>
            <w:vAlign w:val="center"/>
          </w:tcPr>
          <w:p w14:paraId="1381AAF1">
            <w:pPr>
              <w:spacing w:line="360" w:lineRule="exact"/>
              <w:ind w:firstLine="0" w:firstLineChars="0"/>
              <w:jc w:val="center"/>
              <w:rPr>
                <w:rFonts w:cs="宋体"/>
                <w:sz w:val="21"/>
                <w:szCs w:val="21"/>
              </w:rPr>
            </w:pPr>
            <w:r>
              <w:rPr>
                <w:rFonts w:cs="宋体"/>
                <w:sz w:val="21"/>
                <w:szCs w:val="21"/>
              </w:rPr>
              <w:t>二级</w:t>
            </w:r>
          </w:p>
        </w:tc>
        <w:tc>
          <w:tcPr>
            <w:tcW w:w="3017" w:type="pct"/>
            <w:tcBorders>
              <w:top w:val="single" w:color="000000" w:sz="2" w:space="0"/>
              <w:bottom w:val="single" w:color="000000" w:sz="2" w:space="0"/>
            </w:tcBorders>
            <w:vAlign w:val="center"/>
          </w:tcPr>
          <w:p w14:paraId="7087901A">
            <w:pPr>
              <w:spacing w:line="360" w:lineRule="exact"/>
              <w:ind w:firstLine="0" w:firstLineChars="0"/>
              <w:jc w:val="center"/>
              <w:rPr>
                <w:rFonts w:cs="宋体"/>
                <w:sz w:val="21"/>
                <w:szCs w:val="21"/>
              </w:rPr>
            </w:pPr>
            <w:r>
              <w:rPr>
                <w:rFonts w:cs="宋体"/>
                <w:sz w:val="21"/>
                <w:szCs w:val="21"/>
              </w:rPr>
              <w:t>以项目厂区为中心，边长为</w:t>
            </w:r>
            <w:r>
              <w:rPr>
                <w:sz w:val="21"/>
                <w:szCs w:val="21"/>
              </w:rPr>
              <w:t>5km×5km</w:t>
            </w:r>
            <w:r>
              <w:rPr>
                <w:rFonts w:cs="宋体"/>
                <w:sz w:val="21"/>
                <w:szCs w:val="21"/>
              </w:rPr>
              <w:t>的正方形</w:t>
            </w:r>
            <w:r>
              <w:rPr>
                <w:rFonts w:hint="eastAsia" w:cs="宋体"/>
                <w:sz w:val="21"/>
                <w:szCs w:val="21"/>
              </w:rPr>
              <w:t>。</w:t>
            </w:r>
          </w:p>
        </w:tc>
      </w:tr>
      <w:tr w14:paraId="0DA38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425" w:type="pct"/>
            <w:tcBorders>
              <w:top w:val="single" w:color="000000" w:sz="2" w:space="0"/>
              <w:bottom w:val="single" w:color="000000" w:sz="2" w:space="0"/>
            </w:tcBorders>
            <w:vAlign w:val="center"/>
          </w:tcPr>
          <w:p w14:paraId="505206B5">
            <w:pPr>
              <w:spacing w:line="360" w:lineRule="exact"/>
              <w:ind w:firstLine="0" w:firstLineChars="0"/>
              <w:jc w:val="center"/>
              <w:rPr>
                <w:sz w:val="21"/>
                <w:szCs w:val="21"/>
              </w:rPr>
            </w:pPr>
            <w:r>
              <w:rPr>
                <w:sz w:val="21"/>
                <w:szCs w:val="21"/>
              </w:rPr>
              <w:t>2</w:t>
            </w:r>
          </w:p>
        </w:tc>
        <w:tc>
          <w:tcPr>
            <w:tcW w:w="768" w:type="pct"/>
            <w:tcBorders>
              <w:top w:val="single" w:color="000000" w:sz="2" w:space="0"/>
              <w:bottom w:val="single" w:color="000000" w:sz="2" w:space="0"/>
            </w:tcBorders>
            <w:vAlign w:val="center"/>
          </w:tcPr>
          <w:p w14:paraId="75D83AB2">
            <w:pPr>
              <w:spacing w:line="360" w:lineRule="exact"/>
              <w:ind w:firstLine="0" w:firstLineChars="0"/>
              <w:jc w:val="center"/>
              <w:rPr>
                <w:rFonts w:cs="宋体"/>
                <w:sz w:val="21"/>
                <w:szCs w:val="21"/>
              </w:rPr>
            </w:pPr>
            <w:r>
              <w:rPr>
                <w:rFonts w:cs="宋体"/>
                <w:sz w:val="21"/>
                <w:szCs w:val="21"/>
              </w:rPr>
              <w:t>声环境</w:t>
            </w:r>
          </w:p>
        </w:tc>
        <w:tc>
          <w:tcPr>
            <w:tcW w:w="788" w:type="pct"/>
            <w:tcBorders>
              <w:top w:val="single" w:color="000000" w:sz="2" w:space="0"/>
              <w:bottom w:val="single" w:color="000000" w:sz="2" w:space="0"/>
            </w:tcBorders>
            <w:vAlign w:val="center"/>
          </w:tcPr>
          <w:p w14:paraId="0350C2EB">
            <w:pPr>
              <w:spacing w:line="360" w:lineRule="exact"/>
              <w:ind w:firstLine="0" w:firstLineChars="0"/>
              <w:jc w:val="center"/>
              <w:rPr>
                <w:rFonts w:cs="宋体"/>
                <w:sz w:val="21"/>
                <w:szCs w:val="21"/>
              </w:rPr>
            </w:pPr>
            <w:r>
              <w:rPr>
                <w:rFonts w:cs="宋体"/>
                <w:sz w:val="21"/>
                <w:szCs w:val="21"/>
              </w:rPr>
              <w:t>二级</w:t>
            </w:r>
          </w:p>
        </w:tc>
        <w:tc>
          <w:tcPr>
            <w:tcW w:w="3017" w:type="pct"/>
            <w:tcBorders>
              <w:top w:val="single" w:color="000000" w:sz="2" w:space="0"/>
              <w:bottom w:val="single" w:color="000000" w:sz="2" w:space="0"/>
            </w:tcBorders>
            <w:vAlign w:val="center"/>
          </w:tcPr>
          <w:p w14:paraId="4C525569">
            <w:pPr>
              <w:spacing w:line="360" w:lineRule="exact"/>
              <w:ind w:firstLine="0" w:firstLineChars="0"/>
              <w:jc w:val="center"/>
              <w:rPr>
                <w:rFonts w:cs="宋体"/>
                <w:sz w:val="21"/>
                <w:szCs w:val="21"/>
              </w:rPr>
            </w:pPr>
            <w:r>
              <w:rPr>
                <w:rFonts w:cs="宋体"/>
                <w:sz w:val="21"/>
                <w:szCs w:val="21"/>
              </w:rPr>
              <w:t>项目厂界外</w:t>
            </w:r>
            <w:r>
              <w:rPr>
                <w:sz w:val="21"/>
                <w:szCs w:val="21"/>
              </w:rPr>
              <w:t>200m</w:t>
            </w:r>
            <w:r>
              <w:rPr>
                <w:rFonts w:cs="宋体"/>
                <w:sz w:val="21"/>
                <w:szCs w:val="21"/>
              </w:rPr>
              <w:t>范围内</w:t>
            </w:r>
            <w:r>
              <w:rPr>
                <w:rFonts w:hint="eastAsia" w:cs="宋体"/>
                <w:sz w:val="21"/>
                <w:szCs w:val="21"/>
              </w:rPr>
              <w:t>。</w:t>
            </w:r>
          </w:p>
        </w:tc>
      </w:tr>
      <w:tr w14:paraId="4ABBD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425" w:type="pct"/>
            <w:tcBorders>
              <w:top w:val="single" w:color="000000" w:sz="2" w:space="0"/>
              <w:bottom w:val="single" w:color="000000" w:sz="2" w:space="0"/>
            </w:tcBorders>
            <w:vAlign w:val="center"/>
          </w:tcPr>
          <w:p w14:paraId="5537D1C7">
            <w:pPr>
              <w:spacing w:line="360" w:lineRule="exact"/>
              <w:ind w:firstLine="0" w:firstLineChars="0"/>
              <w:jc w:val="center"/>
              <w:rPr>
                <w:sz w:val="21"/>
                <w:szCs w:val="21"/>
              </w:rPr>
            </w:pPr>
            <w:r>
              <w:rPr>
                <w:sz w:val="21"/>
                <w:szCs w:val="21"/>
              </w:rPr>
              <w:t>3</w:t>
            </w:r>
          </w:p>
        </w:tc>
        <w:tc>
          <w:tcPr>
            <w:tcW w:w="768" w:type="pct"/>
            <w:tcBorders>
              <w:top w:val="single" w:color="000000" w:sz="2" w:space="0"/>
              <w:bottom w:val="single" w:color="000000" w:sz="2" w:space="0"/>
            </w:tcBorders>
            <w:vAlign w:val="center"/>
          </w:tcPr>
          <w:p w14:paraId="5977AA5D">
            <w:pPr>
              <w:spacing w:line="360" w:lineRule="exact"/>
              <w:ind w:firstLine="0" w:firstLineChars="0"/>
              <w:jc w:val="center"/>
              <w:rPr>
                <w:rFonts w:cs="宋体"/>
                <w:sz w:val="21"/>
                <w:szCs w:val="21"/>
              </w:rPr>
            </w:pPr>
            <w:r>
              <w:rPr>
                <w:rFonts w:cs="宋体"/>
                <w:sz w:val="21"/>
                <w:szCs w:val="21"/>
              </w:rPr>
              <w:t>地下水环境</w:t>
            </w:r>
          </w:p>
        </w:tc>
        <w:tc>
          <w:tcPr>
            <w:tcW w:w="788" w:type="pct"/>
            <w:tcBorders>
              <w:top w:val="single" w:color="000000" w:sz="2" w:space="0"/>
              <w:bottom w:val="single" w:color="000000" w:sz="2" w:space="0"/>
            </w:tcBorders>
            <w:vAlign w:val="center"/>
          </w:tcPr>
          <w:p w14:paraId="5ECFA147">
            <w:pPr>
              <w:spacing w:line="360" w:lineRule="exact"/>
              <w:ind w:firstLine="0" w:firstLineChars="0"/>
              <w:jc w:val="center"/>
              <w:rPr>
                <w:rFonts w:cs="宋体"/>
                <w:sz w:val="21"/>
                <w:szCs w:val="21"/>
              </w:rPr>
            </w:pPr>
            <w:r>
              <w:rPr>
                <w:rFonts w:hint="eastAsia" w:cs="宋体"/>
                <w:sz w:val="21"/>
                <w:szCs w:val="21"/>
              </w:rPr>
              <w:t>三</w:t>
            </w:r>
            <w:r>
              <w:rPr>
                <w:rFonts w:cs="宋体"/>
                <w:sz w:val="21"/>
                <w:szCs w:val="21"/>
              </w:rPr>
              <w:t>级</w:t>
            </w:r>
          </w:p>
        </w:tc>
        <w:tc>
          <w:tcPr>
            <w:tcW w:w="3017" w:type="pct"/>
            <w:tcBorders>
              <w:top w:val="single" w:color="000000" w:sz="2" w:space="0"/>
              <w:bottom w:val="single" w:color="000000" w:sz="2" w:space="0"/>
            </w:tcBorders>
            <w:vAlign w:val="center"/>
          </w:tcPr>
          <w:p w14:paraId="5E6B056C">
            <w:pPr>
              <w:spacing w:line="360" w:lineRule="exact"/>
              <w:ind w:right="174" w:firstLine="0" w:firstLineChars="0"/>
              <w:jc w:val="center"/>
              <w:rPr>
                <w:rFonts w:cs="宋体"/>
                <w:sz w:val="21"/>
                <w:szCs w:val="21"/>
              </w:rPr>
            </w:pPr>
            <w:r>
              <w:rPr>
                <w:rFonts w:cs="宋体"/>
                <w:sz w:val="21"/>
                <w:szCs w:val="21"/>
              </w:rPr>
              <w:t>围以厂址为中心，向西南</w:t>
            </w:r>
            <w:r>
              <w:rPr>
                <w:sz w:val="21"/>
                <w:szCs w:val="21"/>
              </w:rPr>
              <w:t>500m</w:t>
            </w:r>
            <w:r>
              <w:rPr>
                <w:rFonts w:cs="宋体"/>
                <w:sz w:val="21"/>
                <w:szCs w:val="21"/>
              </w:rPr>
              <w:t>、向北东</w:t>
            </w:r>
            <w:r>
              <w:rPr>
                <w:sz w:val="21"/>
                <w:szCs w:val="21"/>
              </w:rPr>
              <w:t>2500m</w:t>
            </w:r>
            <w:r>
              <w:rPr>
                <w:rFonts w:cs="宋体"/>
                <w:sz w:val="21"/>
                <w:szCs w:val="21"/>
              </w:rPr>
              <w:t>，西北、东南向各</w:t>
            </w:r>
            <w:r>
              <w:rPr>
                <w:sz w:val="21"/>
                <w:szCs w:val="21"/>
              </w:rPr>
              <w:t>1000m</w:t>
            </w:r>
            <w:r>
              <w:rPr>
                <w:rFonts w:cs="宋体"/>
                <w:sz w:val="21"/>
                <w:szCs w:val="21"/>
              </w:rPr>
              <w:t>、面积</w:t>
            </w:r>
            <w:r>
              <w:rPr>
                <w:sz w:val="21"/>
                <w:szCs w:val="21"/>
              </w:rPr>
              <w:t>6km</w:t>
            </w:r>
            <w:r>
              <w:rPr>
                <w:rFonts w:hint="eastAsia"/>
                <w:sz w:val="21"/>
                <w:szCs w:val="21"/>
                <w:vertAlign w:val="superscript"/>
              </w:rPr>
              <w:t>2</w:t>
            </w:r>
            <w:r>
              <w:rPr>
                <w:rFonts w:cs="宋体"/>
                <w:sz w:val="21"/>
                <w:szCs w:val="21"/>
              </w:rPr>
              <w:t>的矩形区域</w:t>
            </w:r>
            <w:r>
              <w:rPr>
                <w:rFonts w:hint="eastAsia" w:cs="宋体"/>
                <w:sz w:val="21"/>
                <w:szCs w:val="21"/>
              </w:rPr>
              <w:t>。</w:t>
            </w:r>
          </w:p>
        </w:tc>
      </w:tr>
      <w:tr w14:paraId="59BF3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425" w:type="pct"/>
            <w:tcBorders>
              <w:top w:val="single" w:color="000000" w:sz="2" w:space="0"/>
              <w:bottom w:val="single" w:color="000000" w:sz="2" w:space="0"/>
            </w:tcBorders>
            <w:vAlign w:val="center"/>
          </w:tcPr>
          <w:p w14:paraId="23568054">
            <w:pPr>
              <w:spacing w:line="360" w:lineRule="exact"/>
              <w:ind w:firstLine="0" w:firstLineChars="0"/>
              <w:jc w:val="center"/>
              <w:rPr>
                <w:sz w:val="21"/>
                <w:szCs w:val="21"/>
              </w:rPr>
            </w:pPr>
            <w:r>
              <w:rPr>
                <w:sz w:val="21"/>
                <w:szCs w:val="21"/>
              </w:rPr>
              <w:t>4</w:t>
            </w:r>
          </w:p>
        </w:tc>
        <w:tc>
          <w:tcPr>
            <w:tcW w:w="768" w:type="pct"/>
            <w:tcBorders>
              <w:top w:val="single" w:color="000000" w:sz="2" w:space="0"/>
              <w:bottom w:val="single" w:color="000000" w:sz="2" w:space="0"/>
            </w:tcBorders>
            <w:vAlign w:val="center"/>
          </w:tcPr>
          <w:p w14:paraId="4885CDF6">
            <w:pPr>
              <w:spacing w:line="360" w:lineRule="exact"/>
              <w:ind w:firstLine="0" w:firstLineChars="0"/>
              <w:jc w:val="center"/>
              <w:rPr>
                <w:rFonts w:cs="宋体"/>
                <w:sz w:val="21"/>
                <w:szCs w:val="21"/>
              </w:rPr>
            </w:pPr>
            <w:r>
              <w:rPr>
                <w:rFonts w:cs="宋体"/>
                <w:sz w:val="21"/>
                <w:szCs w:val="21"/>
              </w:rPr>
              <w:t>土壤环境</w:t>
            </w:r>
          </w:p>
        </w:tc>
        <w:tc>
          <w:tcPr>
            <w:tcW w:w="788" w:type="pct"/>
            <w:tcBorders>
              <w:top w:val="single" w:color="000000" w:sz="2" w:space="0"/>
              <w:bottom w:val="single" w:color="000000" w:sz="2" w:space="0"/>
            </w:tcBorders>
            <w:vAlign w:val="center"/>
          </w:tcPr>
          <w:p w14:paraId="503B4017">
            <w:pPr>
              <w:spacing w:line="360" w:lineRule="exact"/>
              <w:ind w:firstLine="0" w:firstLineChars="0"/>
              <w:jc w:val="center"/>
              <w:rPr>
                <w:rFonts w:cs="宋体"/>
                <w:sz w:val="21"/>
                <w:szCs w:val="21"/>
              </w:rPr>
            </w:pPr>
            <w:r>
              <w:rPr>
                <w:rFonts w:cs="宋体"/>
                <w:sz w:val="21"/>
                <w:szCs w:val="21"/>
              </w:rPr>
              <w:t>三级</w:t>
            </w:r>
          </w:p>
        </w:tc>
        <w:tc>
          <w:tcPr>
            <w:tcW w:w="3017" w:type="pct"/>
            <w:tcBorders>
              <w:top w:val="single" w:color="000000" w:sz="2" w:space="0"/>
              <w:bottom w:val="single" w:color="000000" w:sz="2" w:space="0"/>
            </w:tcBorders>
            <w:vAlign w:val="center"/>
          </w:tcPr>
          <w:p w14:paraId="0C169783">
            <w:pPr>
              <w:spacing w:line="360" w:lineRule="exact"/>
              <w:ind w:firstLine="0" w:firstLineChars="0"/>
              <w:jc w:val="center"/>
              <w:rPr>
                <w:rFonts w:cs="宋体"/>
                <w:sz w:val="21"/>
                <w:szCs w:val="21"/>
              </w:rPr>
            </w:pPr>
            <w:r>
              <w:rPr>
                <w:rFonts w:cs="宋体"/>
                <w:sz w:val="21"/>
                <w:szCs w:val="21"/>
              </w:rPr>
              <w:t>项目区范围和占地范围外</w:t>
            </w:r>
            <w:r>
              <w:rPr>
                <w:sz w:val="21"/>
                <w:szCs w:val="21"/>
              </w:rPr>
              <w:t>50m</w:t>
            </w:r>
            <w:r>
              <w:rPr>
                <w:rFonts w:cs="宋体"/>
                <w:sz w:val="21"/>
                <w:szCs w:val="21"/>
              </w:rPr>
              <w:t>范围内</w:t>
            </w:r>
          </w:p>
        </w:tc>
      </w:tr>
      <w:tr w14:paraId="7326B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25" w:type="pct"/>
            <w:tcBorders>
              <w:top w:val="single" w:color="000000" w:sz="2" w:space="0"/>
              <w:bottom w:val="single" w:color="000000" w:sz="2" w:space="0"/>
            </w:tcBorders>
            <w:vAlign w:val="center"/>
          </w:tcPr>
          <w:p w14:paraId="17DFFFA0">
            <w:pPr>
              <w:spacing w:line="360" w:lineRule="exact"/>
              <w:ind w:firstLine="0" w:firstLineChars="0"/>
              <w:jc w:val="center"/>
              <w:rPr>
                <w:sz w:val="21"/>
                <w:szCs w:val="21"/>
              </w:rPr>
            </w:pPr>
            <w:r>
              <w:rPr>
                <w:sz w:val="21"/>
                <w:szCs w:val="21"/>
              </w:rPr>
              <w:t>5</w:t>
            </w:r>
          </w:p>
        </w:tc>
        <w:tc>
          <w:tcPr>
            <w:tcW w:w="768" w:type="pct"/>
            <w:tcBorders>
              <w:top w:val="single" w:color="000000" w:sz="2" w:space="0"/>
              <w:bottom w:val="single" w:color="000000" w:sz="2" w:space="0"/>
            </w:tcBorders>
            <w:vAlign w:val="center"/>
          </w:tcPr>
          <w:p w14:paraId="075E5733">
            <w:pPr>
              <w:spacing w:line="360" w:lineRule="exact"/>
              <w:ind w:firstLine="0" w:firstLineChars="0"/>
              <w:jc w:val="center"/>
              <w:rPr>
                <w:rFonts w:cs="宋体"/>
                <w:sz w:val="21"/>
                <w:szCs w:val="21"/>
              </w:rPr>
            </w:pPr>
            <w:r>
              <w:rPr>
                <w:rFonts w:cs="宋体"/>
                <w:sz w:val="21"/>
                <w:szCs w:val="21"/>
              </w:rPr>
              <w:t>生态环境</w:t>
            </w:r>
          </w:p>
        </w:tc>
        <w:tc>
          <w:tcPr>
            <w:tcW w:w="788" w:type="pct"/>
            <w:tcBorders>
              <w:top w:val="single" w:color="000000" w:sz="2" w:space="0"/>
              <w:bottom w:val="single" w:color="000000" w:sz="2" w:space="0"/>
            </w:tcBorders>
            <w:vAlign w:val="center"/>
          </w:tcPr>
          <w:p w14:paraId="4943EA3C">
            <w:pPr>
              <w:spacing w:line="360" w:lineRule="exact"/>
              <w:ind w:firstLine="0" w:firstLineChars="0"/>
              <w:jc w:val="center"/>
              <w:rPr>
                <w:rFonts w:cs="宋体"/>
                <w:sz w:val="21"/>
                <w:szCs w:val="21"/>
              </w:rPr>
            </w:pPr>
            <w:r>
              <w:rPr>
                <w:rFonts w:cs="宋体"/>
                <w:sz w:val="21"/>
                <w:szCs w:val="21"/>
              </w:rPr>
              <w:t>三级</w:t>
            </w:r>
          </w:p>
        </w:tc>
        <w:tc>
          <w:tcPr>
            <w:tcW w:w="3017" w:type="pct"/>
            <w:tcBorders>
              <w:top w:val="single" w:color="000000" w:sz="2" w:space="0"/>
              <w:bottom w:val="single" w:color="000000" w:sz="2" w:space="0"/>
            </w:tcBorders>
            <w:vAlign w:val="center"/>
          </w:tcPr>
          <w:p w14:paraId="4D7DEE2A">
            <w:pPr>
              <w:spacing w:line="360" w:lineRule="exact"/>
              <w:ind w:firstLine="0" w:firstLineChars="0"/>
              <w:jc w:val="center"/>
              <w:rPr>
                <w:rFonts w:cs="宋体"/>
                <w:sz w:val="21"/>
                <w:szCs w:val="21"/>
              </w:rPr>
            </w:pPr>
            <w:r>
              <w:rPr>
                <w:rFonts w:cs="宋体"/>
                <w:sz w:val="21"/>
                <w:szCs w:val="21"/>
              </w:rPr>
              <w:t>厂界外</w:t>
            </w:r>
            <w:r>
              <w:rPr>
                <w:sz w:val="21"/>
                <w:szCs w:val="21"/>
              </w:rPr>
              <w:t>1km</w:t>
            </w:r>
            <w:r>
              <w:rPr>
                <w:rFonts w:cs="宋体"/>
                <w:sz w:val="21"/>
                <w:szCs w:val="21"/>
              </w:rPr>
              <w:t>范围内区域</w:t>
            </w:r>
          </w:p>
        </w:tc>
      </w:tr>
    </w:tbl>
    <w:p w14:paraId="2E4C1AE6">
      <w:pPr>
        <w:pStyle w:val="4"/>
      </w:pPr>
      <w:bookmarkStart w:id="46" w:name="_Toc89619330"/>
      <w:r>
        <w:rPr>
          <w:rFonts w:hint="eastAsia"/>
        </w:rPr>
        <w:t>2.7环境保护目标及敏感点</w:t>
      </w:r>
      <w:bookmarkEnd w:id="46"/>
    </w:p>
    <w:p w14:paraId="38B0AB6B">
      <w:pPr>
        <w:ind w:firstLine="480"/>
      </w:pPr>
      <w:bookmarkStart w:id="47" w:name="_Toc106663451"/>
      <w:r>
        <w:rPr>
          <w:rFonts w:hint="eastAsia"/>
        </w:rPr>
        <w:t>（1）环境空气</w:t>
      </w:r>
    </w:p>
    <w:p w14:paraId="6CACF4BF">
      <w:pPr>
        <w:ind w:firstLine="480"/>
      </w:pPr>
      <w:r>
        <w:rPr>
          <w:rFonts w:hint="eastAsia"/>
        </w:rPr>
        <w:t>控制本项目大气污染物达标排放，确保本项目实施后评价区域的空气质量符合《环境空气质量标准》（GB3095-2012）二级标准要求。</w:t>
      </w:r>
    </w:p>
    <w:p w14:paraId="42362B2A">
      <w:pPr>
        <w:ind w:firstLine="480"/>
      </w:pPr>
      <w:r>
        <w:rPr>
          <w:rFonts w:hint="eastAsia"/>
        </w:rPr>
        <w:t>（2）地下水环境</w:t>
      </w:r>
    </w:p>
    <w:p w14:paraId="3322B3C3">
      <w:pPr>
        <w:ind w:firstLine="480"/>
      </w:pPr>
      <w:r>
        <w:rPr>
          <w:rFonts w:hint="eastAsia"/>
        </w:rPr>
        <w:t>做好厂区地面硬化，化粪池和堆肥场做好防渗，确保项目所在区域地下水满足《地下水质量标准》（GB/T14848-2017）中的Ⅲ类标准要求。</w:t>
      </w:r>
    </w:p>
    <w:p w14:paraId="555720F2">
      <w:pPr>
        <w:ind w:firstLine="480"/>
      </w:pPr>
      <w:r>
        <w:rPr>
          <w:rFonts w:hint="eastAsia"/>
        </w:rPr>
        <w:t>（3）声环境</w:t>
      </w:r>
    </w:p>
    <w:p w14:paraId="0A97CD57">
      <w:pPr>
        <w:ind w:firstLine="480"/>
      </w:pPr>
      <w:r>
        <w:rPr>
          <w:rFonts w:hint="eastAsia"/>
        </w:rPr>
        <w:t>确保区域声环境满足《声环境质量标准》（GB3096-2008）中2类标准要求。</w:t>
      </w:r>
    </w:p>
    <w:p w14:paraId="7CAD4BE2">
      <w:pPr>
        <w:ind w:firstLine="480"/>
      </w:pPr>
      <w:r>
        <w:rPr>
          <w:rFonts w:hint="eastAsia"/>
        </w:rPr>
        <w:t>（4）生态环境</w:t>
      </w:r>
    </w:p>
    <w:p w14:paraId="1F450FAB">
      <w:pPr>
        <w:ind w:firstLine="480"/>
      </w:pPr>
      <w:r>
        <w:rPr>
          <w:rFonts w:hint="eastAsia"/>
        </w:rPr>
        <w:t>固体废物污染防治目标：确保项目所产生的固体废弃物均得到妥善处置，最大限度地减小固体废物对周围环境的影响，避免二次污染。</w:t>
      </w:r>
    </w:p>
    <w:p w14:paraId="3776E29F">
      <w:pPr>
        <w:ind w:firstLine="480"/>
      </w:pPr>
      <w:r>
        <w:rPr>
          <w:rFonts w:hint="eastAsia"/>
        </w:rPr>
        <w:t>本项目环境保护目标见表2.7-1。，</w:t>
      </w:r>
    </w:p>
    <w:p w14:paraId="66E0BCE2">
      <w:pPr>
        <w:spacing w:line="219" w:lineRule="auto"/>
        <w:ind w:firstLine="0" w:firstLineChars="0"/>
        <w:jc w:val="center"/>
        <w:rPr>
          <w:rFonts w:cstheme="majorBidi"/>
          <w:b/>
          <w:sz w:val="21"/>
        </w:rPr>
      </w:pPr>
      <w:r>
        <w:rPr>
          <w:rFonts w:hint="eastAsia" w:cstheme="majorBidi"/>
          <w:b/>
          <w:sz w:val="21"/>
        </w:rPr>
        <w:t>表2.7-1主要环境保护目标一览表</w:t>
      </w:r>
    </w:p>
    <w:tbl>
      <w:tblPr>
        <w:tblStyle w:val="183"/>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5"/>
        <w:gridCol w:w="1739"/>
        <w:gridCol w:w="1741"/>
        <w:gridCol w:w="577"/>
        <w:gridCol w:w="575"/>
        <w:gridCol w:w="801"/>
        <w:gridCol w:w="1029"/>
        <w:gridCol w:w="1275"/>
      </w:tblGrid>
      <w:tr w14:paraId="3877E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346" w:type="pct"/>
            <w:vAlign w:val="center"/>
          </w:tcPr>
          <w:p w14:paraId="56BB231C">
            <w:pPr>
              <w:spacing w:line="360" w:lineRule="exact"/>
              <w:ind w:firstLine="0" w:firstLineChars="0"/>
              <w:jc w:val="center"/>
              <w:rPr>
                <w:rFonts w:cs="宋体"/>
                <w:sz w:val="21"/>
                <w:szCs w:val="21"/>
              </w:rPr>
            </w:pPr>
            <w:r>
              <w:rPr>
                <w:rFonts w:cs="宋体"/>
                <w:sz w:val="21"/>
                <w:szCs w:val="21"/>
              </w:rPr>
              <w:t>环境要素</w:t>
            </w:r>
          </w:p>
        </w:tc>
        <w:tc>
          <w:tcPr>
            <w:tcW w:w="2093" w:type="pct"/>
            <w:gridSpan w:val="2"/>
            <w:vAlign w:val="center"/>
          </w:tcPr>
          <w:p w14:paraId="643ED06C">
            <w:pPr>
              <w:spacing w:line="360" w:lineRule="exact"/>
              <w:ind w:firstLine="0" w:firstLineChars="0"/>
              <w:jc w:val="center"/>
              <w:rPr>
                <w:sz w:val="21"/>
                <w:szCs w:val="21"/>
              </w:rPr>
            </w:pPr>
            <w:r>
              <w:rPr>
                <w:rFonts w:cs="宋体"/>
                <w:sz w:val="21"/>
                <w:szCs w:val="21"/>
              </w:rPr>
              <w:t>坐标</w:t>
            </w:r>
            <w:r>
              <w:rPr>
                <w:sz w:val="21"/>
                <w:szCs w:val="21"/>
              </w:rPr>
              <w:t>/m</w:t>
            </w:r>
          </w:p>
        </w:tc>
        <w:tc>
          <w:tcPr>
            <w:tcW w:w="346" w:type="pct"/>
            <w:vMerge w:val="restart"/>
            <w:tcBorders>
              <w:bottom w:val="nil"/>
            </w:tcBorders>
            <w:vAlign w:val="center"/>
          </w:tcPr>
          <w:p w14:paraId="58CEA49C">
            <w:pPr>
              <w:spacing w:line="360" w:lineRule="exact"/>
              <w:ind w:firstLine="0" w:firstLineChars="0"/>
              <w:jc w:val="center"/>
              <w:rPr>
                <w:rFonts w:cs="宋体"/>
                <w:sz w:val="21"/>
                <w:szCs w:val="21"/>
              </w:rPr>
            </w:pPr>
            <w:r>
              <w:rPr>
                <w:rFonts w:cs="宋体"/>
                <w:sz w:val="21"/>
                <w:szCs w:val="21"/>
              </w:rPr>
              <w:t>保护对象</w:t>
            </w:r>
          </w:p>
        </w:tc>
        <w:tc>
          <w:tcPr>
            <w:tcW w:w="346" w:type="pct"/>
            <w:vMerge w:val="restart"/>
            <w:tcBorders>
              <w:bottom w:val="nil"/>
            </w:tcBorders>
            <w:vAlign w:val="center"/>
          </w:tcPr>
          <w:p w14:paraId="0A8DEBA9">
            <w:pPr>
              <w:spacing w:line="360" w:lineRule="exact"/>
              <w:ind w:firstLine="0" w:firstLineChars="0"/>
              <w:jc w:val="center"/>
              <w:rPr>
                <w:rFonts w:cs="宋体"/>
                <w:sz w:val="21"/>
                <w:szCs w:val="21"/>
              </w:rPr>
            </w:pPr>
            <w:r>
              <w:rPr>
                <w:rFonts w:cs="宋体"/>
                <w:sz w:val="21"/>
                <w:szCs w:val="21"/>
              </w:rPr>
              <w:t>保护内容</w:t>
            </w:r>
          </w:p>
        </w:tc>
        <w:tc>
          <w:tcPr>
            <w:tcW w:w="482" w:type="pct"/>
            <w:vMerge w:val="restart"/>
            <w:tcBorders>
              <w:bottom w:val="nil"/>
            </w:tcBorders>
            <w:vAlign w:val="center"/>
          </w:tcPr>
          <w:p w14:paraId="019676F5">
            <w:pPr>
              <w:spacing w:line="360" w:lineRule="exact"/>
              <w:ind w:firstLine="0" w:firstLineChars="0"/>
              <w:jc w:val="center"/>
              <w:rPr>
                <w:rFonts w:cs="宋体"/>
                <w:sz w:val="21"/>
                <w:szCs w:val="21"/>
              </w:rPr>
            </w:pPr>
            <w:r>
              <w:rPr>
                <w:rFonts w:cs="宋体"/>
                <w:sz w:val="21"/>
                <w:szCs w:val="21"/>
              </w:rPr>
              <w:t>环境功能区</w:t>
            </w:r>
          </w:p>
        </w:tc>
        <w:tc>
          <w:tcPr>
            <w:tcW w:w="619" w:type="pct"/>
            <w:vMerge w:val="restart"/>
            <w:tcBorders>
              <w:bottom w:val="nil"/>
            </w:tcBorders>
            <w:vAlign w:val="center"/>
          </w:tcPr>
          <w:p w14:paraId="045E5034">
            <w:pPr>
              <w:spacing w:line="360" w:lineRule="exact"/>
              <w:ind w:firstLine="0" w:firstLineChars="0"/>
              <w:jc w:val="center"/>
              <w:rPr>
                <w:rFonts w:cs="宋体"/>
                <w:sz w:val="21"/>
                <w:szCs w:val="21"/>
              </w:rPr>
            </w:pPr>
            <w:r>
              <w:rPr>
                <w:rFonts w:cs="宋体"/>
                <w:sz w:val="21"/>
                <w:szCs w:val="21"/>
              </w:rPr>
              <w:t>相对厂址方位</w:t>
            </w:r>
          </w:p>
        </w:tc>
        <w:tc>
          <w:tcPr>
            <w:tcW w:w="764" w:type="pct"/>
            <w:vMerge w:val="restart"/>
            <w:tcBorders>
              <w:bottom w:val="nil"/>
            </w:tcBorders>
            <w:vAlign w:val="center"/>
          </w:tcPr>
          <w:p w14:paraId="31377B0A">
            <w:pPr>
              <w:spacing w:line="360" w:lineRule="exact"/>
              <w:ind w:firstLine="0" w:firstLineChars="0"/>
              <w:jc w:val="center"/>
              <w:rPr>
                <w:sz w:val="21"/>
                <w:szCs w:val="21"/>
              </w:rPr>
            </w:pPr>
            <w:r>
              <w:rPr>
                <w:rFonts w:cs="宋体"/>
                <w:sz w:val="21"/>
                <w:szCs w:val="21"/>
              </w:rPr>
              <w:t>相对厂界距离</w:t>
            </w:r>
            <w:r>
              <w:rPr>
                <w:sz w:val="21"/>
                <w:szCs w:val="21"/>
              </w:rPr>
              <w:t>/m</w:t>
            </w:r>
          </w:p>
        </w:tc>
      </w:tr>
      <w:tr w14:paraId="2251A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46" w:type="pct"/>
            <w:vMerge w:val="restart"/>
            <w:tcBorders>
              <w:bottom w:val="nil"/>
            </w:tcBorders>
            <w:vAlign w:val="center"/>
          </w:tcPr>
          <w:p w14:paraId="6B731107">
            <w:pPr>
              <w:spacing w:line="360" w:lineRule="exact"/>
              <w:ind w:firstLine="0" w:firstLineChars="0"/>
              <w:jc w:val="center"/>
              <w:rPr>
                <w:rFonts w:cs="宋体"/>
                <w:sz w:val="21"/>
                <w:szCs w:val="21"/>
              </w:rPr>
            </w:pPr>
            <w:r>
              <w:rPr>
                <w:rFonts w:cs="宋体"/>
                <w:sz w:val="21"/>
                <w:szCs w:val="21"/>
              </w:rPr>
              <w:t>环境空气</w:t>
            </w:r>
          </w:p>
        </w:tc>
        <w:tc>
          <w:tcPr>
            <w:tcW w:w="1046" w:type="pct"/>
            <w:vAlign w:val="center"/>
          </w:tcPr>
          <w:p w14:paraId="38612CC9">
            <w:pPr>
              <w:spacing w:line="360" w:lineRule="exact"/>
              <w:ind w:firstLine="0" w:firstLineChars="0"/>
              <w:jc w:val="center"/>
              <w:rPr>
                <w:sz w:val="21"/>
                <w:szCs w:val="21"/>
              </w:rPr>
            </w:pPr>
            <w:r>
              <w:rPr>
                <w:rFonts w:hint="eastAsia"/>
                <w:sz w:val="21"/>
                <w:szCs w:val="21"/>
              </w:rPr>
              <w:t>东经</w:t>
            </w:r>
          </w:p>
        </w:tc>
        <w:tc>
          <w:tcPr>
            <w:tcW w:w="1046" w:type="pct"/>
            <w:vAlign w:val="center"/>
          </w:tcPr>
          <w:p w14:paraId="02FFDC96">
            <w:pPr>
              <w:spacing w:line="360" w:lineRule="exact"/>
              <w:ind w:firstLine="0" w:firstLineChars="0"/>
              <w:jc w:val="center"/>
              <w:rPr>
                <w:sz w:val="21"/>
                <w:szCs w:val="21"/>
              </w:rPr>
            </w:pPr>
            <w:r>
              <w:rPr>
                <w:rFonts w:hint="eastAsia"/>
                <w:sz w:val="21"/>
                <w:szCs w:val="21"/>
              </w:rPr>
              <w:t>北纬</w:t>
            </w:r>
          </w:p>
        </w:tc>
        <w:tc>
          <w:tcPr>
            <w:tcW w:w="346" w:type="pct"/>
            <w:vMerge w:val="continue"/>
            <w:tcBorders>
              <w:top w:val="nil"/>
            </w:tcBorders>
            <w:vAlign w:val="center"/>
          </w:tcPr>
          <w:p w14:paraId="2CBE177F">
            <w:pPr>
              <w:spacing w:line="360" w:lineRule="exact"/>
              <w:ind w:firstLine="0" w:firstLineChars="0"/>
              <w:jc w:val="center"/>
              <w:rPr>
                <w:sz w:val="21"/>
              </w:rPr>
            </w:pPr>
          </w:p>
        </w:tc>
        <w:tc>
          <w:tcPr>
            <w:tcW w:w="346" w:type="pct"/>
            <w:vMerge w:val="continue"/>
            <w:tcBorders>
              <w:top w:val="nil"/>
            </w:tcBorders>
            <w:vAlign w:val="center"/>
          </w:tcPr>
          <w:p w14:paraId="1398350A">
            <w:pPr>
              <w:spacing w:line="360" w:lineRule="exact"/>
              <w:ind w:firstLine="0" w:firstLineChars="0"/>
              <w:jc w:val="center"/>
              <w:rPr>
                <w:sz w:val="21"/>
              </w:rPr>
            </w:pPr>
          </w:p>
        </w:tc>
        <w:tc>
          <w:tcPr>
            <w:tcW w:w="482" w:type="pct"/>
            <w:vMerge w:val="continue"/>
            <w:tcBorders>
              <w:top w:val="nil"/>
            </w:tcBorders>
            <w:vAlign w:val="center"/>
          </w:tcPr>
          <w:p w14:paraId="51377934">
            <w:pPr>
              <w:spacing w:line="360" w:lineRule="exact"/>
              <w:ind w:firstLine="0" w:firstLineChars="0"/>
              <w:jc w:val="center"/>
              <w:rPr>
                <w:sz w:val="21"/>
              </w:rPr>
            </w:pPr>
          </w:p>
        </w:tc>
        <w:tc>
          <w:tcPr>
            <w:tcW w:w="619" w:type="pct"/>
            <w:vMerge w:val="continue"/>
            <w:tcBorders>
              <w:top w:val="nil"/>
            </w:tcBorders>
            <w:vAlign w:val="center"/>
          </w:tcPr>
          <w:p w14:paraId="58319F0C">
            <w:pPr>
              <w:spacing w:line="360" w:lineRule="exact"/>
              <w:ind w:firstLine="0" w:firstLineChars="0"/>
              <w:jc w:val="center"/>
              <w:rPr>
                <w:sz w:val="21"/>
              </w:rPr>
            </w:pPr>
          </w:p>
        </w:tc>
        <w:tc>
          <w:tcPr>
            <w:tcW w:w="764" w:type="pct"/>
            <w:vMerge w:val="continue"/>
            <w:tcBorders>
              <w:top w:val="nil"/>
            </w:tcBorders>
            <w:vAlign w:val="center"/>
          </w:tcPr>
          <w:p w14:paraId="02AF836D">
            <w:pPr>
              <w:spacing w:line="360" w:lineRule="exact"/>
              <w:ind w:firstLine="0" w:firstLineChars="0"/>
              <w:jc w:val="center"/>
              <w:rPr>
                <w:sz w:val="21"/>
              </w:rPr>
            </w:pPr>
          </w:p>
        </w:tc>
      </w:tr>
      <w:tr w14:paraId="45405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46" w:type="pct"/>
            <w:vMerge w:val="continue"/>
            <w:tcBorders>
              <w:top w:val="nil"/>
            </w:tcBorders>
            <w:vAlign w:val="center"/>
          </w:tcPr>
          <w:p w14:paraId="328A92A7">
            <w:pPr>
              <w:spacing w:line="360" w:lineRule="exact"/>
              <w:ind w:firstLine="0" w:firstLineChars="0"/>
              <w:jc w:val="center"/>
              <w:rPr>
                <w:sz w:val="21"/>
              </w:rPr>
            </w:pPr>
          </w:p>
        </w:tc>
        <w:tc>
          <w:tcPr>
            <w:tcW w:w="1046" w:type="pct"/>
            <w:vAlign w:val="center"/>
          </w:tcPr>
          <w:p w14:paraId="0928DF92">
            <w:pPr>
              <w:spacing w:line="360" w:lineRule="exact"/>
              <w:ind w:firstLine="0" w:firstLineChars="0"/>
              <w:jc w:val="center"/>
              <w:rPr>
                <w:sz w:val="21"/>
                <w:szCs w:val="21"/>
              </w:rPr>
            </w:pPr>
            <w:r>
              <w:rPr>
                <w:rFonts w:hint="eastAsia"/>
                <w:sz w:val="21"/>
                <w:szCs w:val="21"/>
              </w:rPr>
              <w:t>90°7′51.37215″</w:t>
            </w:r>
          </w:p>
        </w:tc>
        <w:tc>
          <w:tcPr>
            <w:tcW w:w="1046" w:type="pct"/>
            <w:vAlign w:val="center"/>
          </w:tcPr>
          <w:p w14:paraId="0015A1C9">
            <w:pPr>
              <w:spacing w:line="360" w:lineRule="exact"/>
              <w:ind w:firstLine="0" w:firstLineChars="0"/>
              <w:jc w:val="center"/>
              <w:rPr>
                <w:sz w:val="21"/>
                <w:szCs w:val="21"/>
              </w:rPr>
            </w:pPr>
            <w:r>
              <w:rPr>
                <w:rFonts w:hint="eastAsia"/>
                <w:sz w:val="21"/>
                <w:szCs w:val="21"/>
              </w:rPr>
              <w:t>44°9′50.67550″</w:t>
            </w:r>
          </w:p>
        </w:tc>
        <w:tc>
          <w:tcPr>
            <w:tcW w:w="346" w:type="pct"/>
            <w:vAlign w:val="center"/>
          </w:tcPr>
          <w:p w14:paraId="58EC42E8">
            <w:pPr>
              <w:spacing w:line="360" w:lineRule="exact"/>
              <w:ind w:firstLine="0" w:firstLineChars="0"/>
              <w:jc w:val="center"/>
              <w:rPr>
                <w:rFonts w:cs="宋体"/>
                <w:sz w:val="21"/>
                <w:szCs w:val="21"/>
              </w:rPr>
            </w:pPr>
            <w:r>
              <w:rPr>
                <w:rFonts w:hint="eastAsia" w:cs="宋体"/>
                <w:sz w:val="21"/>
                <w:szCs w:val="21"/>
              </w:rPr>
              <w:t>正格勒得村</w:t>
            </w:r>
          </w:p>
        </w:tc>
        <w:tc>
          <w:tcPr>
            <w:tcW w:w="346" w:type="pct"/>
            <w:vAlign w:val="center"/>
          </w:tcPr>
          <w:p w14:paraId="7ACFA289">
            <w:pPr>
              <w:spacing w:line="360" w:lineRule="exact"/>
              <w:ind w:firstLine="0" w:firstLineChars="0"/>
              <w:jc w:val="center"/>
              <w:rPr>
                <w:rFonts w:cs="宋体"/>
                <w:sz w:val="21"/>
                <w:szCs w:val="21"/>
              </w:rPr>
            </w:pPr>
            <w:r>
              <w:rPr>
                <w:rFonts w:cs="宋体"/>
                <w:sz w:val="21"/>
                <w:szCs w:val="21"/>
              </w:rPr>
              <w:t>人群健康</w:t>
            </w:r>
          </w:p>
        </w:tc>
        <w:tc>
          <w:tcPr>
            <w:tcW w:w="482" w:type="pct"/>
            <w:vAlign w:val="center"/>
          </w:tcPr>
          <w:p w14:paraId="0A9B4A99">
            <w:pPr>
              <w:spacing w:line="360" w:lineRule="exact"/>
              <w:ind w:firstLine="0" w:firstLineChars="0"/>
              <w:jc w:val="center"/>
              <w:rPr>
                <w:rFonts w:cs="宋体"/>
                <w:sz w:val="21"/>
                <w:szCs w:val="21"/>
              </w:rPr>
            </w:pPr>
            <w:r>
              <w:rPr>
                <w:rFonts w:cs="宋体"/>
                <w:sz w:val="21"/>
                <w:szCs w:val="21"/>
              </w:rPr>
              <w:t>二类区</w:t>
            </w:r>
          </w:p>
        </w:tc>
        <w:tc>
          <w:tcPr>
            <w:tcW w:w="619" w:type="pct"/>
            <w:vAlign w:val="center"/>
          </w:tcPr>
          <w:p w14:paraId="0289878F">
            <w:pPr>
              <w:spacing w:line="360" w:lineRule="exact"/>
              <w:ind w:firstLine="0" w:firstLineChars="0"/>
              <w:jc w:val="center"/>
              <w:rPr>
                <w:sz w:val="21"/>
                <w:szCs w:val="21"/>
              </w:rPr>
            </w:pPr>
            <w:r>
              <w:rPr>
                <w:rFonts w:hint="eastAsia"/>
                <w:sz w:val="21"/>
                <w:szCs w:val="21"/>
              </w:rPr>
              <w:t>东</w:t>
            </w:r>
          </w:p>
        </w:tc>
        <w:tc>
          <w:tcPr>
            <w:tcW w:w="764" w:type="pct"/>
            <w:vAlign w:val="center"/>
          </w:tcPr>
          <w:p w14:paraId="7122205C">
            <w:pPr>
              <w:spacing w:line="360" w:lineRule="exact"/>
              <w:ind w:firstLine="0" w:firstLineChars="0"/>
              <w:jc w:val="center"/>
              <w:rPr>
                <w:sz w:val="21"/>
                <w:szCs w:val="21"/>
              </w:rPr>
            </w:pPr>
            <w:r>
              <w:rPr>
                <w:rFonts w:hint="eastAsia"/>
                <w:sz w:val="21"/>
                <w:szCs w:val="21"/>
              </w:rPr>
              <w:t>1400</w:t>
            </w:r>
          </w:p>
        </w:tc>
      </w:tr>
      <w:tr w14:paraId="76B9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346" w:type="pct"/>
            <w:vAlign w:val="center"/>
          </w:tcPr>
          <w:p w14:paraId="50806610">
            <w:pPr>
              <w:spacing w:line="360" w:lineRule="exact"/>
              <w:ind w:firstLine="0" w:firstLineChars="0"/>
              <w:jc w:val="center"/>
              <w:rPr>
                <w:rFonts w:cs="宋体"/>
                <w:sz w:val="21"/>
                <w:szCs w:val="21"/>
              </w:rPr>
            </w:pPr>
            <w:r>
              <w:rPr>
                <w:rFonts w:cs="宋体"/>
                <w:sz w:val="21"/>
                <w:szCs w:val="21"/>
              </w:rPr>
              <w:t>声环境</w:t>
            </w:r>
          </w:p>
        </w:tc>
        <w:tc>
          <w:tcPr>
            <w:tcW w:w="2440" w:type="pct"/>
            <w:gridSpan w:val="3"/>
            <w:vAlign w:val="center"/>
          </w:tcPr>
          <w:p w14:paraId="68D84961">
            <w:pPr>
              <w:spacing w:line="360" w:lineRule="exact"/>
              <w:ind w:firstLine="0" w:firstLineChars="0"/>
              <w:jc w:val="center"/>
              <w:rPr>
                <w:rFonts w:cs="宋体"/>
                <w:sz w:val="21"/>
                <w:szCs w:val="21"/>
              </w:rPr>
            </w:pPr>
            <w:r>
              <w:rPr>
                <w:rFonts w:cs="宋体"/>
                <w:sz w:val="21"/>
                <w:szCs w:val="21"/>
              </w:rPr>
              <w:t>厂址区域及周围声环境</w:t>
            </w:r>
          </w:p>
        </w:tc>
        <w:tc>
          <w:tcPr>
            <w:tcW w:w="346" w:type="pct"/>
            <w:vAlign w:val="center"/>
          </w:tcPr>
          <w:p w14:paraId="4C83F8B6">
            <w:pPr>
              <w:spacing w:line="360" w:lineRule="exact"/>
              <w:ind w:firstLine="0" w:firstLineChars="0"/>
              <w:jc w:val="center"/>
              <w:rPr>
                <w:rFonts w:cs="宋体"/>
                <w:sz w:val="21"/>
                <w:szCs w:val="21"/>
              </w:rPr>
            </w:pPr>
            <w:r>
              <w:rPr>
                <w:rFonts w:cs="宋体"/>
                <w:sz w:val="21"/>
                <w:szCs w:val="21"/>
              </w:rPr>
              <w:t>声环境</w:t>
            </w:r>
          </w:p>
        </w:tc>
        <w:tc>
          <w:tcPr>
            <w:tcW w:w="482" w:type="pct"/>
            <w:vAlign w:val="center"/>
          </w:tcPr>
          <w:p w14:paraId="7DE93C39">
            <w:pPr>
              <w:spacing w:line="360" w:lineRule="exact"/>
              <w:ind w:firstLine="0" w:firstLineChars="0"/>
              <w:jc w:val="center"/>
              <w:rPr>
                <w:rFonts w:cs="宋体"/>
                <w:sz w:val="21"/>
                <w:szCs w:val="21"/>
              </w:rPr>
            </w:pPr>
            <w:r>
              <w:rPr>
                <w:rFonts w:cs="宋体"/>
                <w:sz w:val="21"/>
                <w:szCs w:val="21"/>
              </w:rPr>
              <w:t>二类区</w:t>
            </w:r>
          </w:p>
        </w:tc>
        <w:tc>
          <w:tcPr>
            <w:tcW w:w="1383" w:type="pct"/>
            <w:gridSpan w:val="2"/>
            <w:vAlign w:val="center"/>
          </w:tcPr>
          <w:p w14:paraId="77B85C4D">
            <w:pPr>
              <w:spacing w:line="360" w:lineRule="exact"/>
              <w:ind w:firstLine="0" w:firstLineChars="0"/>
              <w:jc w:val="center"/>
              <w:rPr>
                <w:sz w:val="21"/>
                <w:szCs w:val="21"/>
              </w:rPr>
            </w:pPr>
            <w:r>
              <w:rPr>
                <w:sz w:val="21"/>
                <w:szCs w:val="21"/>
              </w:rPr>
              <w:t>/</w:t>
            </w:r>
          </w:p>
        </w:tc>
      </w:tr>
      <w:tr w14:paraId="232BE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346" w:type="pct"/>
            <w:vAlign w:val="center"/>
          </w:tcPr>
          <w:p w14:paraId="566276E3">
            <w:pPr>
              <w:spacing w:line="360" w:lineRule="exact"/>
              <w:ind w:firstLine="0" w:firstLineChars="0"/>
              <w:jc w:val="center"/>
              <w:rPr>
                <w:rFonts w:cs="宋体"/>
                <w:sz w:val="21"/>
                <w:szCs w:val="21"/>
              </w:rPr>
            </w:pPr>
            <w:r>
              <w:rPr>
                <w:rFonts w:cs="宋体"/>
                <w:sz w:val="21"/>
                <w:szCs w:val="21"/>
              </w:rPr>
              <w:t>地下水</w:t>
            </w:r>
          </w:p>
        </w:tc>
        <w:tc>
          <w:tcPr>
            <w:tcW w:w="2440" w:type="pct"/>
            <w:gridSpan w:val="3"/>
            <w:vAlign w:val="center"/>
          </w:tcPr>
          <w:p w14:paraId="1A77CE97">
            <w:pPr>
              <w:spacing w:line="360" w:lineRule="exact"/>
              <w:ind w:firstLine="0" w:firstLineChars="0"/>
              <w:jc w:val="center"/>
              <w:rPr>
                <w:rFonts w:cs="宋体"/>
                <w:sz w:val="21"/>
                <w:szCs w:val="21"/>
              </w:rPr>
            </w:pPr>
            <w:r>
              <w:rPr>
                <w:rFonts w:cs="宋体"/>
                <w:sz w:val="21"/>
                <w:szCs w:val="21"/>
              </w:rPr>
              <w:t>厂址区域及附近地下水</w:t>
            </w:r>
          </w:p>
        </w:tc>
        <w:tc>
          <w:tcPr>
            <w:tcW w:w="2213" w:type="pct"/>
            <w:gridSpan w:val="4"/>
            <w:vAlign w:val="center"/>
          </w:tcPr>
          <w:p w14:paraId="013D2E75">
            <w:pPr>
              <w:spacing w:line="360" w:lineRule="exact"/>
              <w:ind w:firstLine="0" w:firstLineChars="0"/>
              <w:jc w:val="center"/>
              <w:rPr>
                <w:rFonts w:cs="宋体"/>
                <w:sz w:val="21"/>
                <w:szCs w:val="21"/>
              </w:rPr>
            </w:pPr>
            <w:r>
              <w:rPr>
                <w:rFonts w:cs="宋体"/>
                <w:sz w:val="21"/>
                <w:szCs w:val="21"/>
              </w:rPr>
              <w:t>地下水质</w:t>
            </w:r>
          </w:p>
        </w:tc>
      </w:tr>
      <w:tr w14:paraId="1A34C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346" w:type="pct"/>
            <w:vAlign w:val="center"/>
          </w:tcPr>
          <w:p w14:paraId="66A74A99">
            <w:pPr>
              <w:spacing w:line="360" w:lineRule="exact"/>
              <w:ind w:firstLine="0" w:firstLineChars="0"/>
              <w:jc w:val="center"/>
              <w:rPr>
                <w:rFonts w:cs="宋体"/>
                <w:sz w:val="21"/>
                <w:szCs w:val="21"/>
              </w:rPr>
            </w:pPr>
            <w:r>
              <w:rPr>
                <w:rFonts w:cs="宋体"/>
                <w:sz w:val="21"/>
                <w:szCs w:val="21"/>
              </w:rPr>
              <w:t>生态</w:t>
            </w:r>
          </w:p>
          <w:p w14:paraId="3AE5BDEA">
            <w:pPr>
              <w:spacing w:line="360" w:lineRule="exact"/>
              <w:ind w:firstLine="0" w:firstLineChars="0"/>
              <w:jc w:val="center"/>
              <w:rPr>
                <w:rFonts w:cs="宋体"/>
                <w:sz w:val="21"/>
                <w:szCs w:val="21"/>
              </w:rPr>
            </w:pPr>
            <w:r>
              <w:rPr>
                <w:rFonts w:cs="宋体"/>
                <w:sz w:val="21"/>
                <w:szCs w:val="21"/>
              </w:rPr>
              <w:t>环境</w:t>
            </w:r>
          </w:p>
        </w:tc>
        <w:tc>
          <w:tcPr>
            <w:tcW w:w="2440" w:type="pct"/>
            <w:gridSpan w:val="3"/>
            <w:vAlign w:val="center"/>
          </w:tcPr>
          <w:p w14:paraId="1AB39293">
            <w:pPr>
              <w:spacing w:line="360" w:lineRule="exact"/>
              <w:ind w:firstLine="0" w:firstLineChars="0"/>
              <w:jc w:val="center"/>
              <w:rPr>
                <w:rFonts w:cs="宋体"/>
                <w:sz w:val="21"/>
                <w:szCs w:val="21"/>
              </w:rPr>
            </w:pPr>
            <w:r>
              <w:rPr>
                <w:rFonts w:cs="宋体"/>
                <w:sz w:val="21"/>
                <w:szCs w:val="21"/>
              </w:rPr>
              <w:t>厂址区域</w:t>
            </w:r>
          </w:p>
        </w:tc>
        <w:tc>
          <w:tcPr>
            <w:tcW w:w="2213" w:type="pct"/>
            <w:gridSpan w:val="4"/>
            <w:vAlign w:val="center"/>
          </w:tcPr>
          <w:p w14:paraId="760ADFB3">
            <w:pPr>
              <w:spacing w:line="360" w:lineRule="exact"/>
              <w:ind w:firstLine="0" w:firstLineChars="0"/>
              <w:jc w:val="center"/>
              <w:rPr>
                <w:rFonts w:cs="宋体"/>
                <w:sz w:val="21"/>
                <w:szCs w:val="21"/>
              </w:rPr>
            </w:pPr>
            <w:r>
              <w:rPr>
                <w:rFonts w:cs="宋体"/>
                <w:sz w:val="21"/>
                <w:szCs w:val="21"/>
              </w:rPr>
              <w:t>保护区域生态环境</w:t>
            </w:r>
          </w:p>
        </w:tc>
      </w:tr>
      <w:bookmarkEnd w:id="47"/>
    </w:tbl>
    <w:p w14:paraId="76FA5363">
      <w:pPr>
        <w:pStyle w:val="4"/>
      </w:pPr>
      <w:bookmarkStart w:id="48" w:name="_Toc89619331"/>
      <w:r>
        <w:rPr>
          <w:rFonts w:hint="eastAsia"/>
        </w:rPr>
        <w:t>2.9选址合理性分析</w:t>
      </w:r>
      <w:bookmarkEnd w:id="48"/>
    </w:p>
    <w:p w14:paraId="7C5E0495">
      <w:pPr>
        <w:pStyle w:val="5"/>
      </w:pPr>
      <w:bookmarkStart w:id="49" w:name="_Toc106663453"/>
      <w:r>
        <w:rPr>
          <w:rFonts w:hint="eastAsia"/>
        </w:rPr>
        <w:t>2.9.1选址合理性</w:t>
      </w:r>
      <w:bookmarkEnd w:id="49"/>
    </w:p>
    <w:p w14:paraId="3DE2BFA4">
      <w:pPr>
        <w:ind w:firstLine="480"/>
      </w:pPr>
      <w:r>
        <w:rPr>
          <w:rFonts w:hint="eastAsia"/>
        </w:rPr>
        <w:t>本项目建设位于木垒县雀仁乡西北侧3.9km处，项目四周均为农田，用地类型为设施农用地。经分析，项目选址符合《畜禽养殖业污染防治技术规范》（HJ/T81-2001）、《动物防疫条件审查办法》（农业部令2010年第7号）、《畜禽养殖业污染治理工程技术规范》（HJ497-2009）和《畜禽养殖禁养区划定技术指南》等规范文件对畜禽养殖场的选址要求。因此，本项目选址合理可行。</w:t>
      </w:r>
    </w:p>
    <w:p w14:paraId="3EDEC5A1">
      <w:pPr>
        <w:pStyle w:val="5"/>
      </w:pPr>
      <w:bookmarkStart w:id="50" w:name="_Toc106663454"/>
      <w:r>
        <w:rPr>
          <w:rFonts w:hint="eastAsia"/>
        </w:rPr>
        <w:t>2.9.2环境容量</w:t>
      </w:r>
      <w:bookmarkEnd w:id="50"/>
    </w:p>
    <w:p w14:paraId="03507D2B">
      <w:pPr>
        <w:ind w:firstLine="480"/>
      </w:pPr>
      <w:r>
        <w:rPr>
          <w:rFonts w:hint="eastAsia"/>
        </w:rPr>
        <w:t>项目区域SO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、CO和O</w:t>
      </w:r>
      <w:r>
        <w:rPr>
          <w:rFonts w:hint="eastAsia"/>
          <w:vertAlign w:val="subscript"/>
        </w:rPr>
        <w:t>3</w:t>
      </w:r>
      <w:r>
        <w:rPr>
          <w:rFonts w:hint="eastAsia"/>
        </w:rPr>
        <w:t>等基本污染物浓度满足《环境空气质量标准》（GB3095-2012）二级浓度限值，NH</w:t>
      </w:r>
      <w:r>
        <w:rPr>
          <w:rFonts w:hint="eastAsia"/>
          <w:vertAlign w:val="subscript"/>
        </w:rPr>
        <w:t>3</w:t>
      </w:r>
      <w:r>
        <w:rPr>
          <w:rFonts w:hint="eastAsia"/>
        </w:rPr>
        <w:t>和H</w:t>
      </w:r>
      <w:r>
        <w:rPr>
          <w:rFonts w:hint="eastAsia"/>
          <w:vertAlign w:val="subscript"/>
        </w:rPr>
        <w:t>2</w:t>
      </w:r>
      <w:r>
        <w:rPr>
          <w:rFonts w:hint="eastAsia"/>
        </w:rPr>
        <w:t>S满足《畜禽养殖产地环境评价规范》（HJ568-2010）中的参考限值；区域内地下水体均满足水环境功能区划要求，评价指标均符合评价标准中的Ⅲ类标准，尚有一定环境容量；评价区声环境质量现状满足《声环境质量标准》（GB3096-2008）中的2类标准，且厂区周围无声环境敏感目标。</w:t>
      </w:r>
    </w:p>
    <w:p w14:paraId="41DE9FA1">
      <w:pPr>
        <w:ind w:firstLine="480"/>
      </w:pPr>
      <w:r>
        <w:rPr>
          <w:rFonts w:hint="eastAsia"/>
        </w:rPr>
        <w:t>本项目区域水、气、声环境质量现状良好，尚有一定的环境容量，运营后污染物达标排放，对区域环境影响不大，区域环境仍可保持现有功能水平。因此，项目选址从环境容量角度分析是可行的。</w:t>
      </w:r>
    </w:p>
    <w:p w14:paraId="149EC87F">
      <w:pPr>
        <w:pStyle w:val="5"/>
      </w:pPr>
      <w:bookmarkStart w:id="51" w:name="_Toc106663455"/>
      <w:r>
        <w:rPr>
          <w:rFonts w:hint="eastAsia"/>
        </w:rPr>
        <w:t>2.9.3区域主导风向及防护距离</w:t>
      </w:r>
      <w:bookmarkEnd w:id="51"/>
    </w:p>
    <w:p w14:paraId="2A7E74EC">
      <w:pPr>
        <w:ind w:firstLine="480"/>
      </w:pPr>
      <w:r>
        <w:rPr>
          <w:rFonts w:hint="eastAsia"/>
        </w:rPr>
        <w:t>木垒县主导风向为南风、偶尔出现西风或西北风，本项目位于昌吉木垒县雀仁乡正格勒得村，生活区位于项目区西侧，堆肥场位于项目区东侧，项目运营过程中产生的废气对生活区的影响不大。</w:t>
      </w:r>
    </w:p>
    <w:p w14:paraId="505851D5">
      <w:pPr>
        <w:ind w:firstLine="480"/>
      </w:pPr>
      <w:r>
        <w:rPr>
          <w:rFonts w:hint="eastAsia"/>
        </w:rPr>
        <w:t>根据估算结果可知厂界外大气污染物短期贡献浓度不超过环境质量浓度限值。项目区内均无居民区、学校、医院等环境敏感区。与最近的居民区直线距离约1.5km。为了降低项目区大气污染物排放对周围敏感目标的影响，环评要求在项目区周围设置500m限制区，并做出如下要求：严格控制人口导入，不再批准建设新的居住项目，限制区内已规划但尚未动工的项目应停止建设。不再批准建设新的集中居住区、医院、学校等敏感目标。</w:t>
      </w:r>
    </w:p>
    <w:p w14:paraId="674838E2">
      <w:pPr>
        <w:pStyle w:val="5"/>
      </w:pPr>
      <w:bookmarkStart w:id="52" w:name="_Toc106663456"/>
      <w:r>
        <w:rPr>
          <w:rFonts w:hint="eastAsia"/>
        </w:rPr>
        <w:t>2.9.4环境敏感性分析</w:t>
      </w:r>
      <w:bookmarkEnd w:id="52"/>
    </w:p>
    <w:p w14:paraId="58BB3481">
      <w:pPr>
        <w:ind w:firstLine="480"/>
      </w:pPr>
      <w:r>
        <w:rPr>
          <w:rFonts w:hint="eastAsia"/>
        </w:rPr>
        <w:t>从环境敏感性看，评价区无国家及省级确定的风景名胜、历史遗迹等保护区；无饮用水水源保护区；厂区内无特殊自然观赏价值较高的景观，也不属于土地荒漠化地区；项目区周围无居民区，学校等敏感点。</w:t>
      </w:r>
    </w:p>
    <w:p w14:paraId="20DA231D">
      <w:pPr>
        <w:ind w:firstLine="480"/>
      </w:pPr>
      <w:r>
        <w:rPr>
          <w:rFonts w:hint="eastAsia"/>
        </w:rPr>
        <w:t>综上所述，按照《建设项目环境影响评价分类管理名录》（2021年版）中关于环境敏感因素的界定原则，经调查本项目选址地区不属于特殊保护地区、社会关注区和特殊地貌景观区，也无重点保护生态品种及濒危生物物种，文物古迹等，区域环境敏感因素较少。</w:t>
      </w:r>
    </w:p>
    <w:p w14:paraId="6B81D8BD">
      <w:pPr>
        <w:pStyle w:val="5"/>
      </w:pPr>
      <w:bookmarkStart w:id="53" w:name="_Toc106663457"/>
      <w:r>
        <w:rPr>
          <w:rFonts w:hint="eastAsia"/>
        </w:rPr>
        <w:t>2.9.5小结</w:t>
      </w:r>
      <w:bookmarkEnd w:id="53"/>
    </w:p>
    <w:p w14:paraId="6F64B641">
      <w:pPr>
        <w:ind w:firstLine="480"/>
      </w:pPr>
      <w:r>
        <w:rPr>
          <w:rFonts w:hint="eastAsia"/>
        </w:rPr>
        <w:t>项目厂址位于昌吉木垒县雀仁乡正格勒得村，用地性质为设施农业用地。项目厂址未选择在环境敏感区域，厂址附近无国家公园、自然保护区、风景名胜区和自然保护区等需要特殊保护的区域。</w:t>
      </w:r>
    </w:p>
    <w:p w14:paraId="05B0D587">
      <w:pPr>
        <w:ind w:firstLine="480"/>
      </w:pPr>
      <w:r>
        <w:rPr>
          <w:rFonts w:hint="eastAsia"/>
        </w:rPr>
        <w:t>本项目符合国家及地方的产业政策和发展规划，建设区域环境质量现状良好，区域环境敏感程度较低，有一定的区域环境容量，项目正常运行对环境的影响不大，环境风险水平可接受，卫生防护距离满足要求，结合环境影响预测评价结果综合分析，厂址选择是合理可行的。</w:t>
      </w:r>
    </w:p>
    <w:p w14:paraId="301EABDE">
      <w:pPr>
        <w:ind w:firstLine="480"/>
        <w:sectPr>
          <w:footerReference r:id="rId1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14:paraId="46D19207">
      <w:pPr>
        <w:pStyle w:val="3"/>
      </w:pPr>
      <w:bookmarkStart w:id="54" w:name="_Toc89619332"/>
      <w:r>
        <w:rPr>
          <w:rFonts w:hint="eastAsia"/>
        </w:rPr>
        <w:t>3、工程分析</w:t>
      </w:r>
      <w:bookmarkEnd w:id="54"/>
    </w:p>
    <w:p w14:paraId="70DBE7B0">
      <w:pPr>
        <w:pStyle w:val="4"/>
      </w:pPr>
      <w:bookmarkStart w:id="55" w:name="_Toc89619333"/>
      <w:r>
        <w:rPr>
          <w:rFonts w:hint="eastAsia"/>
        </w:rPr>
        <w:t>3.1工程概况</w:t>
      </w:r>
      <w:bookmarkEnd w:id="55"/>
    </w:p>
    <w:p w14:paraId="3F544047">
      <w:pPr>
        <w:pStyle w:val="5"/>
      </w:pPr>
      <w:bookmarkStart w:id="56" w:name="_Toc106663460"/>
      <w:r>
        <w:rPr>
          <w:rFonts w:hint="eastAsia"/>
        </w:rPr>
        <w:t>3.1.1项目基本情况</w:t>
      </w:r>
      <w:bookmarkEnd w:id="56"/>
    </w:p>
    <w:p w14:paraId="1E32A8A8">
      <w:pPr>
        <w:ind w:firstLine="480"/>
      </w:pPr>
      <w:r>
        <w:rPr>
          <w:rFonts w:hint="eastAsia"/>
        </w:rPr>
        <w:t>（1）项目名称：木垒县雀仁乡正格勒得村2024年养殖小区建设项目</w:t>
      </w:r>
    </w:p>
    <w:p w14:paraId="187CE5BD">
      <w:pPr>
        <w:ind w:firstLine="480"/>
      </w:pPr>
      <w:r>
        <w:rPr>
          <w:rFonts w:hint="eastAsia"/>
        </w:rPr>
        <w:t>（2）建设单位：木垒县雀仁乡人民政府</w:t>
      </w:r>
    </w:p>
    <w:p w14:paraId="0A8639B0">
      <w:pPr>
        <w:ind w:firstLine="480"/>
      </w:pPr>
      <w:r>
        <w:rPr>
          <w:rFonts w:hint="eastAsia"/>
        </w:rPr>
        <w:t>（3）项目性质：新建</w:t>
      </w:r>
    </w:p>
    <w:p w14:paraId="5A5FC6FD">
      <w:pPr>
        <w:ind w:firstLine="480"/>
      </w:pPr>
      <w:r>
        <w:rPr>
          <w:rFonts w:hint="eastAsia"/>
        </w:rPr>
        <w:t>（4）建设地点：昌吉州木垒县雀仁乡正格勒得村，项目四周均为农田，用地类型为设施农用地。中心地理坐标：90°6′55.79986″</w:t>
      </w:r>
      <w:r>
        <w:t>E，</w:t>
      </w:r>
      <w:r>
        <w:rPr>
          <w:rFonts w:hint="eastAsia"/>
        </w:rPr>
        <w:t>44°9′50.11149″</w:t>
      </w:r>
      <w:r>
        <w:t>N</w:t>
      </w:r>
      <w:r>
        <w:rPr>
          <w:rFonts w:hint="eastAsia"/>
        </w:rPr>
        <w:t>。项目区地理位置示意图见附图3.1-1，项目周边关系卫星图见附图3.1-2。</w:t>
      </w:r>
    </w:p>
    <w:p w14:paraId="2761BEA3">
      <w:pPr>
        <w:ind w:firstLine="480"/>
      </w:pPr>
      <w:r>
        <w:rPr>
          <w:rFonts w:hint="eastAsia"/>
        </w:rPr>
        <w:t>（5）项目投资：项目总投资450万元，资金来源为2024年中央财政衔接推进乡村振兴补助资金。</w:t>
      </w:r>
    </w:p>
    <w:p w14:paraId="6BDB4E2D">
      <w:pPr>
        <w:ind w:firstLine="480"/>
      </w:pPr>
      <w:r>
        <w:rPr>
          <w:rFonts w:hint="eastAsia"/>
        </w:rPr>
        <w:t>（6）占地面积：总占地面积为24757.78m</w:t>
      </w:r>
      <w:r>
        <w:rPr>
          <w:rFonts w:hint="eastAsia"/>
          <w:vertAlign w:val="superscript"/>
        </w:rPr>
        <w:t>2</w:t>
      </w:r>
      <w:r>
        <w:rPr>
          <w:rFonts w:hint="eastAsia"/>
        </w:rPr>
        <w:t>。</w:t>
      </w:r>
    </w:p>
    <w:p w14:paraId="575301D1">
      <w:pPr>
        <w:ind w:firstLine="480"/>
      </w:pPr>
      <w:r>
        <w:rPr>
          <w:rFonts w:hint="eastAsia"/>
        </w:rPr>
        <w:t>（7）生产规模：建设育成骆驼圈舍4栋，共养殖400头骆驼。</w:t>
      </w:r>
    </w:p>
    <w:p w14:paraId="2679974E">
      <w:pPr>
        <w:ind w:firstLine="480"/>
      </w:pPr>
      <w:r>
        <w:rPr>
          <w:rFonts w:hint="eastAsia"/>
        </w:rPr>
        <w:t>（8）劳动定员：本项目工作人员共20人，年工作时间为365天，采用两班制，每班工作12h。</w:t>
      </w:r>
    </w:p>
    <w:p w14:paraId="21AE3FCA">
      <w:pPr>
        <w:ind w:firstLine="480"/>
      </w:pPr>
      <w:r>
        <w:rPr>
          <w:rFonts w:hint="eastAsia"/>
        </w:rPr>
        <w:t>（9）项目实施规划：计划2024年9月开工，2</w:t>
      </w:r>
      <w:r>
        <w:t>02</w:t>
      </w:r>
      <w:r>
        <w:rPr>
          <w:rFonts w:hint="eastAsia"/>
        </w:rPr>
        <w:t>5年9月建成投产。</w:t>
      </w:r>
    </w:p>
    <w:p w14:paraId="34D1E18E">
      <w:pPr>
        <w:pStyle w:val="5"/>
      </w:pPr>
      <w:bookmarkStart w:id="57" w:name="_Toc106663461"/>
      <w:r>
        <w:rPr>
          <w:rFonts w:hint="eastAsia"/>
        </w:rPr>
        <w:t>3.1.2主要建设内容</w:t>
      </w:r>
      <w:bookmarkEnd w:id="57"/>
    </w:p>
    <w:p w14:paraId="72C6CEC3">
      <w:pPr>
        <w:ind w:firstLine="480"/>
      </w:pPr>
      <w:r>
        <w:t>本项目建设内容主要包括</w:t>
      </w:r>
      <w:r>
        <w:rPr>
          <w:rFonts w:hint="eastAsia"/>
        </w:rPr>
        <w:t>骆驼圈舍4栋</w:t>
      </w:r>
      <w:r>
        <w:t>，管理用房、配电室和供排水管线</w:t>
      </w:r>
      <w:r>
        <w:rPr>
          <w:rFonts w:hint="eastAsia"/>
        </w:rPr>
        <w:t>。</w:t>
      </w:r>
    </w:p>
    <w:p w14:paraId="4FF7084C">
      <w:pPr>
        <w:pStyle w:val="11"/>
      </w:pPr>
      <w:r>
        <w:rPr>
          <w:rFonts w:hint="eastAsia"/>
        </w:rPr>
        <w:t>表3.1-1项目工程组成一览表</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5"/>
        <w:gridCol w:w="994"/>
        <w:gridCol w:w="6104"/>
        <w:gridCol w:w="646"/>
      </w:tblGrid>
      <w:tr w14:paraId="6B484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tcBorders>
              <w:tl2br w:val="nil"/>
              <w:tr2bl w:val="nil"/>
            </w:tcBorders>
            <w:vAlign w:val="center"/>
          </w:tcPr>
          <w:p w14:paraId="53063662">
            <w:pPr>
              <w:spacing w:line="360" w:lineRule="exact"/>
              <w:ind w:firstLine="0" w:firstLineChars="0"/>
              <w:jc w:val="center"/>
              <w:rPr>
                <w:rFonts w:cs="宋体"/>
                <w:sz w:val="21"/>
                <w:szCs w:val="21"/>
              </w:rPr>
            </w:pPr>
            <w:r>
              <w:rPr>
                <w:rFonts w:cs="宋体"/>
                <w:sz w:val="21"/>
                <w:szCs w:val="21"/>
              </w:rPr>
              <w:t>工程分类</w:t>
            </w:r>
          </w:p>
        </w:tc>
        <w:tc>
          <w:tcPr>
            <w:tcW w:w="598" w:type="pct"/>
            <w:tcBorders>
              <w:tl2br w:val="nil"/>
              <w:tr2bl w:val="nil"/>
            </w:tcBorders>
            <w:vAlign w:val="center"/>
          </w:tcPr>
          <w:p w14:paraId="30612139">
            <w:pPr>
              <w:spacing w:line="360" w:lineRule="exact"/>
              <w:ind w:firstLine="0" w:firstLineChars="0"/>
              <w:jc w:val="center"/>
              <w:rPr>
                <w:rFonts w:cs="宋体"/>
                <w:sz w:val="21"/>
                <w:szCs w:val="21"/>
              </w:rPr>
            </w:pPr>
            <w:r>
              <w:rPr>
                <w:rFonts w:cs="宋体"/>
                <w:sz w:val="21"/>
                <w:szCs w:val="21"/>
              </w:rPr>
              <w:t>项目名称</w:t>
            </w:r>
          </w:p>
        </w:tc>
        <w:tc>
          <w:tcPr>
            <w:tcW w:w="3673" w:type="pct"/>
            <w:tcBorders>
              <w:tl2br w:val="nil"/>
              <w:tr2bl w:val="nil"/>
            </w:tcBorders>
            <w:vAlign w:val="center"/>
          </w:tcPr>
          <w:p w14:paraId="19445676">
            <w:pPr>
              <w:spacing w:line="360" w:lineRule="exact"/>
              <w:ind w:firstLine="0" w:firstLineChars="0"/>
              <w:jc w:val="center"/>
              <w:rPr>
                <w:rFonts w:cs="宋体"/>
                <w:sz w:val="21"/>
                <w:szCs w:val="21"/>
              </w:rPr>
            </w:pPr>
            <w:r>
              <w:rPr>
                <w:rFonts w:cs="宋体"/>
                <w:sz w:val="21"/>
                <w:szCs w:val="21"/>
              </w:rPr>
              <w:t>建设规模</w:t>
            </w:r>
          </w:p>
        </w:tc>
        <w:tc>
          <w:tcPr>
            <w:tcW w:w="389" w:type="pct"/>
            <w:tcBorders>
              <w:tl2br w:val="nil"/>
              <w:tr2bl w:val="nil"/>
            </w:tcBorders>
            <w:vAlign w:val="center"/>
          </w:tcPr>
          <w:p w14:paraId="6DB59CAB">
            <w:pPr>
              <w:spacing w:line="360" w:lineRule="exact"/>
              <w:ind w:firstLine="0" w:firstLineChars="0"/>
              <w:jc w:val="center"/>
              <w:rPr>
                <w:rFonts w:cs="宋体"/>
                <w:sz w:val="21"/>
                <w:szCs w:val="21"/>
              </w:rPr>
            </w:pPr>
            <w:r>
              <w:rPr>
                <w:rFonts w:cs="宋体"/>
                <w:sz w:val="21"/>
                <w:szCs w:val="21"/>
              </w:rPr>
              <w:t>备注</w:t>
            </w:r>
          </w:p>
        </w:tc>
      </w:tr>
      <w:tr w14:paraId="5D839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tcBorders>
              <w:tl2br w:val="nil"/>
              <w:tr2bl w:val="nil"/>
            </w:tcBorders>
            <w:vAlign w:val="center"/>
          </w:tcPr>
          <w:p w14:paraId="4EFE2566">
            <w:pPr>
              <w:spacing w:line="360" w:lineRule="exact"/>
              <w:ind w:firstLine="0" w:firstLineChars="0"/>
              <w:jc w:val="center"/>
              <w:rPr>
                <w:rFonts w:cs="宋体"/>
                <w:sz w:val="21"/>
                <w:szCs w:val="21"/>
              </w:rPr>
            </w:pPr>
            <w:r>
              <w:rPr>
                <w:rFonts w:cs="宋体"/>
                <w:sz w:val="21"/>
                <w:szCs w:val="21"/>
              </w:rPr>
              <w:t>主体工程</w:t>
            </w:r>
          </w:p>
        </w:tc>
        <w:tc>
          <w:tcPr>
            <w:tcW w:w="598" w:type="pct"/>
            <w:tcBorders>
              <w:tl2br w:val="nil"/>
              <w:tr2bl w:val="nil"/>
            </w:tcBorders>
            <w:vAlign w:val="center"/>
          </w:tcPr>
          <w:p w14:paraId="06EDA355">
            <w:pPr>
              <w:spacing w:line="360" w:lineRule="exact"/>
              <w:ind w:firstLine="0" w:firstLineChars="0"/>
              <w:jc w:val="center"/>
              <w:rPr>
                <w:rFonts w:cs="宋体"/>
                <w:sz w:val="21"/>
                <w:szCs w:val="21"/>
              </w:rPr>
            </w:pPr>
            <w:r>
              <w:rPr>
                <w:rFonts w:hint="eastAsia" w:cs="宋体"/>
                <w:sz w:val="21"/>
                <w:szCs w:val="21"/>
              </w:rPr>
              <w:t>骆驼圈舍</w:t>
            </w:r>
          </w:p>
        </w:tc>
        <w:tc>
          <w:tcPr>
            <w:tcW w:w="3673" w:type="pct"/>
            <w:tcBorders>
              <w:tl2br w:val="nil"/>
              <w:tr2bl w:val="nil"/>
            </w:tcBorders>
            <w:vAlign w:val="center"/>
          </w:tcPr>
          <w:p w14:paraId="659FAF38">
            <w:pPr>
              <w:spacing w:line="360" w:lineRule="exact"/>
              <w:ind w:firstLine="0" w:firstLineChars="0"/>
              <w:jc w:val="center"/>
              <w:rPr>
                <w:sz w:val="21"/>
                <w:szCs w:val="14"/>
              </w:rPr>
            </w:pPr>
            <w:r>
              <w:rPr>
                <w:rFonts w:cs="宋体"/>
                <w:sz w:val="21"/>
                <w:szCs w:val="21"/>
              </w:rPr>
              <w:t>新建</w:t>
            </w:r>
            <w:r>
              <w:rPr>
                <w:rFonts w:hint="eastAsia" w:cs="宋体"/>
                <w:sz w:val="21"/>
                <w:szCs w:val="21"/>
              </w:rPr>
              <w:t>骆驼圈舍4栋</w:t>
            </w:r>
            <w:r>
              <w:rPr>
                <w:rFonts w:cs="宋体"/>
                <w:sz w:val="21"/>
                <w:szCs w:val="21"/>
              </w:rPr>
              <w:t>，</w:t>
            </w:r>
            <w:r>
              <w:rPr>
                <w:rFonts w:hint="eastAsia" w:cs="宋体"/>
                <w:sz w:val="21"/>
                <w:szCs w:val="21"/>
              </w:rPr>
              <w:t>每栋包括396m</w:t>
            </w:r>
            <w:r>
              <w:rPr>
                <w:rFonts w:hint="eastAsia" w:cs="宋体"/>
                <w:sz w:val="21"/>
                <w:szCs w:val="21"/>
                <w:vertAlign w:val="superscript"/>
              </w:rPr>
              <w:t>2</w:t>
            </w:r>
            <w:r>
              <w:rPr>
                <w:rFonts w:hint="eastAsia" w:cs="宋体"/>
                <w:sz w:val="21"/>
                <w:szCs w:val="21"/>
              </w:rPr>
              <w:t>的骆驼圈、100m</w:t>
            </w:r>
            <w:r>
              <w:rPr>
                <w:rFonts w:hint="eastAsia" w:cs="宋体"/>
                <w:sz w:val="21"/>
                <w:szCs w:val="21"/>
                <w:vertAlign w:val="superscript"/>
              </w:rPr>
              <w:t>2</w:t>
            </w:r>
            <w:r>
              <w:rPr>
                <w:rFonts w:hint="eastAsia" w:cs="宋体"/>
                <w:sz w:val="21"/>
                <w:szCs w:val="21"/>
              </w:rPr>
              <w:t>草料区以及230m</w:t>
            </w:r>
            <w:r>
              <w:rPr>
                <w:rFonts w:hint="eastAsia" w:cs="宋体"/>
                <w:sz w:val="21"/>
                <w:szCs w:val="21"/>
                <w:vertAlign w:val="superscript"/>
              </w:rPr>
              <w:t>2</w:t>
            </w:r>
            <w:r>
              <w:rPr>
                <w:rFonts w:hint="eastAsia" w:cs="宋体"/>
                <w:sz w:val="21"/>
                <w:szCs w:val="21"/>
              </w:rPr>
              <w:t>和330m</w:t>
            </w:r>
            <w:r>
              <w:rPr>
                <w:rFonts w:hint="eastAsia" w:cs="宋体"/>
                <w:sz w:val="21"/>
                <w:szCs w:val="21"/>
                <w:vertAlign w:val="superscript"/>
              </w:rPr>
              <w:t>2</w:t>
            </w:r>
            <w:r>
              <w:rPr>
                <w:rFonts w:hint="eastAsia" w:cs="宋体"/>
                <w:sz w:val="21"/>
                <w:szCs w:val="21"/>
              </w:rPr>
              <w:t>的活动区。</w:t>
            </w:r>
          </w:p>
        </w:tc>
        <w:tc>
          <w:tcPr>
            <w:tcW w:w="389" w:type="pct"/>
            <w:tcBorders>
              <w:tl2br w:val="nil"/>
              <w:tr2bl w:val="nil"/>
            </w:tcBorders>
            <w:vAlign w:val="center"/>
          </w:tcPr>
          <w:p w14:paraId="3A11F227">
            <w:pPr>
              <w:spacing w:line="360" w:lineRule="exact"/>
              <w:ind w:firstLine="0" w:firstLineChars="0"/>
              <w:jc w:val="center"/>
              <w:rPr>
                <w:rFonts w:cs="宋体"/>
                <w:sz w:val="21"/>
                <w:szCs w:val="21"/>
              </w:rPr>
            </w:pPr>
            <w:r>
              <w:rPr>
                <w:rFonts w:hint="eastAsia" w:cs="宋体"/>
                <w:sz w:val="21"/>
                <w:szCs w:val="21"/>
              </w:rPr>
              <w:t>新建</w:t>
            </w:r>
          </w:p>
        </w:tc>
      </w:tr>
      <w:tr w14:paraId="7E9BE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restart"/>
            <w:tcBorders>
              <w:tl2br w:val="nil"/>
              <w:tr2bl w:val="nil"/>
            </w:tcBorders>
            <w:vAlign w:val="center"/>
          </w:tcPr>
          <w:p w14:paraId="1B587DAC">
            <w:pPr>
              <w:spacing w:line="360" w:lineRule="exact"/>
              <w:ind w:firstLine="0" w:firstLineChars="0"/>
              <w:jc w:val="center"/>
              <w:rPr>
                <w:rFonts w:cs="宋体"/>
                <w:sz w:val="21"/>
                <w:szCs w:val="21"/>
              </w:rPr>
            </w:pPr>
            <w:r>
              <w:rPr>
                <w:rFonts w:cs="宋体"/>
                <w:sz w:val="21"/>
                <w:szCs w:val="21"/>
              </w:rPr>
              <w:t>配套工程</w:t>
            </w:r>
          </w:p>
        </w:tc>
        <w:tc>
          <w:tcPr>
            <w:tcW w:w="598" w:type="pct"/>
            <w:tcBorders>
              <w:tl2br w:val="nil"/>
              <w:tr2bl w:val="nil"/>
            </w:tcBorders>
            <w:vAlign w:val="center"/>
          </w:tcPr>
          <w:p w14:paraId="2CD9E2BD">
            <w:pPr>
              <w:spacing w:line="360" w:lineRule="exact"/>
              <w:ind w:firstLine="0" w:firstLineChars="0"/>
              <w:jc w:val="center"/>
              <w:rPr>
                <w:rFonts w:cs="宋体"/>
                <w:sz w:val="21"/>
                <w:szCs w:val="21"/>
              </w:rPr>
            </w:pPr>
            <w:r>
              <w:rPr>
                <w:rFonts w:hint="eastAsia" w:cs="宋体"/>
                <w:sz w:val="21"/>
                <w:szCs w:val="21"/>
              </w:rPr>
              <w:t>管理生活用房</w:t>
            </w:r>
          </w:p>
        </w:tc>
        <w:tc>
          <w:tcPr>
            <w:tcW w:w="3673" w:type="pct"/>
            <w:tcBorders>
              <w:tl2br w:val="nil"/>
              <w:tr2bl w:val="nil"/>
            </w:tcBorders>
            <w:vAlign w:val="center"/>
          </w:tcPr>
          <w:p w14:paraId="3DDC296D">
            <w:pPr>
              <w:spacing w:line="360" w:lineRule="exact"/>
              <w:ind w:firstLine="0" w:firstLineChars="0"/>
              <w:jc w:val="center"/>
              <w:rPr>
                <w:sz w:val="21"/>
                <w:szCs w:val="14"/>
              </w:rPr>
            </w:pPr>
            <w:r>
              <w:rPr>
                <w:rFonts w:hint="eastAsia"/>
                <w:sz w:val="21"/>
                <w:szCs w:val="14"/>
              </w:rPr>
              <w:t>在每栋圈舍南侧建设1栋20m</w:t>
            </w:r>
            <w:r>
              <w:rPr>
                <w:rFonts w:hint="eastAsia"/>
                <w:sz w:val="21"/>
                <w:szCs w:val="14"/>
                <w:vertAlign w:val="superscript"/>
              </w:rPr>
              <w:t>2</w:t>
            </w:r>
            <w:r>
              <w:rPr>
                <w:rFonts w:hint="eastAsia"/>
                <w:sz w:val="21"/>
                <w:szCs w:val="14"/>
              </w:rPr>
              <w:t>的管理生活用房，共计四栋。</w:t>
            </w:r>
          </w:p>
        </w:tc>
        <w:tc>
          <w:tcPr>
            <w:tcW w:w="389" w:type="pct"/>
            <w:tcBorders>
              <w:tl2br w:val="nil"/>
              <w:tr2bl w:val="nil"/>
            </w:tcBorders>
            <w:vAlign w:val="center"/>
          </w:tcPr>
          <w:p w14:paraId="422E205A">
            <w:pPr>
              <w:spacing w:line="360" w:lineRule="exact"/>
              <w:ind w:firstLine="0" w:firstLineChars="0"/>
              <w:jc w:val="center"/>
              <w:rPr>
                <w:sz w:val="21"/>
                <w:szCs w:val="21"/>
              </w:rPr>
            </w:pPr>
            <w:r>
              <w:rPr>
                <w:rFonts w:hint="eastAsia" w:cs="宋体"/>
                <w:sz w:val="21"/>
                <w:szCs w:val="21"/>
              </w:rPr>
              <w:t>新建</w:t>
            </w:r>
          </w:p>
        </w:tc>
      </w:tr>
      <w:tr w14:paraId="63015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3E650D6D">
            <w:pPr>
              <w:spacing w:line="360" w:lineRule="exact"/>
              <w:ind w:firstLine="0" w:firstLineChars="0"/>
              <w:jc w:val="center"/>
              <w:rPr>
                <w:rFonts w:cs="宋体"/>
                <w:sz w:val="21"/>
                <w:szCs w:val="21"/>
              </w:rPr>
            </w:pPr>
          </w:p>
        </w:tc>
        <w:tc>
          <w:tcPr>
            <w:tcW w:w="598" w:type="pct"/>
            <w:tcBorders>
              <w:tl2br w:val="nil"/>
              <w:tr2bl w:val="nil"/>
            </w:tcBorders>
            <w:vAlign w:val="center"/>
          </w:tcPr>
          <w:p w14:paraId="45C0F207">
            <w:pPr>
              <w:spacing w:line="360" w:lineRule="exact"/>
              <w:ind w:firstLine="0" w:firstLineChars="0"/>
              <w:jc w:val="center"/>
              <w:rPr>
                <w:rFonts w:cs="宋体"/>
                <w:sz w:val="21"/>
                <w:szCs w:val="21"/>
              </w:rPr>
            </w:pPr>
            <w:r>
              <w:rPr>
                <w:rFonts w:hint="eastAsia" w:cs="宋体"/>
                <w:sz w:val="21"/>
                <w:szCs w:val="21"/>
              </w:rPr>
              <w:t>堆肥场</w:t>
            </w:r>
          </w:p>
        </w:tc>
        <w:tc>
          <w:tcPr>
            <w:tcW w:w="3673" w:type="pct"/>
            <w:tcBorders>
              <w:tl2br w:val="nil"/>
              <w:tr2bl w:val="nil"/>
            </w:tcBorders>
            <w:vAlign w:val="center"/>
          </w:tcPr>
          <w:p w14:paraId="1611D1CF">
            <w:pPr>
              <w:spacing w:line="360" w:lineRule="exact"/>
              <w:ind w:firstLine="0" w:firstLineChars="0"/>
              <w:jc w:val="center"/>
              <w:rPr>
                <w:sz w:val="21"/>
                <w:szCs w:val="14"/>
              </w:rPr>
            </w:pPr>
            <w:r>
              <w:rPr>
                <w:rFonts w:hint="eastAsia"/>
                <w:sz w:val="21"/>
                <w:szCs w:val="14"/>
              </w:rPr>
              <w:t>占地面积2000m</w:t>
            </w:r>
            <w:r>
              <w:rPr>
                <w:rFonts w:hint="eastAsia"/>
                <w:sz w:val="21"/>
                <w:szCs w:val="14"/>
                <w:vertAlign w:val="superscript"/>
              </w:rPr>
              <w:t>2</w:t>
            </w:r>
            <w:r>
              <w:rPr>
                <w:rFonts w:hint="eastAsia"/>
                <w:sz w:val="21"/>
                <w:szCs w:val="14"/>
              </w:rPr>
              <w:t>。</w:t>
            </w:r>
          </w:p>
        </w:tc>
        <w:tc>
          <w:tcPr>
            <w:tcW w:w="389" w:type="pct"/>
            <w:tcBorders>
              <w:tl2br w:val="nil"/>
              <w:tr2bl w:val="nil"/>
            </w:tcBorders>
            <w:vAlign w:val="center"/>
          </w:tcPr>
          <w:p w14:paraId="44AAAED1">
            <w:pPr>
              <w:spacing w:line="360" w:lineRule="exact"/>
              <w:ind w:firstLine="0" w:firstLineChars="0"/>
              <w:jc w:val="center"/>
              <w:rPr>
                <w:rFonts w:cs="宋体"/>
                <w:sz w:val="21"/>
                <w:szCs w:val="21"/>
              </w:rPr>
            </w:pPr>
            <w:r>
              <w:rPr>
                <w:rFonts w:hint="eastAsia" w:cs="宋体"/>
                <w:sz w:val="21"/>
                <w:szCs w:val="21"/>
              </w:rPr>
              <w:t>新建</w:t>
            </w:r>
          </w:p>
        </w:tc>
      </w:tr>
      <w:tr w14:paraId="1DDE5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46C2D15E">
            <w:pPr>
              <w:spacing w:line="360" w:lineRule="exact"/>
              <w:ind w:firstLine="0" w:firstLineChars="0"/>
              <w:jc w:val="center"/>
              <w:rPr>
                <w:sz w:val="21"/>
              </w:rPr>
            </w:pPr>
          </w:p>
        </w:tc>
        <w:tc>
          <w:tcPr>
            <w:tcW w:w="598" w:type="pct"/>
            <w:tcBorders>
              <w:tl2br w:val="nil"/>
              <w:tr2bl w:val="nil"/>
            </w:tcBorders>
            <w:vAlign w:val="center"/>
          </w:tcPr>
          <w:p w14:paraId="3AE6D8B8">
            <w:pPr>
              <w:spacing w:line="360" w:lineRule="exact"/>
              <w:ind w:firstLine="0" w:firstLineChars="0"/>
              <w:jc w:val="center"/>
              <w:rPr>
                <w:rFonts w:cs="宋体"/>
                <w:sz w:val="21"/>
                <w:szCs w:val="21"/>
              </w:rPr>
            </w:pPr>
            <w:r>
              <w:rPr>
                <w:rFonts w:cs="宋体"/>
                <w:sz w:val="21"/>
                <w:szCs w:val="21"/>
              </w:rPr>
              <w:t>供水管线</w:t>
            </w:r>
          </w:p>
        </w:tc>
        <w:tc>
          <w:tcPr>
            <w:tcW w:w="3673" w:type="pct"/>
            <w:tcBorders>
              <w:tl2br w:val="nil"/>
              <w:tr2bl w:val="nil"/>
            </w:tcBorders>
            <w:vAlign w:val="center"/>
          </w:tcPr>
          <w:p w14:paraId="4514CEF4">
            <w:pPr>
              <w:spacing w:line="360" w:lineRule="exact"/>
              <w:ind w:firstLine="0" w:firstLineChars="0"/>
              <w:jc w:val="center"/>
              <w:rPr>
                <w:rFonts w:cs="宋体"/>
                <w:sz w:val="21"/>
                <w:szCs w:val="21"/>
              </w:rPr>
            </w:pPr>
            <w:r>
              <w:rPr>
                <w:rFonts w:cs="宋体"/>
                <w:sz w:val="21"/>
                <w:szCs w:val="21"/>
              </w:rPr>
              <w:t>修建</w:t>
            </w:r>
            <w:r>
              <w:rPr>
                <w:rFonts w:hint="eastAsia"/>
                <w:sz w:val="21"/>
                <w:szCs w:val="21"/>
              </w:rPr>
              <w:t>900m供水管线</w:t>
            </w:r>
            <w:r>
              <w:rPr>
                <w:rFonts w:hint="eastAsia" w:cs="宋体"/>
                <w:sz w:val="21"/>
                <w:szCs w:val="21"/>
              </w:rPr>
              <w:t>。</w:t>
            </w:r>
          </w:p>
        </w:tc>
        <w:tc>
          <w:tcPr>
            <w:tcW w:w="389" w:type="pct"/>
            <w:tcBorders>
              <w:tl2br w:val="nil"/>
              <w:tr2bl w:val="nil"/>
            </w:tcBorders>
            <w:vAlign w:val="center"/>
          </w:tcPr>
          <w:p w14:paraId="4A5444C0">
            <w:pPr>
              <w:spacing w:line="360" w:lineRule="exact"/>
              <w:ind w:firstLine="0" w:firstLineChars="0"/>
              <w:jc w:val="center"/>
              <w:rPr>
                <w:rFonts w:cs="宋体"/>
                <w:sz w:val="21"/>
                <w:szCs w:val="21"/>
              </w:rPr>
            </w:pPr>
            <w:r>
              <w:rPr>
                <w:rFonts w:hint="eastAsia" w:cs="宋体"/>
                <w:sz w:val="21"/>
                <w:szCs w:val="21"/>
              </w:rPr>
              <w:t>新建</w:t>
            </w:r>
          </w:p>
        </w:tc>
      </w:tr>
      <w:tr w14:paraId="3C3D7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restart"/>
            <w:tcBorders>
              <w:tl2br w:val="nil"/>
              <w:tr2bl w:val="nil"/>
            </w:tcBorders>
            <w:vAlign w:val="center"/>
          </w:tcPr>
          <w:p w14:paraId="76089036">
            <w:pPr>
              <w:spacing w:line="360" w:lineRule="exact"/>
              <w:ind w:firstLine="0" w:firstLineChars="0"/>
              <w:jc w:val="center"/>
              <w:rPr>
                <w:rFonts w:cs="宋体"/>
                <w:sz w:val="21"/>
                <w:szCs w:val="21"/>
              </w:rPr>
            </w:pPr>
            <w:r>
              <w:rPr>
                <w:rFonts w:cs="宋体"/>
                <w:sz w:val="21"/>
                <w:szCs w:val="21"/>
              </w:rPr>
              <w:t>公用工程</w:t>
            </w:r>
          </w:p>
        </w:tc>
        <w:tc>
          <w:tcPr>
            <w:tcW w:w="598" w:type="pct"/>
            <w:tcBorders>
              <w:tl2br w:val="nil"/>
              <w:tr2bl w:val="nil"/>
            </w:tcBorders>
            <w:vAlign w:val="center"/>
          </w:tcPr>
          <w:p w14:paraId="4191718F">
            <w:pPr>
              <w:spacing w:line="360" w:lineRule="exact"/>
              <w:ind w:firstLine="0" w:firstLineChars="0"/>
              <w:jc w:val="center"/>
              <w:rPr>
                <w:rFonts w:cs="宋体"/>
                <w:sz w:val="21"/>
                <w:szCs w:val="21"/>
              </w:rPr>
            </w:pPr>
            <w:r>
              <w:rPr>
                <w:rFonts w:cs="宋体"/>
                <w:sz w:val="21"/>
                <w:szCs w:val="21"/>
              </w:rPr>
              <w:t>供水</w:t>
            </w:r>
          </w:p>
        </w:tc>
        <w:tc>
          <w:tcPr>
            <w:tcW w:w="3673" w:type="pct"/>
            <w:tcBorders>
              <w:tl2br w:val="nil"/>
              <w:tr2bl w:val="nil"/>
            </w:tcBorders>
            <w:vAlign w:val="center"/>
          </w:tcPr>
          <w:p w14:paraId="03BE643A">
            <w:pPr>
              <w:spacing w:line="360" w:lineRule="exact"/>
              <w:ind w:firstLine="0" w:firstLineChars="0"/>
              <w:jc w:val="center"/>
              <w:rPr>
                <w:rFonts w:cs="宋体"/>
                <w:sz w:val="21"/>
                <w:szCs w:val="21"/>
              </w:rPr>
            </w:pPr>
            <w:r>
              <w:rPr>
                <w:rFonts w:cs="宋体"/>
                <w:sz w:val="21"/>
                <w:szCs w:val="21"/>
              </w:rPr>
              <w:t>生产、生活用水</w:t>
            </w:r>
            <w:r>
              <w:rPr>
                <w:rFonts w:hint="eastAsia" w:cs="宋体"/>
                <w:sz w:val="21"/>
                <w:szCs w:val="21"/>
              </w:rPr>
              <w:t>由市政供水管网供给。</w:t>
            </w:r>
          </w:p>
        </w:tc>
        <w:tc>
          <w:tcPr>
            <w:tcW w:w="389" w:type="pct"/>
            <w:tcBorders>
              <w:tl2br w:val="nil"/>
              <w:tr2bl w:val="nil"/>
            </w:tcBorders>
            <w:vAlign w:val="center"/>
          </w:tcPr>
          <w:p w14:paraId="3A17C06A">
            <w:pPr>
              <w:spacing w:line="360" w:lineRule="exact"/>
              <w:ind w:firstLine="0" w:firstLineChars="0"/>
              <w:jc w:val="center"/>
              <w:rPr>
                <w:sz w:val="21"/>
                <w:szCs w:val="21"/>
              </w:rPr>
            </w:pPr>
            <w:r>
              <w:rPr>
                <w:rFonts w:hint="eastAsia" w:cs="宋体"/>
                <w:sz w:val="21"/>
                <w:szCs w:val="21"/>
              </w:rPr>
              <w:t>新建</w:t>
            </w:r>
          </w:p>
        </w:tc>
      </w:tr>
      <w:tr w14:paraId="0A549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1D093D51">
            <w:pPr>
              <w:spacing w:line="360" w:lineRule="exact"/>
              <w:ind w:firstLine="0" w:firstLineChars="0"/>
              <w:jc w:val="center"/>
              <w:rPr>
                <w:sz w:val="21"/>
              </w:rPr>
            </w:pPr>
          </w:p>
        </w:tc>
        <w:tc>
          <w:tcPr>
            <w:tcW w:w="598" w:type="pct"/>
            <w:tcBorders>
              <w:tl2br w:val="nil"/>
              <w:tr2bl w:val="nil"/>
            </w:tcBorders>
            <w:vAlign w:val="center"/>
          </w:tcPr>
          <w:p w14:paraId="06821BA1">
            <w:pPr>
              <w:spacing w:line="360" w:lineRule="exact"/>
              <w:ind w:firstLine="0" w:firstLineChars="0"/>
              <w:jc w:val="center"/>
              <w:rPr>
                <w:rFonts w:cs="宋体"/>
                <w:sz w:val="21"/>
                <w:szCs w:val="21"/>
              </w:rPr>
            </w:pPr>
            <w:r>
              <w:rPr>
                <w:rFonts w:cs="宋体"/>
                <w:sz w:val="21"/>
                <w:szCs w:val="21"/>
              </w:rPr>
              <w:t>排水</w:t>
            </w:r>
          </w:p>
        </w:tc>
        <w:tc>
          <w:tcPr>
            <w:tcW w:w="3673" w:type="pct"/>
            <w:tcBorders>
              <w:tl2br w:val="nil"/>
              <w:tr2bl w:val="nil"/>
            </w:tcBorders>
            <w:vAlign w:val="center"/>
          </w:tcPr>
          <w:p w14:paraId="486AA2BD">
            <w:pPr>
              <w:spacing w:line="360" w:lineRule="exact"/>
              <w:ind w:firstLine="0" w:firstLineChars="0"/>
              <w:jc w:val="center"/>
              <w:rPr>
                <w:rFonts w:cs="宋体"/>
                <w:sz w:val="21"/>
                <w:szCs w:val="21"/>
              </w:rPr>
            </w:pPr>
            <w:r>
              <w:rPr>
                <w:rFonts w:hint="eastAsia" w:cs="宋体"/>
                <w:sz w:val="21"/>
                <w:szCs w:val="21"/>
                <w:lang w:val="en-US" w:eastAsia="zh-CN"/>
              </w:rPr>
              <w:t>渗滤液同</w:t>
            </w:r>
            <w:r>
              <w:rPr>
                <w:rFonts w:cs="宋体"/>
                <w:sz w:val="21"/>
                <w:szCs w:val="21"/>
              </w:rPr>
              <w:t>生活污水</w:t>
            </w:r>
            <w:r>
              <w:rPr>
                <w:rFonts w:hint="eastAsia" w:cs="宋体"/>
                <w:sz w:val="21"/>
                <w:szCs w:val="21"/>
              </w:rPr>
              <w:t>排入防渗化粪池</w:t>
            </w:r>
            <w:r>
              <w:rPr>
                <w:rFonts w:cs="宋体"/>
                <w:sz w:val="21"/>
                <w:szCs w:val="21"/>
              </w:rPr>
              <w:t>，最终进入</w:t>
            </w:r>
            <w:r>
              <w:rPr>
                <w:rFonts w:hint="eastAsia" w:cs="宋体"/>
                <w:sz w:val="21"/>
                <w:szCs w:val="21"/>
              </w:rPr>
              <w:t>木垒县</w:t>
            </w:r>
            <w:r>
              <w:rPr>
                <w:rFonts w:cs="宋体"/>
                <w:sz w:val="21"/>
                <w:szCs w:val="21"/>
              </w:rPr>
              <w:t>城污水处理厂</w:t>
            </w:r>
            <w:r>
              <w:rPr>
                <w:rFonts w:hint="eastAsia" w:cs="宋体"/>
                <w:sz w:val="21"/>
                <w:szCs w:val="21"/>
              </w:rPr>
              <w:t>。</w:t>
            </w:r>
          </w:p>
        </w:tc>
        <w:tc>
          <w:tcPr>
            <w:tcW w:w="389" w:type="pct"/>
            <w:tcBorders>
              <w:tl2br w:val="nil"/>
              <w:tr2bl w:val="nil"/>
            </w:tcBorders>
            <w:vAlign w:val="center"/>
          </w:tcPr>
          <w:p w14:paraId="3DF20FCA">
            <w:pPr>
              <w:spacing w:line="360" w:lineRule="exact"/>
              <w:ind w:firstLine="0" w:firstLineChars="0"/>
              <w:jc w:val="center"/>
              <w:rPr>
                <w:sz w:val="21"/>
                <w:szCs w:val="21"/>
              </w:rPr>
            </w:pPr>
            <w:r>
              <w:rPr>
                <w:rFonts w:hint="eastAsia" w:cs="宋体"/>
                <w:sz w:val="21"/>
                <w:szCs w:val="21"/>
              </w:rPr>
              <w:t>新建</w:t>
            </w:r>
          </w:p>
        </w:tc>
      </w:tr>
      <w:tr w14:paraId="5C4AB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6B4371D0">
            <w:pPr>
              <w:spacing w:line="360" w:lineRule="exact"/>
              <w:ind w:firstLine="0" w:firstLineChars="0"/>
              <w:jc w:val="center"/>
              <w:rPr>
                <w:sz w:val="21"/>
              </w:rPr>
            </w:pPr>
          </w:p>
        </w:tc>
        <w:tc>
          <w:tcPr>
            <w:tcW w:w="598" w:type="pct"/>
            <w:tcBorders>
              <w:tl2br w:val="nil"/>
              <w:tr2bl w:val="nil"/>
            </w:tcBorders>
            <w:vAlign w:val="center"/>
          </w:tcPr>
          <w:p w14:paraId="1572353F">
            <w:pPr>
              <w:spacing w:line="360" w:lineRule="exact"/>
              <w:ind w:firstLine="0" w:firstLineChars="0"/>
              <w:jc w:val="center"/>
              <w:rPr>
                <w:rFonts w:cs="宋体"/>
                <w:sz w:val="21"/>
                <w:szCs w:val="21"/>
              </w:rPr>
            </w:pPr>
            <w:r>
              <w:rPr>
                <w:rFonts w:cs="宋体"/>
                <w:sz w:val="21"/>
                <w:szCs w:val="21"/>
              </w:rPr>
              <w:t>供电</w:t>
            </w:r>
          </w:p>
        </w:tc>
        <w:tc>
          <w:tcPr>
            <w:tcW w:w="3673" w:type="pct"/>
            <w:tcBorders>
              <w:tl2br w:val="nil"/>
              <w:tr2bl w:val="nil"/>
            </w:tcBorders>
            <w:vAlign w:val="center"/>
          </w:tcPr>
          <w:p w14:paraId="59716EF4">
            <w:pPr>
              <w:spacing w:line="360" w:lineRule="exact"/>
              <w:ind w:firstLine="0" w:firstLineChars="0"/>
              <w:jc w:val="center"/>
              <w:rPr>
                <w:rFonts w:cs="宋体"/>
                <w:sz w:val="21"/>
                <w:szCs w:val="21"/>
              </w:rPr>
            </w:pPr>
            <w:r>
              <w:rPr>
                <w:rFonts w:cs="宋体"/>
                <w:sz w:val="21"/>
                <w:szCs w:val="21"/>
              </w:rPr>
              <w:t>由项目区外</w:t>
            </w:r>
            <w:r>
              <w:rPr>
                <w:rFonts w:hint="eastAsia" w:cs="宋体"/>
                <w:sz w:val="21"/>
                <w:szCs w:val="21"/>
              </w:rPr>
              <w:t>供电</w:t>
            </w:r>
            <w:r>
              <w:rPr>
                <w:rFonts w:cs="宋体"/>
                <w:sz w:val="21"/>
                <w:szCs w:val="21"/>
              </w:rPr>
              <w:t>电网接入</w:t>
            </w:r>
          </w:p>
        </w:tc>
        <w:tc>
          <w:tcPr>
            <w:tcW w:w="389" w:type="pct"/>
            <w:tcBorders>
              <w:tl2br w:val="nil"/>
              <w:tr2bl w:val="nil"/>
            </w:tcBorders>
            <w:vAlign w:val="center"/>
          </w:tcPr>
          <w:p w14:paraId="6FBA61E7">
            <w:pPr>
              <w:spacing w:line="360" w:lineRule="exact"/>
              <w:ind w:firstLine="0" w:firstLineChars="0"/>
              <w:jc w:val="center"/>
              <w:rPr>
                <w:sz w:val="21"/>
                <w:szCs w:val="21"/>
              </w:rPr>
            </w:pPr>
            <w:r>
              <w:rPr>
                <w:rFonts w:hint="eastAsia" w:cs="宋体"/>
                <w:sz w:val="21"/>
                <w:szCs w:val="21"/>
              </w:rPr>
              <w:t>新建</w:t>
            </w:r>
          </w:p>
        </w:tc>
      </w:tr>
      <w:tr w14:paraId="507C7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3A63F872">
            <w:pPr>
              <w:spacing w:line="360" w:lineRule="exact"/>
              <w:ind w:firstLine="0" w:firstLineChars="0"/>
              <w:jc w:val="center"/>
              <w:rPr>
                <w:sz w:val="21"/>
              </w:rPr>
            </w:pPr>
          </w:p>
        </w:tc>
        <w:tc>
          <w:tcPr>
            <w:tcW w:w="598" w:type="pct"/>
            <w:tcBorders>
              <w:tl2br w:val="nil"/>
              <w:tr2bl w:val="nil"/>
            </w:tcBorders>
            <w:vAlign w:val="center"/>
          </w:tcPr>
          <w:p w14:paraId="283F09BA">
            <w:pPr>
              <w:spacing w:line="360" w:lineRule="exact"/>
              <w:ind w:firstLine="0" w:firstLineChars="0"/>
              <w:jc w:val="center"/>
              <w:rPr>
                <w:rFonts w:cs="宋体"/>
                <w:sz w:val="21"/>
                <w:szCs w:val="21"/>
              </w:rPr>
            </w:pPr>
            <w:r>
              <w:rPr>
                <w:rFonts w:cs="宋体"/>
                <w:sz w:val="21"/>
                <w:szCs w:val="21"/>
              </w:rPr>
              <w:t>供暖</w:t>
            </w:r>
          </w:p>
        </w:tc>
        <w:tc>
          <w:tcPr>
            <w:tcW w:w="3673" w:type="pct"/>
            <w:tcBorders>
              <w:tl2br w:val="nil"/>
              <w:tr2bl w:val="nil"/>
            </w:tcBorders>
            <w:vAlign w:val="center"/>
          </w:tcPr>
          <w:p w14:paraId="1564F605">
            <w:pPr>
              <w:spacing w:line="360" w:lineRule="exact"/>
              <w:ind w:firstLine="0" w:firstLineChars="0"/>
              <w:jc w:val="center"/>
              <w:rPr>
                <w:rFonts w:cs="宋体"/>
                <w:sz w:val="21"/>
                <w:szCs w:val="21"/>
              </w:rPr>
            </w:pPr>
            <w:r>
              <w:rPr>
                <w:rFonts w:cs="宋体"/>
                <w:sz w:val="21"/>
                <w:szCs w:val="21"/>
              </w:rPr>
              <w:t>夏季办公区采用空调制冷，冬季通过</w:t>
            </w:r>
            <w:r>
              <w:rPr>
                <w:rFonts w:hint="eastAsia" w:cs="宋体"/>
                <w:sz w:val="21"/>
                <w:szCs w:val="21"/>
              </w:rPr>
              <w:t>电采暖。</w:t>
            </w:r>
          </w:p>
        </w:tc>
        <w:tc>
          <w:tcPr>
            <w:tcW w:w="389" w:type="pct"/>
            <w:tcBorders>
              <w:tl2br w:val="nil"/>
              <w:tr2bl w:val="nil"/>
            </w:tcBorders>
            <w:vAlign w:val="center"/>
          </w:tcPr>
          <w:p w14:paraId="5D3EE24D">
            <w:pPr>
              <w:spacing w:line="360" w:lineRule="exact"/>
              <w:ind w:firstLine="0" w:firstLineChars="0"/>
              <w:jc w:val="center"/>
              <w:rPr>
                <w:sz w:val="21"/>
                <w:szCs w:val="21"/>
              </w:rPr>
            </w:pPr>
            <w:r>
              <w:rPr>
                <w:rFonts w:hint="eastAsia" w:cs="宋体"/>
                <w:sz w:val="21"/>
                <w:szCs w:val="21"/>
              </w:rPr>
              <w:t>新建</w:t>
            </w:r>
          </w:p>
        </w:tc>
      </w:tr>
      <w:tr w14:paraId="745FC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restart"/>
            <w:tcBorders>
              <w:tl2br w:val="nil"/>
              <w:tr2bl w:val="nil"/>
            </w:tcBorders>
            <w:vAlign w:val="center"/>
          </w:tcPr>
          <w:p w14:paraId="531024F1">
            <w:pPr>
              <w:spacing w:line="360" w:lineRule="exact"/>
              <w:ind w:firstLine="0" w:firstLineChars="0"/>
              <w:jc w:val="center"/>
              <w:rPr>
                <w:rFonts w:cs="宋体"/>
                <w:sz w:val="21"/>
                <w:szCs w:val="21"/>
              </w:rPr>
            </w:pPr>
            <w:r>
              <w:rPr>
                <w:rFonts w:cs="宋体"/>
                <w:sz w:val="21"/>
                <w:szCs w:val="21"/>
              </w:rPr>
              <w:t>环保工程</w:t>
            </w:r>
          </w:p>
        </w:tc>
        <w:tc>
          <w:tcPr>
            <w:tcW w:w="598" w:type="pct"/>
            <w:tcBorders>
              <w:tl2br w:val="nil"/>
              <w:tr2bl w:val="nil"/>
            </w:tcBorders>
            <w:vAlign w:val="center"/>
          </w:tcPr>
          <w:p w14:paraId="2D660818">
            <w:pPr>
              <w:spacing w:line="360" w:lineRule="exact"/>
              <w:ind w:firstLine="0" w:firstLineChars="0"/>
              <w:jc w:val="center"/>
              <w:rPr>
                <w:rFonts w:cs="宋体"/>
                <w:sz w:val="21"/>
                <w:szCs w:val="21"/>
              </w:rPr>
            </w:pPr>
            <w:r>
              <w:rPr>
                <w:rFonts w:cs="宋体"/>
                <w:sz w:val="21"/>
                <w:szCs w:val="21"/>
              </w:rPr>
              <w:t>固废处置</w:t>
            </w:r>
          </w:p>
        </w:tc>
        <w:tc>
          <w:tcPr>
            <w:tcW w:w="3673" w:type="pct"/>
            <w:tcBorders>
              <w:tl2br w:val="nil"/>
              <w:tr2bl w:val="nil"/>
            </w:tcBorders>
            <w:vAlign w:val="center"/>
          </w:tcPr>
          <w:p w14:paraId="3E5152B1">
            <w:pPr>
              <w:spacing w:line="360" w:lineRule="exact"/>
              <w:ind w:firstLine="0" w:firstLineChars="0"/>
              <w:jc w:val="center"/>
              <w:rPr>
                <w:rFonts w:cs="宋体"/>
                <w:sz w:val="21"/>
                <w:szCs w:val="21"/>
              </w:rPr>
            </w:pPr>
            <w:r>
              <w:rPr>
                <w:rFonts w:hint="eastAsia" w:cs="宋体"/>
                <w:sz w:val="21"/>
                <w:szCs w:val="21"/>
              </w:rPr>
              <w:t>骆驼粪经发酵成有机肥后还田</w:t>
            </w:r>
            <w:r>
              <w:rPr>
                <w:rFonts w:cs="宋体"/>
                <w:sz w:val="21"/>
                <w:szCs w:val="21"/>
              </w:rPr>
              <w:t>，</w:t>
            </w:r>
            <w:r>
              <w:rPr>
                <w:rFonts w:hint="eastAsia" w:cs="宋体"/>
                <w:sz w:val="21"/>
                <w:szCs w:val="21"/>
              </w:rPr>
              <w:t>病死骆驼外委第三方处置，医疗废物由兽医站进行防疫后带走，不在场内暂存。</w:t>
            </w:r>
          </w:p>
        </w:tc>
        <w:tc>
          <w:tcPr>
            <w:tcW w:w="389" w:type="pct"/>
            <w:tcBorders>
              <w:tl2br w:val="nil"/>
              <w:tr2bl w:val="nil"/>
            </w:tcBorders>
            <w:vAlign w:val="center"/>
          </w:tcPr>
          <w:p w14:paraId="50DE1F33">
            <w:pPr>
              <w:spacing w:line="360" w:lineRule="exact"/>
              <w:ind w:firstLine="0" w:firstLineChars="0"/>
              <w:jc w:val="center"/>
              <w:rPr>
                <w:rFonts w:cs="宋体"/>
                <w:sz w:val="21"/>
                <w:szCs w:val="21"/>
              </w:rPr>
            </w:pPr>
            <w:r>
              <w:rPr>
                <w:rFonts w:hint="eastAsia" w:cs="宋体"/>
                <w:sz w:val="21"/>
                <w:szCs w:val="21"/>
              </w:rPr>
              <w:t>新建</w:t>
            </w:r>
          </w:p>
        </w:tc>
      </w:tr>
      <w:tr w14:paraId="79ED1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1A13D31B">
            <w:pPr>
              <w:spacing w:line="360" w:lineRule="exact"/>
              <w:ind w:firstLine="0" w:firstLineChars="0"/>
              <w:jc w:val="center"/>
              <w:rPr>
                <w:sz w:val="21"/>
              </w:rPr>
            </w:pPr>
          </w:p>
        </w:tc>
        <w:tc>
          <w:tcPr>
            <w:tcW w:w="598" w:type="pct"/>
            <w:vMerge w:val="restart"/>
            <w:tcBorders>
              <w:tl2br w:val="nil"/>
              <w:tr2bl w:val="nil"/>
            </w:tcBorders>
            <w:vAlign w:val="center"/>
          </w:tcPr>
          <w:p w14:paraId="059670C7">
            <w:pPr>
              <w:spacing w:line="360" w:lineRule="exact"/>
              <w:ind w:firstLine="0" w:firstLineChars="0"/>
              <w:jc w:val="center"/>
              <w:rPr>
                <w:rFonts w:cs="宋体"/>
                <w:sz w:val="21"/>
                <w:szCs w:val="21"/>
              </w:rPr>
            </w:pPr>
            <w:r>
              <w:rPr>
                <w:rFonts w:cs="宋体"/>
                <w:sz w:val="21"/>
                <w:szCs w:val="21"/>
              </w:rPr>
              <w:t>废水治理</w:t>
            </w:r>
          </w:p>
        </w:tc>
        <w:tc>
          <w:tcPr>
            <w:tcW w:w="3673" w:type="pct"/>
            <w:tcBorders>
              <w:tl2br w:val="nil"/>
              <w:tr2bl w:val="nil"/>
            </w:tcBorders>
            <w:vAlign w:val="center"/>
          </w:tcPr>
          <w:p w14:paraId="77713E15">
            <w:pPr>
              <w:spacing w:line="360" w:lineRule="exact"/>
              <w:ind w:firstLine="0" w:firstLineChars="0"/>
              <w:jc w:val="center"/>
              <w:rPr>
                <w:rFonts w:cs="宋体"/>
                <w:sz w:val="21"/>
                <w:szCs w:val="21"/>
              </w:rPr>
            </w:pPr>
            <w:r>
              <w:rPr>
                <w:rFonts w:hint="eastAsia" w:cs="宋体"/>
                <w:sz w:val="21"/>
                <w:szCs w:val="21"/>
              </w:rPr>
              <w:t>发酵产生的渗滤液经管道收集后同</w:t>
            </w:r>
            <w:r>
              <w:rPr>
                <w:rFonts w:cs="宋体"/>
                <w:sz w:val="21"/>
                <w:szCs w:val="21"/>
              </w:rPr>
              <w:t>生活污水</w:t>
            </w:r>
            <w:r>
              <w:rPr>
                <w:rFonts w:hint="eastAsia" w:cs="宋体"/>
                <w:sz w:val="21"/>
                <w:szCs w:val="21"/>
              </w:rPr>
              <w:t>排入化粪池收集，定期拉运至木垒县污水处理厂</w:t>
            </w:r>
            <w:r>
              <w:rPr>
                <w:rFonts w:cs="宋体"/>
                <w:sz w:val="21"/>
                <w:szCs w:val="21"/>
              </w:rPr>
              <w:t>，最终进入</w:t>
            </w:r>
            <w:r>
              <w:rPr>
                <w:rFonts w:hint="eastAsia" w:cs="宋体"/>
                <w:sz w:val="21"/>
                <w:szCs w:val="21"/>
              </w:rPr>
              <w:t>木垒县</w:t>
            </w:r>
            <w:r>
              <w:rPr>
                <w:rFonts w:cs="宋体"/>
                <w:sz w:val="21"/>
                <w:szCs w:val="21"/>
              </w:rPr>
              <w:t>城污水处理厂</w:t>
            </w:r>
            <w:r>
              <w:rPr>
                <w:rFonts w:hint="eastAsia" w:cs="宋体"/>
                <w:sz w:val="21"/>
                <w:szCs w:val="21"/>
              </w:rPr>
              <w:t>。</w:t>
            </w:r>
          </w:p>
        </w:tc>
        <w:tc>
          <w:tcPr>
            <w:tcW w:w="389" w:type="pct"/>
            <w:tcBorders>
              <w:tl2br w:val="nil"/>
              <w:tr2bl w:val="nil"/>
            </w:tcBorders>
            <w:vAlign w:val="center"/>
          </w:tcPr>
          <w:p w14:paraId="4E67A9E2">
            <w:pPr>
              <w:spacing w:line="360" w:lineRule="exact"/>
              <w:ind w:firstLine="0" w:firstLineChars="0"/>
              <w:jc w:val="center"/>
              <w:rPr>
                <w:sz w:val="21"/>
                <w:szCs w:val="21"/>
              </w:rPr>
            </w:pPr>
            <w:r>
              <w:rPr>
                <w:rFonts w:hint="eastAsia" w:cs="宋体"/>
                <w:sz w:val="21"/>
                <w:szCs w:val="21"/>
              </w:rPr>
              <w:t>新建</w:t>
            </w:r>
          </w:p>
        </w:tc>
      </w:tr>
      <w:tr w14:paraId="59839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18DDD6D4">
            <w:pPr>
              <w:spacing w:line="360" w:lineRule="exact"/>
              <w:ind w:firstLine="0" w:firstLineChars="0"/>
              <w:jc w:val="center"/>
              <w:rPr>
                <w:sz w:val="21"/>
              </w:rPr>
            </w:pPr>
          </w:p>
        </w:tc>
        <w:tc>
          <w:tcPr>
            <w:tcW w:w="598" w:type="pct"/>
            <w:vMerge w:val="continue"/>
            <w:tcBorders>
              <w:tl2br w:val="nil"/>
              <w:tr2bl w:val="nil"/>
            </w:tcBorders>
            <w:vAlign w:val="center"/>
          </w:tcPr>
          <w:p w14:paraId="11874362">
            <w:pPr>
              <w:spacing w:line="360" w:lineRule="exact"/>
              <w:ind w:firstLine="0" w:firstLineChars="0"/>
              <w:jc w:val="center"/>
              <w:rPr>
                <w:rFonts w:cs="宋体"/>
                <w:sz w:val="21"/>
                <w:szCs w:val="21"/>
              </w:rPr>
            </w:pPr>
          </w:p>
        </w:tc>
        <w:tc>
          <w:tcPr>
            <w:tcW w:w="3673" w:type="pct"/>
            <w:tcBorders>
              <w:tl2br w:val="nil"/>
              <w:tr2bl w:val="nil"/>
            </w:tcBorders>
            <w:vAlign w:val="center"/>
          </w:tcPr>
          <w:p w14:paraId="0D30BB34">
            <w:pPr>
              <w:spacing w:line="360" w:lineRule="exact"/>
              <w:ind w:firstLine="0" w:firstLineChars="0"/>
              <w:jc w:val="center"/>
              <w:rPr>
                <w:rFonts w:cs="宋体"/>
                <w:sz w:val="21"/>
                <w:szCs w:val="21"/>
              </w:rPr>
            </w:pPr>
            <w:r>
              <w:rPr>
                <w:rFonts w:hint="eastAsia" w:cs="宋体"/>
                <w:sz w:val="21"/>
                <w:szCs w:val="21"/>
              </w:rPr>
              <w:t>（</w:t>
            </w:r>
            <w:r>
              <w:rPr>
                <w:rFonts w:cs="宋体"/>
                <w:sz w:val="21"/>
                <w:szCs w:val="21"/>
              </w:rPr>
              <w:t>1</w:t>
            </w:r>
            <w:r>
              <w:rPr>
                <w:rFonts w:hint="eastAsia" w:cs="宋体"/>
                <w:sz w:val="21"/>
                <w:szCs w:val="21"/>
              </w:rPr>
              <w:t>）对堆肥场、防渗化粪池按重点防渗区采取措施，参照《危险废物贮存污染控制标准》（</w:t>
            </w:r>
            <w:r>
              <w:rPr>
                <w:rFonts w:cs="宋体"/>
                <w:sz w:val="21"/>
                <w:szCs w:val="21"/>
              </w:rPr>
              <w:t>GB18597-2001</w:t>
            </w:r>
            <w:r>
              <w:rPr>
                <w:rFonts w:hint="eastAsia" w:cs="宋体"/>
                <w:sz w:val="21"/>
                <w:szCs w:val="21"/>
              </w:rPr>
              <w:t>）：基础必须防渗，防渗层为至少</w:t>
            </w:r>
            <w:r>
              <w:rPr>
                <w:rFonts w:cs="宋体"/>
                <w:sz w:val="21"/>
                <w:szCs w:val="21"/>
              </w:rPr>
              <w:t>1m</w:t>
            </w:r>
            <w:r>
              <w:rPr>
                <w:rFonts w:hint="eastAsia" w:cs="宋体"/>
                <w:sz w:val="21"/>
                <w:szCs w:val="21"/>
              </w:rPr>
              <w:t>厚粘土层（渗透系数</w:t>
            </w:r>
            <w:r>
              <w:rPr>
                <w:rFonts w:cs="宋体"/>
                <w:sz w:val="21"/>
                <w:szCs w:val="21"/>
              </w:rPr>
              <w:t>≤10</w:t>
            </w:r>
            <w:r>
              <w:rPr>
                <w:rFonts w:cs="宋体"/>
                <w:sz w:val="21"/>
                <w:szCs w:val="21"/>
                <w:vertAlign w:val="superscript"/>
              </w:rPr>
              <w:t>-7</w:t>
            </w:r>
            <w:r>
              <w:rPr>
                <w:rFonts w:cs="宋体"/>
                <w:sz w:val="21"/>
                <w:szCs w:val="21"/>
              </w:rPr>
              <w:t>cm/s</w:t>
            </w:r>
            <w:r>
              <w:rPr>
                <w:rFonts w:hint="eastAsia" w:cs="宋体"/>
                <w:sz w:val="21"/>
                <w:szCs w:val="21"/>
              </w:rPr>
              <w:t>），或</w:t>
            </w:r>
            <w:r>
              <w:rPr>
                <w:rFonts w:cs="宋体"/>
                <w:sz w:val="21"/>
                <w:szCs w:val="21"/>
              </w:rPr>
              <w:t>2mm</w:t>
            </w:r>
            <w:r>
              <w:rPr>
                <w:rFonts w:hint="eastAsia" w:cs="宋体"/>
                <w:sz w:val="21"/>
                <w:szCs w:val="21"/>
              </w:rPr>
              <w:t>厚高密度聚乙烯，或至</w:t>
            </w:r>
            <w:r>
              <w:rPr>
                <w:rFonts w:cs="宋体"/>
                <w:sz w:val="21"/>
                <w:szCs w:val="21"/>
              </w:rPr>
              <w:t>2mm</w:t>
            </w:r>
            <w:r>
              <w:rPr>
                <w:rFonts w:hint="eastAsia" w:cs="宋体"/>
                <w:sz w:val="21"/>
                <w:szCs w:val="21"/>
              </w:rPr>
              <w:t>厚的其它人工材料，渗透系数</w:t>
            </w:r>
            <w:r>
              <w:rPr>
                <w:rFonts w:cs="宋体"/>
                <w:sz w:val="21"/>
                <w:szCs w:val="21"/>
              </w:rPr>
              <w:t>≤10</w:t>
            </w:r>
            <w:r>
              <w:rPr>
                <w:rFonts w:cs="宋体"/>
                <w:sz w:val="21"/>
                <w:szCs w:val="21"/>
                <w:vertAlign w:val="superscript"/>
              </w:rPr>
              <w:t>-10</w:t>
            </w:r>
            <w:r>
              <w:rPr>
                <w:rFonts w:cs="宋体"/>
                <w:sz w:val="21"/>
                <w:szCs w:val="21"/>
              </w:rPr>
              <w:t>cm/s</w:t>
            </w:r>
            <w:r>
              <w:rPr>
                <w:rFonts w:hint="eastAsia" w:cs="宋体"/>
                <w:sz w:val="21"/>
                <w:szCs w:val="21"/>
              </w:rPr>
              <w:t>。（</w:t>
            </w:r>
            <w:r>
              <w:rPr>
                <w:rFonts w:cs="宋体"/>
                <w:sz w:val="21"/>
                <w:szCs w:val="21"/>
              </w:rPr>
              <w:t>2</w:t>
            </w:r>
            <w:r>
              <w:rPr>
                <w:rFonts w:hint="eastAsia" w:cs="宋体"/>
                <w:sz w:val="21"/>
                <w:szCs w:val="21"/>
              </w:rPr>
              <w:t>）对消防水池地面（池底）按一般防渗区采取防渗措施。底压实粘土层厚度要</w:t>
            </w:r>
            <w:r>
              <w:rPr>
                <w:rFonts w:cs="宋体"/>
                <w:sz w:val="21"/>
                <w:szCs w:val="21"/>
              </w:rPr>
              <w:t>≥1m</w:t>
            </w:r>
            <w:r>
              <w:rPr>
                <w:rFonts w:hint="eastAsia" w:cs="宋体"/>
                <w:sz w:val="21"/>
                <w:szCs w:val="21"/>
              </w:rPr>
              <w:t>，满足渗透系数</w:t>
            </w:r>
            <w:r>
              <w:rPr>
                <w:rFonts w:cs="宋体"/>
                <w:sz w:val="21"/>
                <w:szCs w:val="21"/>
              </w:rPr>
              <w:t>K≤1.0×10</w:t>
            </w:r>
            <w:r>
              <w:rPr>
                <w:rFonts w:cs="宋体"/>
                <w:sz w:val="21"/>
                <w:szCs w:val="21"/>
                <w:vertAlign w:val="superscript"/>
              </w:rPr>
              <w:t>-7</w:t>
            </w:r>
            <w:r>
              <w:rPr>
                <w:rFonts w:cs="宋体"/>
                <w:sz w:val="21"/>
                <w:szCs w:val="21"/>
              </w:rPr>
              <w:t>cm/s</w:t>
            </w:r>
            <w:r>
              <w:rPr>
                <w:rFonts w:hint="eastAsia" w:cs="宋体"/>
                <w:sz w:val="21"/>
                <w:szCs w:val="21"/>
              </w:rPr>
              <w:t>；防渗粘土层上部及贮水池侧面铺设</w:t>
            </w:r>
            <w:r>
              <w:rPr>
                <w:rFonts w:cs="宋体"/>
                <w:sz w:val="21"/>
                <w:szCs w:val="21"/>
              </w:rPr>
              <w:t>1.0mm</w:t>
            </w:r>
            <w:r>
              <w:rPr>
                <w:rFonts w:hint="eastAsia" w:cs="宋体"/>
                <w:sz w:val="21"/>
                <w:szCs w:val="21"/>
              </w:rPr>
              <w:t>高密度聚乙烯（</w:t>
            </w:r>
            <w:r>
              <w:rPr>
                <w:rFonts w:cs="宋体"/>
                <w:sz w:val="21"/>
                <w:szCs w:val="21"/>
              </w:rPr>
              <w:t>HDPE</w:t>
            </w:r>
            <w:r>
              <w:rPr>
                <w:rFonts w:hint="eastAsia" w:cs="宋体"/>
                <w:sz w:val="21"/>
                <w:szCs w:val="21"/>
              </w:rPr>
              <w:t>）防渗膜（渗透系数</w:t>
            </w:r>
            <w:r>
              <w:rPr>
                <w:rFonts w:cs="宋体"/>
                <w:sz w:val="21"/>
                <w:szCs w:val="21"/>
              </w:rPr>
              <w:t>K≤10</w:t>
            </w:r>
            <w:r>
              <w:rPr>
                <w:rFonts w:cs="宋体"/>
                <w:sz w:val="21"/>
                <w:szCs w:val="21"/>
                <w:vertAlign w:val="superscript"/>
              </w:rPr>
              <w:t>-7</w:t>
            </w:r>
            <w:r>
              <w:rPr>
                <w:rFonts w:cs="宋体"/>
                <w:sz w:val="21"/>
                <w:szCs w:val="21"/>
              </w:rPr>
              <w:t>cm/s</w:t>
            </w:r>
            <w:r>
              <w:rPr>
                <w:rFonts w:hint="eastAsia" w:cs="宋体"/>
                <w:sz w:val="21"/>
                <w:szCs w:val="21"/>
              </w:rPr>
              <w:t>），在做好基层防渗的基础上进行水泥硬化。</w:t>
            </w:r>
          </w:p>
        </w:tc>
        <w:tc>
          <w:tcPr>
            <w:tcW w:w="389" w:type="pct"/>
            <w:tcBorders>
              <w:tl2br w:val="nil"/>
              <w:tr2bl w:val="nil"/>
            </w:tcBorders>
            <w:vAlign w:val="center"/>
          </w:tcPr>
          <w:p w14:paraId="218A8100">
            <w:pPr>
              <w:spacing w:line="360" w:lineRule="exact"/>
              <w:ind w:firstLine="0" w:firstLineChars="0"/>
              <w:jc w:val="center"/>
              <w:rPr>
                <w:sz w:val="21"/>
                <w:szCs w:val="21"/>
              </w:rPr>
            </w:pPr>
            <w:r>
              <w:rPr>
                <w:rFonts w:hint="eastAsia" w:cs="宋体"/>
                <w:sz w:val="21"/>
                <w:szCs w:val="21"/>
              </w:rPr>
              <w:t>新建</w:t>
            </w:r>
          </w:p>
        </w:tc>
      </w:tr>
      <w:tr w14:paraId="1C46B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29753109">
            <w:pPr>
              <w:spacing w:line="360" w:lineRule="exact"/>
              <w:ind w:firstLine="0" w:firstLineChars="0"/>
              <w:jc w:val="center"/>
              <w:rPr>
                <w:sz w:val="21"/>
              </w:rPr>
            </w:pPr>
          </w:p>
        </w:tc>
        <w:tc>
          <w:tcPr>
            <w:tcW w:w="598" w:type="pct"/>
            <w:tcBorders>
              <w:tl2br w:val="nil"/>
              <w:tr2bl w:val="nil"/>
            </w:tcBorders>
            <w:vAlign w:val="center"/>
          </w:tcPr>
          <w:p w14:paraId="0FE6E390">
            <w:pPr>
              <w:spacing w:line="360" w:lineRule="exact"/>
              <w:ind w:firstLine="0" w:firstLineChars="0"/>
              <w:jc w:val="center"/>
              <w:rPr>
                <w:rFonts w:cs="宋体"/>
                <w:sz w:val="21"/>
                <w:szCs w:val="21"/>
              </w:rPr>
            </w:pPr>
            <w:r>
              <w:rPr>
                <w:rFonts w:cs="宋体"/>
                <w:sz w:val="21"/>
                <w:szCs w:val="21"/>
              </w:rPr>
              <w:t>噪声治理</w:t>
            </w:r>
          </w:p>
        </w:tc>
        <w:tc>
          <w:tcPr>
            <w:tcW w:w="3673" w:type="pct"/>
            <w:tcBorders>
              <w:tl2br w:val="nil"/>
              <w:tr2bl w:val="nil"/>
            </w:tcBorders>
            <w:vAlign w:val="center"/>
          </w:tcPr>
          <w:p w14:paraId="27B4D51E">
            <w:pPr>
              <w:spacing w:line="360" w:lineRule="exact"/>
              <w:ind w:firstLine="0" w:firstLineChars="0"/>
              <w:jc w:val="center"/>
              <w:rPr>
                <w:rFonts w:cs="宋体"/>
                <w:sz w:val="21"/>
                <w:szCs w:val="21"/>
              </w:rPr>
            </w:pPr>
            <w:r>
              <w:rPr>
                <w:rFonts w:cs="宋体"/>
                <w:sz w:val="21"/>
                <w:szCs w:val="21"/>
              </w:rPr>
              <w:t>对产生噪声的设备采取消音、厂房屏蔽及隔声措施</w:t>
            </w:r>
          </w:p>
        </w:tc>
        <w:tc>
          <w:tcPr>
            <w:tcW w:w="389" w:type="pct"/>
            <w:tcBorders>
              <w:tl2br w:val="nil"/>
              <w:tr2bl w:val="nil"/>
            </w:tcBorders>
            <w:vAlign w:val="center"/>
          </w:tcPr>
          <w:p w14:paraId="5F60B684">
            <w:pPr>
              <w:spacing w:line="360" w:lineRule="exact"/>
              <w:ind w:firstLine="0" w:firstLineChars="0"/>
              <w:jc w:val="center"/>
              <w:rPr>
                <w:sz w:val="21"/>
                <w:szCs w:val="21"/>
              </w:rPr>
            </w:pPr>
            <w:r>
              <w:rPr>
                <w:rFonts w:hint="eastAsia" w:cs="宋体"/>
                <w:sz w:val="21"/>
                <w:szCs w:val="21"/>
              </w:rPr>
              <w:t>新建</w:t>
            </w:r>
          </w:p>
        </w:tc>
      </w:tr>
      <w:tr w14:paraId="01E37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40" w:type="pct"/>
            <w:vMerge w:val="continue"/>
            <w:tcBorders>
              <w:tl2br w:val="nil"/>
              <w:tr2bl w:val="nil"/>
            </w:tcBorders>
            <w:vAlign w:val="center"/>
          </w:tcPr>
          <w:p w14:paraId="611621F8">
            <w:pPr>
              <w:spacing w:line="360" w:lineRule="exact"/>
              <w:ind w:firstLine="0" w:firstLineChars="0"/>
              <w:jc w:val="center"/>
              <w:rPr>
                <w:sz w:val="21"/>
              </w:rPr>
            </w:pPr>
          </w:p>
        </w:tc>
        <w:tc>
          <w:tcPr>
            <w:tcW w:w="598" w:type="pct"/>
            <w:tcBorders>
              <w:tl2br w:val="nil"/>
              <w:tr2bl w:val="nil"/>
            </w:tcBorders>
            <w:vAlign w:val="center"/>
          </w:tcPr>
          <w:p w14:paraId="29220B93">
            <w:pPr>
              <w:spacing w:line="360" w:lineRule="exact"/>
              <w:ind w:firstLine="0" w:firstLineChars="0"/>
              <w:jc w:val="center"/>
              <w:rPr>
                <w:rFonts w:cs="宋体"/>
                <w:sz w:val="21"/>
                <w:szCs w:val="21"/>
              </w:rPr>
            </w:pPr>
            <w:r>
              <w:rPr>
                <w:rFonts w:cs="宋体"/>
                <w:sz w:val="21"/>
                <w:szCs w:val="21"/>
              </w:rPr>
              <w:t>废气治理</w:t>
            </w:r>
          </w:p>
        </w:tc>
        <w:tc>
          <w:tcPr>
            <w:tcW w:w="3673" w:type="pct"/>
            <w:tcBorders>
              <w:tl2br w:val="nil"/>
              <w:tr2bl w:val="nil"/>
            </w:tcBorders>
            <w:vAlign w:val="center"/>
          </w:tcPr>
          <w:p w14:paraId="1A22D022">
            <w:pPr>
              <w:spacing w:line="360" w:lineRule="exact"/>
              <w:ind w:firstLine="0" w:firstLineChars="0"/>
              <w:jc w:val="center"/>
              <w:rPr>
                <w:rFonts w:cs="宋体"/>
                <w:sz w:val="21"/>
                <w:szCs w:val="21"/>
              </w:rPr>
            </w:pPr>
            <w:r>
              <w:rPr>
                <w:rFonts w:hint="eastAsia" w:cs="宋体"/>
                <w:sz w:val="21"/>
                <w:szCs w:val="21"/>
              </w:rPr>
              <w:t>在饲料中添加沙皂素灯除臭剂，并科学合理调控饲粮，同时加强骆驼养殖场的环境跟踪和管理动气清理粪便，对堆肥场定期喷洒除臭剂，加强厂区绿化。</w:t>
            </w:r>
          </w:p>
        </w:tc>
        <w:tc>
          <w:tcPr>
            <w:tcW w:w="389" w:type="pct"/>
            <w:tcBorders>
              <w:tl2br w:val="nil"/>
              <w:tr2bl w:val="nil"/>
            </w:tcBorders>
            <w:vAlign w:val="center"/>
          </w:tcPr>
          <w:p w14:paraId="44977800">
            <w:pPr>
              <w:spacing w:line="360" w:lineRule="exact"/>
              <w:ind w:firstLine="0" w:firstLineChars="0"/>
              <w:jc w:val="center"/>
              <w:rPr>
                <w:sz w:val="21"/>
                <w:szCs w:val="21"/>
              </w:rPr>
            </w:pPr>
            <w:r>
              <w:rPr>
                <w:rFonts w:hint="eastAsia" w:cs="宋体"/>
                <w:sz w:val="21"/>
                <w:szCs w:val="21"/>
              </w:rPr>
              <w:t>新建</w:t>
            </w:r>
          </w:p>
        </w:tc>
      </w:tr>
    </w:tbl>
    <w:p w14:paraId="0E0EB138">
      <w:pPr>
        <w:pStyle w:val="5"/>
      </w:pPr>
      <w:bookmarkStart w:id="58" w:name="_Toc106663462"/>
      <w:r>
        <w:rPr>
          <w:rFonts w:hint="eastAsia"/>
        </w:rPr>
        <w:t>3.1.3主要原辅材料</w:t>
      </w:r>
      <w:bookmarkEnd w:id="58"/>
    </w:p>
    <w:p w14:paraId="64B172FB">
      <w:pPr>
        <w:ind w:firstLine="480"/>
      </w:pPr>
      <w:r>
        <w:rPr>
          <w:rFonts w:hint="eastAsia"/>
        </w:rPr>
        <w:t>本项目饲草料均为外购成品不在场区进行饲料加工。本项目原辅材料耗情况见下表3.1-2。</w:t>
      </w:r>
    </w:p>
    <w:p w14:paraId="0694FC86">
      <w:pPr>
        <w:pStyle w:val="11"/>
      </w:pPr>
      <w:r>
        <w:rPr>
          <w:rFonts w:hint="eastAsia"/>
        </w:rPr>
        <w:t>表3.1-本项目原辅材料用量情况一览表</w:t>
      </w:r>
    </w:p>
    <w:tbl>
      <w:tblPr>
        <w:tblStyle w:val="183"/>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6"/>
        <w:gridCol w:w="1157"/>
        <w:gridCol w:w="1173"/>
        <w:gridCol w:w="2933"/>
        <w:gridCol w:w="2690"/>
      </w:tblGrid>
      <w:tr w14:paraId="0D1E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915" w:type="pct"/>
            <w:gridSpan w:val="2"/>
            <w:tcBorders>
              <w:tl2br w:val="nil"/>
              <w:tr2bl w:val="nil"/>
            </w:tcBorders>
            <w:vAlign w:val="center"/>
          </w:tcPr>
          <w:p w14:paraId="1CA86564">
            <w:pPr>
              <w:spacing w:line="360" w:lineRule="exact"/>
              <w:ind w:firstLine="0" w:firstLineChars="0"/>
              <w:jc w:val="center"/>
              <w:rPr>
                <w:rFonts w:cs="宋体"/>
                <w:sz w:val="21"/>
                <w:szCs w:val="21"/>
              </w:rPr>
            </w:pPr>
            <w:r>
              <w:rPr>
                <w:rFonts w:cs="宋体"/>
                <w:sz w:val="21"/>
                <w:szCs w:val="21"/>
              </w:rPr>
              <w:t>名称</w:t>
            </w:r>
          </w:p>
        </w:tc>
        <w:tc>
          <w:tcPr>
            <w:tcW w:w="705" w:type="pct"/>
            <w:tcBorders>
              <w:tl2br w:val="nil"/>
              <w:tr2bl w:val="nil"/>
            </w:tcBorders>
            <w:vAlign w:val="center"/>
          </w:tcPr>
          <w:p w14:paraId="03467676">
            <w:pPr>
              <w:spacing w:line="360" w:lineRule="exact"/>
              <w:ind w:firstLine="0" w:firstLineChars="0"/>
              <w:jc w:val="center"/>
              <w:rPr>
                <w:rFonts w:cs="宋体"/>
                <w:sz w:val="21"/>
                <w:szCs w:val="21"/>
              </w:rPr>
            </w:pPr>
            <w:r>
              <w:rPr>
                <w:rFonts w:cs="宋体"/>
                <w:sz w:val="21"/>
                <w:szCs w:val="21"/>
              </w:rPr>
              <w:t>数量</w:t>
            </w:r>
          </w:p>
        </w:tc>
        <w:tc>
          <w:tcPr>
            <w:tcW w:w="1762" w:type="pct"/>
            <w:tcBorders>
              <w:tl2br w:val="nil"/>
              <w:tr2bl w:val="nil"/>
            </w:tcBorders>
            <w:vAlign w:val="center"/>
          </w:tcPr>
          <w:p w14:paraId="413B4B22">
            <w:pPr>
              <w:spacing w:line="360" w:lineRule="exact"/>
              <w:ind w:firstLine="0" w:firstLineChars="0"/>
              <w:jc w:val="center"/>
              <w:rPr>
                <w:rFonts w:cs="宋体"/>
                <w:sz w:val="21"/>
                <w:szCs w:val="21"/>
              </w:rPr>
            </w:pPr>
            <w:r>
              <w:rPr>
                <w:rFonts w:cs="宋体"/>
                <w:sz w:val="21"/>
                <w:szCs w:val="21"/>
              </w:rPr>
              <w:t>来源</w:t>
            </w:r>
          </w:p>
        </w:tc>
        <w:tc>
          <w:tcPr>
            <w:tcW w:w="1616" w:type="pct"/>
            <w:tcBorders>
              <w:tl2br w:val="nil"/>
              <w:tr2bl w:val="nil"/>
            </w:tcBorders>
            <w:vAlign w:val="center"/>
          </w:tcPr>
          <w:p w14:paraId="1ABE2F06">
            <w:pPr>
              <w:spacing w:line="360" w:lineRule="exact"/>
              <w:ind w:firstLine="0" w:firstLineChars="0"/>
              <w:jc w:val="center"/>
              <w:rPr>
                <w:rFonts w:cs="宋体"/>
                <w:sz w:val="21"/>
                <w:szCs w:val="21"/>
              </w:rPr>
            </w:pPr>
            <w:r>
              <w:rPr>
                <w:rFonts w:cs="宋体"/>
                <w:sz w:val="21"/>
                <w:szCs w:val="21"/>
              </w:rPr>
              <w:t>备注</w:t>
            </w:r>
          </w:p>
        </w:tc>
      </w:tr>
      <w:tr w14:paraId="4DECC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restart"/>
            <w:tcBorders>
              <w:tl2br w:val="nil"/>
              <w:tr2bl w:val="nil"/>
            </w:tcBorders>
            <w:vAlign w:val="center"/>
          </w:tcPr>
          <w:p w14:paraId="6D81D2D0">
            <w:pPr>
              <w:spacing w:line="360" w:lineRule="exact"/>
              <w:ind w:firstLine="0" w:firstLineChars="0"/>
              <w:jc w:val="center"/>
              <w:rPr>
                <w:rFonts w:cs="宋体"/>
                <w:sz w:val="21"/>
                <w:szCs w:val="21"/>
              </w:rPr>
            </w:pPr>
            <w:r>
              <w:rPr>
                <w:rFonts w:hint="eastAsia" w:cs="宋体"/>
                <w:sz w:val="21"/>
                <w:szCs w:val="21"/>
              </w:rPr>
              <w:t>骆驼</w:t>
            </w:r>
            <w:r>
              <w:rPr>
                <w:rFonts w:cs="宋体"/>
                <w:sz w:val="21"/>
                <w:szCs w:val="21"/>
              </w:rPr>
              <w:t>饲养</w:t>
            </w:r>
          </w:p>
        </w:tc>
        <w:tc>
          <w:tcPr>
            <w:tcW w:w="695" w:type="pct"/>
            <w:tcBorders>
              <w:tl2br w:val="nil"/>
              <w:tr2bl w:val="nil"/>
            </w:tcBorders>
            <w:vAlign w:val="center"/>
          </w:tcPr>
          <w:p w14:paraId="2881601D">
            <w:pPr>
              <w:spacing w:line="360" w:lineRule="exact"/>
              <w:ind w:firstLine="0" w:firstLineChars="0"/>
              <w:jc w:val="center"/>
              <w:rPr>
                <w:rFonts w:cs="宋体"/>
                <w:sz w:val="21"/>
                <w:szCs w:val="21"/>
              </w:rPr>
            </w:pPr>
            <w:r>
              <w:rPr>
                <w:rFonts w:hint="eastAsia" w:cs="宋体"/>
                <w:sz w:val="21"/>
                <w:szCs w:val="21"/>
              </w:rPr>
              <w:t>骆驼</w:t>
            </w:r>
          </w:p>
        </w:tc>
        <w:tc>
          <w:tcPr>
            <w:tcW w:w="705" w:type="pct"/>
            <w:tcBorders>
              <w:tl2br w:val="nil"/>
              <w:tr2bl w:val="nil"/>
            </w:tcBorders>
            <w:vAlign w:val="center"/>
          </w:tcPr>
          <w:p w14:paraId="0650F767">
            <w:pPr>
              <w:spacing w:line="360" w:lineRule="exact"/>
              <w:ind w:firstLine="0" w:firstLineChars="0"/>
              <w:jc w:val="center"/>
              <w:rPr>
                <w:rFonts w:cs="宋体"/>
                <w:sz w:val="21"/>
                <w:szCs w:val="21"/>
              </w:rPr>
            </w:pPr>
            <w:r>
              <w:rPr>
                <w:rFonts w:hint="eastAsia"/>
                <w:sz w:val="21"/>
                <w:szCs w:val="21"/>
              </w:rPr>
              <w:t>400峰</w:t>
            </w:r>
          </w:p>
        </w:tc>
        <w:tc>
          <w:tcPr>
            <w:tcW w:w="1762" w:type="pct"/>
            <w:tcBorders>
              <w:tl2br w:val="nil"/>
              <w:tr2bl w:val="nil"/>
            </w:tcBorders>
            <w:vAlign w:val="center"/>
          </w:tcPr>
          <w:p w14:paraId="6B2FED1A">
            <w:pPr>
              <w:spacing w:line="360" w:lineRule="exact"/>
              <w:ind w:firstLine="0" w:firstLineChars="0"/>
              <w:jc w:val="center"/>
              <w:rPr>
                <w:rFonts w:cs="宋体"/>
                <w:sz w:val="21"/>
                <w:szCs w:val="21"/>
              </w:rPr>
            </w:pPr>
            <w:r>
              <w:rPr>
                <w:rFonts w:cs="宋体"/>
                <w:sz w:val="21"/>
                <w:szCs w:val="21"/>
              </w:rPr>
              <w:t>外购</w:t>
            </w:r>
          </w:p>
        </w:tc>
        <w:tc>
          <w:tcPr>
            <w:tcW w:w="1616" w:type="pct"/>
            <w:tcBorders>
              <w:tl2br w:val="nil"/>
              <w:tr2bl w:val="nil"/>
            </w:tcBorders>
            <w:vAlign w:val="center"/>
          </w:tcPr>
          <w:p w14:paraId="28A7F19D">
            <w:pPr>
              <w:spacing w:line="360" w:lineRule="exact"/>
              <w:ind w:firstLine="0" w:firstLineChars="0"/>
              <w:jc w:val="center"/>
              <w:rPr>
                <w:rFonts w:cs="宋体"/>
                <w:sz w:val="21"/>
                <w:szCs w:val="21"/>
              </w:rPr>
            </w:pPr>
            <w:r>
              <w:rPr>
                <w:rFonts w:hint="eastAsia" w:cs="宋体"/>
                <w:sz w:val="21"/>
                <w:szCs w:val="21"/>
              </w:rPr>
              <w:t>/</w:t>
            </w:r>
          </w:p>
        </w:tc>
      </w:tr>
      <w:tr w14:paraId="66BA8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textDirection w:val="tbRlV"/>
            <w:vAlign w:val="center"/>
          </w:tcPr>
          <w:p w14:paraId="10BCF21C">
            <w:pPr>
              <w:spacing w:line="360" w:lineRule="exact"/>
              <w:ind w:firstLine="0" w:firstLineChars="0"/>
              <w:jc w:val="center"/>
              <w:rPr>
                <w:sz w:val="21"/>
              </w:rPr>
            </w:pPr>
          </w:p>
        </w:tc>
        <w:tc>
          <w:tcPr>
            <w:tcW w:w="695" w:type="pct"/>
            <w:tcBorders>
              <w:tl2br w:val="nil"/>
              <w:tr2bl w:val="nil"/>
            </w:tcBorders>
            <w:vAlign w:val="center"/>
          </w:tcPr>
          <w:p w14:paraId="3BA0CB74">
            <w:pPr>
              <w:spacing w:line="360" w:lineRule="exact"/>
              <w:ind w:firstLine="0" w:firstLineChars="0"/>
              <w:jc w:val="center"/>
              <w:rPr>
                <w:rFonts w:cs="宋体"/>
                <w:sz w:val="21"/>
                <w:szCs w:val="21"/>
              </w:rPr>
            </w:pPr>
            <w:r>
              <w:rPr>
                <w:rFonts w:cs="宋体"/>
                <w:sz w:val="21"/>
                <w:szCs w:val="21"/>
              </w:rPr>
              <w:t>防疫药品</w:t>
            </w:r>
          </w:p>
        </w:tc>
        <w:tc>
          <w:tcPr>
            <w:tcW w:w="705" w:type="pct"/>
            <w:tcBorders>
              <w:tl2br w:val="nil"/>
              <w:tr2bl w:val="nil"/>
            </w:tcBorders>
            <w:vAlign w:val="center"/>
          </w:tcPr>
          <w:p w14:paraId="22A9EC39">
            <w:pPr>
              <w:spacing w:line="360" w:lineRule="exact"/>
              <w:ind w:firstLine="0" w:firstLineChars="0"/>
              <w:jc w:val="center"/>
              <w:rPr>
                <w:sz w:val="21"/>
                <w:szCs w:val="21"/>
              </w:rPr>
            </w:pPr>
            <w:r>
              <w:rPr>
                <w:sz w:val="21"/>
                <w:szCs w:val="21"/>
              </w:rPr>
              <w:t>2.6t/a</w:t>
            </w:r>
          </w:p>
        </w:tc>
        <w:tc>
          <w:tcPr>
            <w:tcW w:w="1762" w:type="pct"/>
            <w:tcBorders>
              <w:tl2br w:val="nil"/>
              <w:tr2bl w:val="nil"/>
            </w:tcBorders>
            <w:vAlign w:val="center"/>
          </w:tcPr>
          <w:p w14:paraId="6BD7FA55">
            <w:pPr>
              <w:spacing w:line="360" w:lineRule="exact"/>
              <w:ind w:firstLine="0" w:firstLineChars="0"/>
              <w:jc w:val="center"/>
              <w:rPr>
                <w:rFonts w:cs="宋体"/>
                <w:sz w:val="21"/>
                <w:szCs w:val="21"/>
              </w:rPr>
            </w:pPr>
            <w:r>
              <w:rPr>
                <w:rFonts w:cs="宋体"/>
                <w:sz w:val="21"/>
                <w:szCs w:val="21"/>
              </w:rPr>
              <w:t>外购</w:t>
            </w:r>
          </w:p>
        </w:tc>
        <w:tc>
          <w:tcPr>
            <w:tcW w:w="1616" w:type="pct"/>
            <w:tcBorders>
              <w:tl2br w:val="nil"/>
              <w:tr2bl w:val="nil"/>
            </w:tcBorders>
            <w:vAlign w:val="center"/>
          </w:tcPr>
          <w:p w14:paraId="57AB6E7C">
            <w:pPr>
              <w:spacing w:line="360" w:lineRule="exact"/>
              <w:ind w:firstLine="0" w:firstLineChars="0"/>
              <w:jc w:val="center"/>
              <w:rPr>
                <w:sz w:val="21"/>
                <w:szCs w:val="21"/>
              </w:rPr>
            </w:pPr>
            <w:r>
              <w:rPr>
                <w:sz w:val="21"/>
                <w:szCs w:val="21"/>
              </w:rPr>
              <w:t>/</w:t>
            </w:r>
          </w:p>
        </w:tc>
      </w:tr>
      <w:tr w14:paraId="58078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textDirection w:val="tbRlV"/>
            <w:vAlign w:val="center"/>
          </w:tcPr>
          <w:p w14:paraId="1C2F76ED">
            <w:pPr>
              <w:spacing w:line="360" w:lineRule="exact"/>
              <w:ind w:firstLine="0" w:firstLineChars="0"/>
              <w:jc w:val="center"/>
              <w:rPr>
                <w:sz w:val="21"/>
              </w:rPr>
            </w:pPr>
          </w:p>
        </w:tc>
        <w:tc>
          <w:tcPr>
            <w:tcW w:w="695" w:type="pct"/>
            <w:tcBorders>
              <w:tl2br w:val="nil"/>
              <w:tr2bl w:val="nil"/>
            </w:tcBorders>
            <w:vAlign w:val="center"/>
          </w:tcPr>
          <w:p w14:paraId="63F226CE">
            <w:pPr>
              <w:spacing w:line="360" w:lineRule="exact"/>
              <w:ind w:firstLine="0" w:firstLineChars="0"/>
              <w:jc w:val="center"/>
              <w:rPr>
                <w:rFonts w:cs="宋体"/>
                <w:sz w:val="21"/>
                <w:szCs w:val="21"/>
              </w:rPr>
            </w:pPr>
            <w:r>
              <w:rPr>
                <w:rFonts w:cs="宋体"/>
                <w:sz w:val="21"/>
                <w:szCs w:val="21"/>
              </w:rPr>
              <w:t>消毒药品</w:t>
            </w:r>
          </w:p>
        </w:tc>
        <w:tc>
          <w:tcPr>
            <w:tcW w:w="705" w:type="pct"/>
            <w:tcBorders>
              <w:tl2br w:val="nil"/>
              <w:tr2bl w:val="nil"/>
            </w:tcBorders>
            <w:vAlign w:val="center"/>
          </w:tcPr>
          <w:p w14:paraId="5BC79C54">
            <w:pPr>
              <w:spacing w:line="360" w:lineRule="exact"/>
              <w:ind w:firstLine="0" w:firstLineChars="0"/>
              <w:jc w:val="center"/>
              <w:rPr>
                <w:sz w:val="21"/>
                <w:szCs w:val="21"/>
              </w:rPr>
            </w:pPr>
            <w:r>
              <w:rPr>
                <w:rFonts w:hint="eastAsia"/>
                <w:sz w:val="21"/>
                <w:szCs w:val="21"/>
              </w:rPr>
              <w:t>10</w:t>
            </w:r>
            <w:r>
              <w:rPr>
                <w:sz w:val="21"/>
                <w:szCs w:val="21"/>
              </w:rPr>
              <w:t>t/a</w:t>
            </w:r>
          </w:p>
        </w:tc>
        <w:tc>
          <w:tcPr>
            <w:tcW w:w="1762" w:type="pct"/>
            <w:tcBorders>
              <w:tl2br w:val="nil"/>
              <w:tr2bl w:val="nil"/>
            </w:tcBorders>
            <w:vAlign w:val="center"/>
          </w:tcPr>
          <w:p w14:paraId="13C52726">
            <w:pPr>
              <w:spacing w:line="360" w:lineRule="exact"/>
              <w:ind w:firstLine="0" w:firstLineChars="0"/>
              <w:jc w:val="center"/>
              <w:rPr>
                <w:rFonts w:cs="宋体"/>
                <w:sz w:val="21"/>
                <w:szCs w:val="21"/>
              </w:rPr>
            </w:pPr>
            <w:r>
              <w:rPr>
                <w:rFonts w:cs="宋体"/>
                <w:sz w:val="21"/>
                <w:szCs w:val="21"/>
              </w:rPr>
              <w:t>外购</w:t>
            </w:r>
          </w:p>
        </w:tc>
        <w:tc>
          <w:tcPr>
            <w:tcW w:w="1616" w:type="pct"/>
            <w:tcBorders>
              <w:tl2br w:val="nil"/>
              <w:tr2bl w:val="nil"/>
            </w:tcBorders>
            <w:vAlign w:val="center"/>
          </w:tcPr>
          <w:p w14:paraId="0D7B8E1C">
            <w:pPr>
              <w:spacing w:line="360" w:lineRule="exact"/>
              <w:ind w:firstLine="0" w:firstLineChars="0"/>
              <w:jc w:val="center"/>
              <w:rPr>
                <w:rFonts w:cs="宋体"/>
                <w:sz w:val="21"/>
                <w:szCs w:val="21"/>
              </w:rPr>
            </w:pPr>
            <w:r>
              <w:rPr>
                <w:rFonts w:cs="宋体"/>
                <w:sz w:val="21"/>
                <w:szCs w:val="21"/>
              </w:rPr>
              <w:t>主要复合酚、来苏尔、氯制剂</w:t>
            </w:r>
          </w:p>
        </w:tc>
      </w:tr>
      <w:tr w14:paraId="41D2A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textDirection w:val="tbRlV"/>
            <w:vAlign w:val="center"/>
          </w:tcPr>
          <w:p w14:paraId="351BFE94">
            <w:pPr>
              <w:spacing w:line="360" w:lineRule="exact"/>
              <w:ind w:firstLine="0" w:firstLineChars="0"/>
              <w:jc w:val="center"/>
              <w:rPr>
                <w:sz w:val="21"/>
              </w:rPr>
            </w:pPr>
          </w:p>
        </w:tc>
        <w:tc>
          <w:tcPr>
            <w:tcW w:w="695" w:type="pct"/>
            <w:tcBorders>
              <w:tl2br w:val="nil"/>
              <w:tr2bl w:val="nil"/>
            </w:tcBorders>
            <w:vAlign w:val="center"/>
          </w:tcPr>
          <w:p w14:paraId="0E023721">
            <w:pPr>
              <w:spacing w:line="360" w:lineRule="exact"/>
              <w:ind w:firstLine="0" w:firstLineChars="0"/>
              <w:jc w:val="center"/>
              <w:rPr>
                <w:rFonts w:cs="宋体"/>
                <w:sz w:val="21"/>
                <w:szCs w:val="21"/>
              </w:rPr>
            </w:pPr>
            <w:r>
              <w:rPr>
                <w:rFonts w:hint="eastAsia" w:cs="宋体"/>
                <w:sz w:val="21"/>
                <w:szCs w:val="21"/>
              </w:rPr>
              <w:t>精饲料</w:t>
            </w:r>
          </w:p>
        </w:tc>
        <w:tc>
          <w:tcPr>
            <w:tcW w:w="705" w:type="pct"/>
            <w:tcBorders>
              <w:tl2br w:val="nil"/>
              <w:tr2bl w:val="nil"/>
            </w:tcBorders>
            <w:vAlign w:val="center"/>
          </w:tcPr>
          <w:p w14:paraId="0609ABC8">
            <w:pPr>
              <w:spacing w:line="360" w:lineRule="exact"/>
              <w:ind w:firstLine="0" w:firstLineChars="0"/>
              <w:jc w:val="center"/>
              <w:rPr>
                <w:sz w:val="21"/>
                <w:szCs w:val="21"/>
              </w:rPr>
            </w:pPr>
            <w:r>
              <w:rPr>
                <w:rFonts w:hint="eastAsia"/>
                <w:sz w:val="21"/>
                <w:szCs w:val="21"/>
              </w:rPr>
              <w:t>1.17×10</w:t>
            </w:r>
            <w:r>
              <w:rPr>
                <w:rFonts w:hint="eastAsia"/>
                <w:sz w:val="21"/>
                <w:szCs w:val="21"/>
                <w:vertAlign w:val="superscript"/>
              </w:rPr>
              <w:t>3</w:t>
            </w:r>
            <w:r>
              <w:rPr>
                <w:sz w:val="21"/>
                <w:szCs w:val="21"/>
              </w:rPr>
              <w:t>t/a</w:t>
            </w:r>
          </w:p>
        </w:tc>
        <w:tc>
          <w:tcPr>
            <w:tcW w:w="1762" w:type="pct"/>
            <w:tcBorders>
              <w:tl2br w:val="nil"/>
              <w:tr2bl w:val="nil"/>
            </w:tcBorders>
            <w:vAlign w:val="center"/>
          </w:tcPr>
          <w:p w14:paraId="3C0FD360">
            <w:pPr>
              <w:spacing w:line="360" w:lineRule="exact"/>
              <w:ind w:firstLine="0" w:firstLineChars="0"/>
              <w:jc w:val="center"/>
              <w:rPr>
                <w:rFonts w:cs="宋体"/>
                <w:sz w:val="21"/>
                <w:szCs w:val="21"/>
              </w:rPr>
            </w:pPr>
            <w:r>
              <w:rPr>
                <w:rFonts w:cs="宋体"/>
                <w:sz w:val="21"/>
                <w:szCs w:val="21"/>
              </w:rPr>
              <w:t>外购</w:t>
            </w:r>
          </w:p>
        </w:tc>
        <w:tc>
          <w:tcPr>
            <w:tcW w:w="1616" w:type="pct"/>
            <w:tcBorders>
              <w:tl2br w:val="nil"/>
              <w:tr2bl w:val="nil"/>
            </w:tcBorders>
            <w:vAlign w:val="center"/>
          </w:tcPr>
          <w:p w14:paraId="462CDACC">
            <w:pPr>
              <w:spacing w:line="360" w:lineRule="exact"/>
              <w:ind w:firstLine="0" w:firstLineChars="0"/>
              <w:jc w:val="center"/>
              <w:rPr>
                <w:sz w:val="21"/>
                <w:szCs w:val="21"/>
              </w:rPr>
            </w:pPr>
            <w:r>
              <w:rPr>
                <w:sz w:val="21"/>
                <w:szCs w:val="21"/>
              </w:rPr>
              <w:t>/</w:t>
            </w:r>
          </w:p>
        </w:tc>
      </w:tr>
      <w:tr w14:paraId="3F8D6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textDirection w:val="tbRlV"/>
            <w:vAlign w:val="center"/>
          </w:tcPr>
          <w:p w14:paraId="48FF3991">
            <w:pPr>
              <w:spacing w:line="360" w:lineRule="exact"/>
              <w:ind w:firstLine="0" w:firstLineChars="0"/>
              <w:jc w:val="center"/>
              <w:rPr>
                <w:sz w:val="21"/>
              </w:rPr>
            </w:pPr>
          </w:p>
        </w:tc>
        <w:tc>
          <w:tcPr>
            <w:tcW w:w="695" w:type="pct"/>
            <w:tcBorders>
              <w:tl2br w:val="nil"/>
              <w:tr2bl w:val="nil"/>
            </w:tcBorders>
            <w:vAlign w:val="center"/>
          </w:tcPr>
          <w:p w14:paraId="02505E0D">
            <w:pPr>
              <w:spacing w:line="360" w:lineRule="exact"/>
              <w:ind w:firstLine="0" w:firstLineChars="0"/>
              <w:jc w:val="center"/>
              <w:rPr>
                <w:rFonts w:cs="宋体"/>
                <w:sz w:val="21"/>
                <w:szCs w:val="21"/>
              </w:rPr>
            </w:pPr>
            <w:r>
              <w:rPr>
                <w:rFonts w:hint="eastAsia" w:cs="宋体"/>
                <w:sz w:val="21"/>
                <w:szCs w:val="21"/>
              </w:rPr>
              <w:t>苜蓿干草</w:t>
            </w:r>
          </w:p>
        </w:tc>
        <w:tc>
          <w:tcPr>
            <w:tcW w:w="705" w:type="pct"/>
            <w:tcBorders>
              <w:tl2br w:val="nil"/>
              <w:tr2bl w:val="nil"/>
            </w:tcBorders>
            <w:vAlign w:val="center"/>
          </w:tcPr>
          <w:p w14:paraId="6034BB30">
            <w:pPr>
              <w:spacing w:line="360" w:lineRule="exact"/>
              <w:ind w:firstLine="0" w:firstLineChars="0"/>
              <w:jc w:val="center"/>
              <w:rPr>
                <w:sz w:val="21"/>
                <w:szCs w:val="21"/>
              </w:rPr>
            </w:pPr>
            <w:r>
              <w:rPr>
                <w:rFonts w:hint="eastAsia"/>
                <w:sz w:val="21"/>
                <w:szCs w:val="21"/>
              </w:rPr>
              <w:t>438t/a</w:t>
            </w:r>
          </w:p>
        </w:tc>
        <w:tc>
          <w:tcPr>
            <w:tcW w:w="1762" w:type="pct"/>
            <w:tcBorders>
              <w:tl2br w:val="nil"/>
              <w:tr2bl w:val="nil"/>
            </w:tcBorders>
            <w:vAlign w:val="center"/>
          </w:tcPr>
          <w:p w14:paraId="61FE0F8F">
            <w:pPr>
              <w:spacing w:line="360" w:lineRule="exact"/>
              <w:ind w:firstLine="0" w:firstLineChars="0"/>
              <w:jc w:val="center"/>
              <w:rPr>
                <w:rFonts w:cs="宋体"/>
                <w:sz w:val="21"/>
                <w:szCs w:val="21"/>
              </w:rPr>
            </w:pPr>
            <w:r>
              <w:rPr>
                <w:rFonts w:hint="eastAsia" w:cs="宋体"/>
                <w:sz w:val="21"/>
                <w:szCs w:val="21"/>
              </w:rPr>
              <w:t>外购</w:t>
            </w:r>
          </w:p>
        </w:tc>
        <w:tc>
          <w:tcPr>
            <w:tcW w:w="1616" w:type="pct"/>
            <w:tcBorders>
              <w:tl2br w:val="nil"/>
              <w:tr2bl w:val="nil"/>
            </w:tcBorders>
            <w:vAlign w:val="center"/>
          </w:tcPr>
          <w:p w14:paraId="6AA7B9BD">
            <w:pPr>
              <w:spacing w:line="360" w:lineRule="exact"/>
              <w:ind w:firstLine="0" w:firstLineChars="0"/>
              <w:jc w:val="center"/>
              <w:rPr>
                <w:sz w:val="21"/>
                <w:szCs w:val="21"/>
              </w:rPr>
            </w:pPr>
            <w:r>
              <w:rPr>
                <w:rFonts w:hint="eastAsia"/>
                <w:sz w:val="21"/>
                <w:szCs w:val="21"/>
              </w:rPr>
              <w:t>/</w:t>
            </w:r>
          </w:p>
        </w:tc>
      </w:tr>
      <w:tr w14:paraId="007B6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textDirection w:val="tbRlV"/>
            <w:vAlign w:val="center"/>
          </w:tcPr>
          <w:p w14:paraId="2F498D02">
            <w:pPr>
              <w:spacing w:line="360" w:lineRule="exact"/>
              <w:ind w:firstLine="0" w:firstLineChars="0"/>
              <w:jc w:val="center"/>
              <w:rPr>
                <w:sz w:val="21"/>
              </w:rPr>
            </w:pPr>
          </w:p>
        </w:tc>
        <w:tc>
          <w:tcPr>
            <w:tcW w:w="695" w:type="pct"/>
            <w:tcBorders>
              <w:tl2br w:val="nil"/>
              <w:tr2bl w:val="nil"/>
            </w:tcBorders>
            <w:vAlign w:val="center"/>
          </w:tcPr>
          <w:p w14:paraId="33B34EB5">
            <w:pPr>
              <w:spacing w:line="360" w:lineRule="exact"/>
              <w:ind w:firstLine="0" w:firstLineChars="0"/>
              <w:jc w:val="center"/>
              <w:rPr>
                <w:rFonts w:cs="宋体"/>
                <w:sz w:val="21"/>
                <w:szCs w:val="21"/>
              </w:rPr>
            </w:pPr>
            <w:r>
              <w:rPr>
                <w:rFonts w:hint="eastAsia" w:cs="宋体"/>
                <w:sz w:val="21"/>
                <w:szCs w:val="21"/>
              </w:rPr>
              <w:t>燕麦干草</w:t>
            </w:r>
          </w:p>
        </w:tc>
        <w:tc>
          <w:tcPr>
            <w:tcW w:w="705" w:type="pct"/>
            <w:tcBorders>
              <w:tl2br w:val="nil"/>
              <w:tr2bl w:val="nil"/>
            </w:tcBorders>
            <w:vAlign w:val="center"/>
          </w:tcPr>
          <w:p w14:paraId="00DF4C73">
            <w:pPr>
              <w:spacing w:line="360" w:lineRule="exact"/>
              <w:ind w:firstLine="0" w:firstLineChars="0"/>
              <w:jc w:val="center"/>
              <w:rPr>
                <w:sz w:val="21"/>
                <w:szCs w:val="21"/>
              </w:rPr>
            </w:pPr>
            <w:r>
              <w:rPr>
                <w:rFonts w:hint="eastAsia"/>
                <w:sz w:val="21"/>
                <w:szCs w:val="21"/>
              </w:rPr>
              <w:t>328.5t/a</w:t>
            </w:r>
          </w:p>
        </w:tc>
        <w:tc>
          <w:tcPr>
            <w:tcW w:w="1762" w:type="pct"/>
            <w:tcBorders>
              <w:tl2br w:val="nil"/>
              <w:tr2bl w:val="nil"/>
            </w:tcBorders>
            <w:vAlign w:val="center"/>
          </w:tcPr>
          <w:p w14:paraId="11849153">
            <w:pPr>
              <w:spacing w:line="360" w:lineRule="exact"/>
              <w:ind w:firstLine="0" w:firstLineChars="0"/>
              <w:jc w:val="center"/>
              <w:rPr>
                <w:rFonts w:cs="宋体"/>
                <w:sz w:val="21"/>
                <w:szCs w:val="21"/>
              </w:rPr>
            </w:pPr>
            <w:r>
              <w:rPr>
                <w:rFonts w:hint="eastAsia" w:cs="宋体"/>
                <w:sz w:val="21"/>
                <w:szCs w:val="21"/>
              </w:rPr>
              <w:t>外购</w:t>
            </w:r>
          </w:p>
        </w:tc>
        <w:tc>
          <w:tcPr>
            <w:tcW w:w="1616" w:type="pct"/>
            <w:tcBorders>
              <w:tl2br w:val="nil"/>
              <w:tr2bl w:val="nil"/>
            </w:tcBorders>
            <w:vAlign w:val="center"/>
          </w:tcPr>
          <w:p w14:paraId="25C7E3D0">
            <w:pPr>
              <w:spacing w:line="360" w:lineRule="exact"/>
              <w:ind w:firstLine="0" w:firstLineChars="0"/>
              <w:jc w:val="center"/>
              <w:rPr>
                <w:sz w:val="21"/>
                <w:szCs w:val="21"/>
              </w:rPr>
            </w:pPr>
            <w:r>
              <w:rPr>
                <w:rFonts w:hint="eastAsia"/>
                <w:sz w:val="21"/>
                <w:szCs w:val="21"/>
              </w:rPr>
              <w:t>/</w:t>
            </w:r>
          </w:p>
        </w:tc>
      </w:tr>
      <w:tr w14:paraId="4D163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textDirection w:val="tbRlV"/>
            <w:vAlign w:val="center"/>
          </w:tcPr>
          <w:p w14:paraId="1A005872">
            <w:pPr>
              <w:spacing w:line="360" w:lineRule="exact"/>
              <w:ind w:firstLine="0" w:firstLineChars="0"/>
              <w:jc w:val="center"/>
              <w:rPr>
                <w:sz w:val="21"/>
              </w:rPr>
            </w:pPr>
          </w:p>
        </w:tc>
        <w:tc>
          <w:tcPr>
            <w:tcW w:w="695" w:type="pct"/>
            <w:tcBorders>
              <w:tl2br w:val="nil"/>
              <w:tr2bl w:val="nil"/>
            </w:tcBorders>
            <w:vAlign w:val="center"/>
          </w:tcPr>
          <w:p w14:paraId="1A4DC8E0">
            <w:pPr>
              <w:spacing w:line="360" w:lineRule="exact"/>
              <w:ind w:firstLine="0" w:firstLineChars="0"/>
              <w:jc w:val="center"/>
              <w:rPr>
                <w:rFonts w:cs="宋体"/>
                <w:sz w:val="21"/>
                <w:szCs w:val="21"/>
              </w:rPr>
            </w:pPr>
            <w:r>
              <w:rPr>
                <w:rFonts w:hint="eastAsia" w:cs="宋体"/>
                <w:sz w:val="21"/>
                <w:szCs w:val="21"/>
              </w:rPr>
              <w:t>芦苇干草</w:t>
            </w:r>
          </w:p>
        </w:tc>
        <w:tc>
          <w:tcPr>
            <w:tcW w:w="705" w:type="pct"/>
            <w:tcBorders>
              <w:tl2br w:val="nil"/>
              <w:tr2bl w:val="nil"/>
            </w:tcBorders>
            <w:vAlign w:val="center"/>
          </w:tcPr>
          <w:p w14:paraId="351FEA3B">
            <w:pPr>
              <w:spacing w:line="360" w:lineRule="exact"/>
              <w:ind w:firstLine="0" w:firstLineChars="0"/>
              <w:jc w:val="center"/>
              <w:rPr>
                <w:sz w:val="21"/>
                <w:szCs w:val="21"/>
              </w:rPr>
            </w:pPr>
            <w:r>
              <w:rPr>
                <w:rFonts w:hint="eastAsia"/>
                <w:sz w:val="21"/>
                <w:szCs w:val="21"/>
              </w:rPr>
              <w:t>569.4t/a</w:t>
            </w:r>
          </w:p>
        </w:tc>
        <w:tc>
          <w:tcPr>
            <w:tcW w:w="1762" w:type="pct"/>
            <w:tcBorders>
              <w:tl2br w:val="nil"/>
              <w:tr2bl w:val="nil"/>
            </w:tcBorders>
            <w:vAlign w:val="center"/>
          </w:tcPr>
          <w:p w14:paraId="24699D65">
            <w:pPr>
              <w:spacing w:line="360" w:lineRule="exact"/>
              <w:ind w:firstLine="0" w:firstLineChars="0"/>
              <w:jc w:val="center"/>
              <w:rPr>
                <w:rFonts w:cs="宋体"/>
                <w:sz w:val="21"/>
                <w:szCs w:val="21"/>
              </w:rPr>
            </w:pPr>
            <w:r>
              <w:rPr>
                <w:rFonts w:hint="eastAsia" w:cs="宋体"/>
                <w:sz w:val="21"/>
                <w:szCs w:val="21"/>
              </w:rPr>
              <w:t>外购</w:t>
            </w:r>
          </w:p>
        </w:tc>
        <w:tc>
          <w:tcPr>
            <w:tcW w:w="1616" w:type="pct"/>
            <w:tcBorders>
              <w:tl2br w:val="nil"/>
              <w:tr2bl w:val="nil"/>
            </w:tcBorders>
            <w:vAlign w:val="center"/>
          </w:tcPr>
          <w:p w14:paraId="02C7FBDE">
            <w:pPr>
              <w:spacing w:line="360" w:lineRule="exact"/>
              <w:ind w:firstLine="0" w:firstLineChars="0"/>
              <w:jc w:val="center"/>
              <w:rPr>
                <w:sz w:val="21"/>
                <w:szCs w:val="21"/>
              </w:rPr>
            </w:pPr>
            <w:r>
              <w:rPr>
                <w:rFonts w:hint="eastAsia"/>
                <w:sz w:val="21"/>
                <w:szCs w:val="21"/>
              </w:rPr>
              <w:t>/</w:t>
            </w:r>
          </w:p>
        </w:tc>
      </w:tr>
      <w:tr w14:paraId="68502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restart"/>
            <w:tcBorders>
              <w:tl2br w:val="nil"/>
              <w:tr2bl w:val="nil"/>
            </w:tcBorders>
            <w:vAlign w:val="center"/>
          </w:tcPr>
          <w:p w14:paraId="67F2F0C2">
            <w:pPr>
              <w:spacing w:line="360" w:lineRule="exact"/>
              <w:ind w:firstLine="0" w:firstLineChars="0"/>
              <w:jc w:val="center"/>
              <w:rPr>
                <w:rFonts w:cs="宋体"/>
                <w:sz w:val="21"/>
                <w:szCs w:val="21"/>
              </w:rPr>
            </w:pPr>
            <w:r>
              <w:rPr>
                <w:rFonts w:cs="宋体"/>
                <w:sz w:val="21"/>
                <w:szCs w:val="21"/>
              </w:rPr>
              <w:t>辅料</w:t>
            </w:r>
          </w:p>
        </w:tc>
        <w:tc>
          <w:tcPr>
            <w:tcW w:w="695" w:type="pct"/>
            <w:tcBorders>
              <w:tl2br w:val="nil"/>
              <w:tr2bl w:val="nil"/>
            </w:tcBorders>
            <w:vAlign w:val="center"/>
          </w:tcPr>
          <w:p w14:paraId="6E0B441A">
            <w:pPr>
              <w:spacing w:line="360" w:lineRule="exact"/>
              <w:ind w:firstLine="0" w:firstLineChars="0"/>
              <w:jc w:val="center"/>
              <w:rPr>
                <w:rFonts w:cs="宋体"/>
                <w:sz w:val="21"/>
                <w:szCs w:val="21"/>
              </w:rPr>
            </w:pPr>
            <w:r>
              <w:rPr>
                <w:rFonts w:cs="宋体"/>
                <w:sz w:val="21"/>
                <w:szCs w:val="21"/>
              </w:rPr>
              <w:t>除臭剂</w:t>
            </w:r>
          </w:p>
        </w:tc>
        <w:tc>
          <w:tcPr>
            <w:tcW w:w="705" w:type="pct"/>
            <w:tcBorders>
              <w:tl2br w:val="nil"/>
              <w:tr2bl w:val="nil"/>
            </w:tcBorders>
            <w:vAlign w:val="center"/>
          </w:tcPr>
          <w:p w14:paraId="41407C6D">
            <w:pPr>
              <w:spacing w:line="360" w:lineRule="exact"/>
              <w:ind w:firstLine="0" w:firstLineChars="0"/>
              <w:jc w:val="center"/>
              <w:rPr>
                <w:sz w:val="21"/>
                <w:szCs w:val="21"/>
              </w:rPr>
            </w:pPr>
            <w:r>
              <w:rPr>
                <w:sz w:val="21"/>
                <w:szCs w:val="21"/>
              </w:rPr>
              <w:t>500kg</w:t>
            </w:r>
          </w:p>
        </w:tc>
        <w:tc>
          <w:tcPr>
            <w:tcW w:w="1762" w:type="pct"/>
            <w:tcBorders>
              <w:tl2br w:val="nil"/>
              <w:tr2bl w:val="nil"/>
            </w:tcBorders>
            <w:vAlign w:val="center"/>
          </w:tcPr>
          <w:p w14:paraId="61F2397D">
            <w:pPr>
              <w:spacing w:line="360" w:lineRule="exact"/>
              <w:ind w:firstLine="0" w:firstLineChars="0"/>
              <w:jc w:val="center"/>
              <w:rPr>
                <w:rFonts w:cs="宋体"/>
                <w:sz w:val="21"/>
                <w:szCs w:val="21"/>
              </w:rPr>
            </w:pPr>
            <w:r>
              <w:rPr>
                <w:rFonts w:cs="宋体"/>
                <w:sz w:val="21"/>
                <w:szCs w:val="21"/>
              </w:rPr>
              <w:t>外购</w:t>
            </w:r>
          </w:p>
        </w:tc>
        <w:tc>
          <w:tcPr>
            <w:tcW w:w="1616" w:type="pct"/>
            <w:tcBorders>
              <w:tl2br w:val="nil"/>
              <w:tr2bl w:val="nil"/>
            </w:tcBorders>
            <w:vAlign w:val="center"/>
          </w:tcPr>
          <w:p w14:paraId="24944CB9">
            <w:pPr>
              <w:spacing w:line="360" w:lineRule="exact"/>
              <w:ind w:firstLine="0" w:firstLineChars="0"/>
              <w:jc w:val="center"/>
              <w:rPr>
                <w:rFonts w:cs="宋体"/>
                <w:sz w:val="21"/>
                <w:szCs w:val="21"/>
              </w:rPr>
            </w:pPr>
            <w:r>
              <w:rPr>
                <w:rFonts w:cs="宋体"/>
                <w:sz w:val="21"/>
                <w:szCs w:val="21"/>
              </w:rPr>
              <w:t>主要为戊二醛、聚维酮碘</w:t>
            </w:r>
          </w:p>
        </w:tc>
      </w:tr>
      <w:tr w14:paraId="2A094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vAlign w:val="center"/>
          </w:tcPr>
          <w:p w14:paraId="65E7BF84">
            <w:pPr>
              <w:spacing w:line="360" w:lineRule="exact"/>
              <w:ind w:firstLine="0" w:firstLineChars="0"/>
              <w:jc w:val="center"/>
              <w:rPr>
                <w:sz w:val="21"/>
              </w:rPr>
            </w:pPr>
          </w:p>
        </w:tc>
        <w:tc>
          <w:tcPr>
            <w:tcW w:w="695" w:type="pct"/>
            <w:tcBorders>
              <w:tl2br w:val="nil"/>
              <w:tr2bl w:val="nil"/>
            </w:tcBorders>
            <w:vAlign w:val="center"/>
          </w:tcPr>
          <w:p w14:paraId="06AB058C">
            <w:pPr>
              <w:spacing w:line="360" w:lineRule="exact"/>
              <w:ind w:firstLine="0" w:firstLineChars="0"/>
              <w:jc w:val="center"/>
              <w:rPr>
                <w:rFonts w:cs="宋体"/>
                <w:sz w:val="21"/>
                <w:szCs w:val="21"/>
              </w:rPr>
            </w:pPr>
            <w:r>
              <w:rPr>
                <w:rFonts w:cs="宋体"/>
                <w:sz w:val="21"/>
                <w:szCs w:val="21"/>
              </w:rPr>
              <w:t>熟石灰</w:t>
            </w:r>
          </w:p>
        </w:tc>
        <w:tc>
          <w:tcPr>
            <w:tcW w:w="705" w:type="pct"/>
            <w:tcBorders>
              <w:tl2br w:val="nil"/>
              <w:tr2bl w:val="nil"/>
            </w:tcBorders>
            <w:vAlign w:val="center"/>
          </w:tcPr>
          <w:p w14:paraId="6A00701F">
            <w:pPr>
              <w:spacing w:line="360" w:lineRule="exact"/>
              <w:ind w:firstLine="0" w:firstLineChars="0"/>
              <w:jc w:val="center"/>
              <w:rPr>
                <w:sz w:val="21"/>
                <w:szCs w:val="21"/>
              </w:rPr>
            </w:pPr>
            <w:r>
              <w:rPr>
                <w:sz w:val="21"/>
                <w:szCs w:val="21"/>
              </w:rPr>
              <w:t>2t/a</w:t>
            </w:r>
          </w:p>
        </w:tc>
        <w:tc>
          <w:tcPr>
            <w:tcW w:w="1762" w:type="pct"/>
            <w:tcBorders>
              <w:tl2br w:val="nil"/>
              <w:tr2bl w:val="nil"/>
            </w:tcBorders>
            <w:vAlign w:val="center"/>
          </w:tcPr>
          <w:p w14:paraId="2DDA522B">
            <w:pPr>
              <w:spacing w:line="360" w:lineRule="exact"/>
              <w:ind w:firstLine="0" w:firstLineChars="0"/>
              <w:jc w:val="center"/>
              <w:rPr>
                <w:rFonts w:cs="宋体"/>
                <w:sz w:val="21"/>
                <w:szCs w:val="21"/>
              </w:rPr>
            </w:pPr>
            <w:r>
              <w:rPr>
                <w:rFonts w:cs="宋体"/>
                <w:sz w:val="21"/>
                <w:szCs w:val="21"/>
              </w:rPr>
              <w:t>外购</w:t>
            </w:r>
          </w:p>
        </w:tc>
        <w:tc>
          <w:tcPr>
            <w:tcW w:w="1616" w:type="pct"/>
            <w:tcBorders>
              <w:tl2br w:val="nil"/>
              <w:tr2bl w:val="nil"/>
            </w:tcBorders>
            <w:vAlign w:val="center"/>
          </w:tcPr>
          <w:p w14:paraId="2B8F0D98">
            <w:pPr>
              <w:spacing w:line="360" w:lineRule="exact"/>
              <w:ind w:firstLine="0" w:firstLineChars="0"/>
              <w:jc w:val="center"/>
              <w:rPr>
                <w:sz w:val="21"/>
                <w:szCs w:val="21"/>
              </w:rPr>
            </w:pPr>
            <w:r>
              <w:rPr>
                <w:sz w:val="21"/>
                <w:szCs w:val="21"/>
              </w:rPr>
              <w:t>/</w:t>
            </w:r>
          </w:p>
        </w:tc>
      </w:tr>
      <w:tr w14:paraId="6BDE6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restart"/>
            <w:tcBorders>
              <w:tl2br w:val="nil"/>
              <w:tr2bl w:val="nil"/>
            </w:tcBorders>
            <w:vAlign w:val="center"/>
          </w:tcPr>
          <w:p w14:paraId="422D1601">
            <w:pPr>
              <w:spacing w:line="360" w:lineRule="exact"/>
              <w:ind w:firstLine="0" w:firstLineChars="0"/>
              <w:jc w:val="center"/>
              <w:rPr>
                <w:rFonts w:cs="宋体"/>
                <w:sz w:val="21"/>
                <w:szCs w:val="21"/>
              </w:rPr>
            </w:pPr>
            <w:r>
              <w:rPr>
                <w:rFonts w:cs="宋体"/>
                <w:sz w:val="21"/>
                <w:szCs w:val="21"/>
              </w:rPr>
              <w:t>能源</w:t>
            </w:r>
          </w:p>
        </w:tc>
        <w:tc>
          <w:tcPr>
            <w:tcW w:w="695" w:type="pct"/>
            <w:tcBorders>
              <w:tl2br w:val="nil"/>
              <w:tr2bl w:val="nil"/>
            </w:tcBorders>
            <w:vAlign w:val="center"/>
          </w:tcPr>
          <w:p w14:paraId="56B1F19D">
            <w:pPr>
              <w:spacing w:line="360" w:lineRule="exact"/>
              <w:ind w:firstLine="0" w:firstLineChars="0"/>
              <w:jc w:val="center"/>
              <w:rPr>
                <w:rFonts w:cs="宋体"/>
                <w:sz w:val="21"/>
                <w:szCs w:val="21"/>
              </w:rPr>
            </w:pPr>
            <w:r>
              <w:rPr>
                <w:rFonts w:cs="宋体"/>
                <w:sz w:val="21"/>
                <w:szCs w:val="21"/>
              </w:rPr>
              <w:t>水</w:t>
            </w:r>
          </w:p>
        </w:tc>
        <w:tc>
          <w:tcPr>
            <w:tcW w:w="705" w:type="pct"/>
            <w:tcBorders>
              <w:tl2br w:val="nil"/>
              <w:tr2bl w:val="nil"/>
            </w:tcBorders>
            <w:vAlign w:val="center"/>
          </w:tcPr>
          <w:p w14:paraId="038EF84B">
            <w:pPr>
              <w:spacing w:line="360" w:lineRule="exact"/>
              <w:ind w:firstLine="0" w:firstLineChars="0"/>
              <w:jc w:val="center"/>
              <w:rPr>
                <w:sz w:val="21"/>
                <w:szCs w:val="21"/>
              </w:rPr>
            </w:pPr>
            <w:r>
              <w:rPr>
                <w:rFonts w:hint="eastAsia"/>
                <w:sz w:val="21"/>
                <w:szCs w:val="21"/>
              </w:rPr>
              <w:t>3637.5</w:t>
            </w:r>
            <w:r>
              <w:rPr>
                <w:sz w:val="21"/>
                <w:szCs w:val="21"/>
              </w:rPr>
              <w:t>m³/a</w:t>
            </w:r>
          </w:p>
        </w:tc>
        <w:tc>
          <w:tcPr>
            <w:tcW w:w="1762" w:type="pct"/>
            <w:tcBorders>
              <w:tl2br w:val="nil"/>
              <w:tr2bl w:val="nil"/>
            </w:tcBorders>
            <w:vAlign w:val="center"/>
          </w:tcPr>
          <w:p w14:paraId="1ED80A13">
            <w:pPr>
              <w:spacing w:line="360" w:lineRule="exact"/>
              <w:ind w:firstLine="0" w:firstLineChars="0"/>
              <w:jc w:val="center"/>
              <w:rPr>
                <w:rFonts w:cs="宋体"/>
                <w:sz w:val="21"/>
                <w:szCs w:val="21"/>
              </w:rPr>
            </w:pPr>
            <w:r>
              <w:rPr>
                <w:rFonts w:cs="宋体"/>
                <w:sz w:val="21"/>
                <w:szCs w:val="21"/>
              </w:rPr>
              <w:t>从</w:t>
            </w:r>
            <w:r>
              <w:rPr>
                <w:rFonts w:hint="eastAsia" w:cs="宋体"/>
                <w:sz w:val="21"/>
                <w:szCs w:val="21"/>
              </w:rPr>
              <w:t>市政供水管网</w:t>
            </w:r>
            <w:r>
              <w:rPr>
                <w:rFonts w:cs="宋体"/>
                <w:sz w:val="21"/>
                <w:szCs w:val="21"/>
              </w:rPr>
              <w:t>预留接口接入</w:t>
            </w:r>
          </w:p>
        </w:tc>
        <w:tc>
          <w:tcPr>
            <w:tcW w:w="1616" w:type="pct"/>
            <w:tcBorders>
              <w:tl2br w:val="nil"/>
              <w:tr2bl w:val="nil"/>
            </w:tcBorders>
            <w:vAlign w:val="center"/>
          </w:tcPr>
          <w:p w14:paraId="6107308D">
            <w:pPr>
              <w:spacing w:line="360" w:lineRule="exact"/>
              <w:ind w:firstLine="0" w:firstLineChars="0"/>
              <w:jc w:val="center"/>
              <w:rPr>
                <w:sz w:val="21"/>
                <w:szCs w:val="21"/>
              </w:rPr>
            </w:pPr>
            <w:r>
              <w:rPr>
                <w:sz w:val="21"/>
                <w:szCs w:val="21"/>
              </w:rPr>
              <w:t>/</w:t>
            </w:r>
          </w:p>
        </w:tc>
      </w:tr>
      <w:tr w14:paraId="2AEC0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20" w:type="pct"/>
            <w:vMerge w:val="continue"/>
            <w:tcBorders>
              <w:tl2br w:val="nil"/>
              <w:tr2bl w:val="nil"/>
            </w:tcBorders>
            <w:textDirection w:val="tbRlV"/>
            <w:vAlign w:val="center"/>
          </w:tcPr>
          <w:p w14:paraId="4F0E92DD">
            <w:pPr>
              <w:spacing w:line="360" w:lineRule="exact"/>
              <w:ind w:firstLine="0" w:firstLineChars="0"/>
              <w:jc w:val="center"/>
              <w:rPr>
                <w:sz w:val="21"/>
              </w:rPr>
            </w:pPr>
          </w:p>
        </w:tc>
        <w:tc>
          <w:tcPr>
            <w:tcW w:w="695" w:type="pct"/>
            <w:tcBorders>
              <w:tl2br w:val="nil"/>
              <w:tr2bl w:val="nil"/>
            </w:tcBorders>
            <w:vAlign w:val="center"/>
          </w:tcPr>
          <w:p w14:paraId="7D250185">
            <w:pPr>
              <w:spacing w:line="360" w:lineRule="exact"/>
              <w:ind w:firstLine="0" w:firstLineChars="0"/>
              <w:jc w:val="center"/>
              <w:rPr>
                <w:rFonts w:cs="宋体"/>
                <w:sz w:val="21"/>
                <w:szCs w:val="21"/>
              </w:rPr>
            </w:pPr>
            <w:r>
              <w:rPr>
                <w:rFonts w:cs="宋体"/>
                <w:sz w:val="21"/>
                <w:szCs w:val="21"/>
              </w:rPr>
              <w:t>电</w:t>
            </w:r>
            <w:r>
              <w:rPr>
                <w:rFonts w:hint="eastAsia" w:cs="宋体"/>
                <w:sz w:val="21"/>
                <w:szCs w:val="21"/>
              </w:rPr>
              <w:t>（</w:t>
            </w:r>
            <w:r>
              <w:rPr>
                <w:sz w:val="21"/>
                <w:szCs w:val="21"/>
              </w:rPr>
              <w:t>KWh/a</w:t>
            </w:r>
            <w:r>
              <w:rPr>
                <w:rFonts w:hint="eastAsia" w:cs="宋体"/>
                <w:sz w:val="21"/>
                <w:szCs w:val="21"/>
              </w:rPr>
              <w:t>）</w:t>
            </w:r>
          </w:p>
        </w:tc>
        <w:tc>
          <w:tcPr>
            <w:tcW w:w="705" w:type="pct"/>
            <w:tcBorders>
              <w:tl2br w:val="nil"/>
              <w:tr2bl w:val="nil"/>
            </w:tcBorders>
            <w:vAlign w:val="center"/>
          </w:tcPr>
          <w:p w14:paraId="0FB85856">
            <w:pPr>
              <w:spacing w:line="360" w:lineRule="exact"/>
              <w:ind w:firstLine="0" w:firstLineChars="0"/>
              <w:jc w:val="center"/>
              <w:rPr>
                <w:sz w:val="21"/>
                <w:szCs w:val="21"/>
              </w:rPr>
            </w:pPr>
            <w:r>
              <w:rPr>
                <w:sz w:val="21"/>
                <w:szCs w:val="21"/>
              </w:rPr>
              <w:t>16</w:t>
            </w:r>
            <w:r>
              <w:rPr>
                <w:rFonts w:cs="宋体"/>
                <w:sz w:val="21"/>
                <w:szCs w:val="21"/>
              </w:rPr>
              <w:t>万</w:t>
            </w:r>
            <w:r>
              <w:rPr>
                <w:sz w:val="21"/>
                <w:szCs w:val="21"/>
              </w:rPr>
              <w:t>kWh/a</w:t>
            </w:r>
          </w:p>
        </w:tc>
        <w:tc>
          <w:tcPr>
            <w:tcW w:w="1762" w:type="pct"/>
            <w:tcBorders>
              <w:tl2br w:val="nil"/>
              <w:tr2bl w:val="nil"/>
            </w:tcBorders>
            <w:vAlign w:val="center"/>
          </w:tcPr>
          <w:p w14:paraId="2E218906">
            <w:pPr>
              <w:spacing w:line="360" w:lineRule="exact"/>
              <w:ind w:firstLine="0" w:firstLineChars="0"/>
              <w:jc w:val="center"/>
              <w:rPr>
                <w:rFonts w:cs="宋体"/>
                <w:sz w:val="21"/>
                <w:szCs w:val="21"/>
              </w:rPr>
            </w:pPr>
            <w:r>
              <w:rPr>
                <w:rFonts w:hint="eastAsia" w:cs="宋体"/>
                <w:sz w:val="21"/>
                <w:szCs w:val="21"/>
              </w:rPr>
              <w:t>市政</w:t>
            </w:r>
            <w:r>
              <w:rPr>
                <w:rFonts w:cs="宋体"/>
                <w:sz w:val="21"/>
                <w:szCs w:val="21"/>
              </w:rPr>
              <w:t>电网</w:t>
            </w:r>
          </w:p>
        </w:tc>
        <w:tc>
          <w:tcPr>
            <w:tcW w:w="1616" w:type="pct"/>
            <w:tcBorders>
              <w:tl2br w:val="nil"/>
              <w:tr2bl w:val="nil"/>
            </w:tcBorders>
            <w:vAlign w:val="center"/>
          </w:tcPr>
          <w:p w14:paraId="57928458">
            <w:pPr>
              <w:spacing w:line="360" w:lineRule="exact"/>
              <w:ind w:firstLine="0" w:firstLineChars="0"/>
              <w:jc w:val="center"/>
              <w:rPr>
                <w:sz w:val="21"/>
                <w:szCs w:val="21"/>
              </w:rPr>
            </w:pPr>
            <w:r>
              <w:rPr>
                <w:sz w:val="21"/>
                <w:szCs w:val="21"/>
              </w:rPr>
              <w:t>/</w:t>
            </w:r>
          </w:p>
        </w:tc>
      </w:tr>
    </w:tbl>
    <w:p w14:paraId="3B54F5C9">
      <w:pPr>
        <w:pStyle w:val="5"/>
      </w:pPr>
      <w:bookmarkStart w:id="59" w:name="_Toc106663464"/>
      <w:r>
        <w:rPr>
          <w:rFonts w:hint="eastAsia"/>
        </w:rPr>
        <w:t>3.1.4平面布置</w:t>
      </w:r>
      <w:bookmarkEnd w:id="59"/>
    </w:p>
    <w:p w14:paraId="4565EADF">
      <w:pPr>
        <w:pStyle w:val="6"/>
        <w:ind w:firstLine="482"/>
      </w:pPr>
      <w:r>
        <w:rPr>
          <w:rFonts w:hint="eastAsia"/>
        </w:rPr>
        <w:t>3.1.4.1总平面布置</w:t>
      </w:r>
    </w:p>
    <w:p w14:paraId="71F05875">
      <w:pPr>
        <w:ind w:firstLine="480"/>
      </w:pPr>
      <w:r>
        <w:t>生产区位于场区</w:t>
      </w:r>
      <w:r>
        <w:rPr>
          <w:rFonts w:hint="eastAsia"/>
        </w:rPr>
        <w:t>西侧。</w:t>
      </w:r>
      <w:r>
        <w:t>主要包括</w:t>
      </w:r>
      <w:r>
        <w:rPr>
          <w:rFonts w:hint="eastAsia"/>
        </w:rPr>
        <w:t>4栋骆驼圈舍</w:t>
      </w:r>
      <w:r>
        <w:t>、</w:t>
      </w:r>
      <w:r>
        <w:rPr>
          <w:rFonts w:hint="eastAsia"/>
        </w:rPr>
        <w:t>4栋生活管理用房</w:t>
      </w:r>
      <w:r>
        <w:t>和</w:t>
      </w:r>
      <w:r>
        <w:rPr>
          <w:rFonts w:hint="eastAsia"/>
        </w:rPr>
        <w:t>两个出入口均位于项目区西侧，4栋骆驼圈舍由北向南，依次排列，4栋生活管理用房分别位于每栋骆驼圈舍的南侧。本项目堆肥场位于项目区东北侧，东南侧为项目二期预留用地。项目区常年风向为南风，堆肥场位于管理用房东北侧，因此堆肥场恶臭对生活管理人员基本不会产生影响。</w:t>
      </w:r>
    </w:p>
    <w:p w14:paraId="2C7E6C7A">
      <w:pPr>
        <w:ind w:firstLine="480"/>
      </w:pPr>
      <w:r>
        <w:t>厂区设置2座大门，主出入口为净道出入口，位于场区西</w:t>
      </w:r>
      <w:r>
        <w:rPr>
          <w:rFonts w:hint="eastAsia"/>
        </w:rPr>
        <w:t>北</w:t>
      </w:r>
      <w:r>
        <w:t>侧，供管理人员进出；次入口污道出入口，位于场区</w:t>
      </w:r>
      <w:r>
        <w:rPr>
          <w:rFonts w:hint="eastAsia"/>
        </w:rPr>
        <w:t>西南</w:t>
      </w:r>
      <w:r>
        <w:t>侧，主要为</w:t>
      </w:r>
      <w:r>
        <w:rPr>
          <w:rFonts w:hint="eastAsia"/>
        </w:rPr>
        <w:t>固废</w:t>
      </w:r>
      <w:r>
        <w:t>拉运出入口</w:t>
      </w:r>
      <w:r>
        <w:rPr>
          <w:rFonts w:hint="eastAsia"/>
        </w:rPr>
        <w:t>。</w:t>
      </w:r>
      <w:r>
        <w:t>实现人畜分离</w:t>
      </w:r>
      <w:r>
        <w:rPr>
          <w:rFonts w:hint="eastAsia"/>
        </w:rPr>
        <w:t>。</w:t>
      </w:r>
    </w:p>
    <w:p w14:paraId="0914546C">
      <w:pPr>
        <w:ind w:firstLine="480"/>
      </w:pPr>
      <w:r>
        <w:t>因此，本项目厂区平面布置合理</w:t>
      </w:r>
      <w:r>
        <w:rPr>
          <w:rFonts w:hint="eastAsia"/>
        </w:rPr>
        <w:t>。</w:t>
      </w:r>
      <w:r>
        <w:t>本项目厂区平面布置图详见图</w:t>
      </w:r>
      <w:r>
        <w:rPr>
          <w:rFonts w:hint="eastAsia"/>
        </w:rPr>
        <w:t>3.1-3。</w:t>
      </w:r>
    </w:p>
    <w:p w14:paraId="6BF76D60">
      <w:pPr>
        <w:pStyle w:val="6"/>
        <w:ind w:firstLine="482"/>
      </w:pPr>
      <w:r>
        <w:rPr>
          <w:rFonts w:hint="eastAsia"/>
        </w:rPr>
        <w:t>3.1.4.2平面布置与相关规范符合性分析</w:t>
      </w:r>
    </w:p>
    <w:p w14:paraId="0E2BFA48">
      <w:pPr>
        <w:ind w:firstLine="480"/>
      </w:pPr>
      <w:r>
        <w:rPr>
          <w:rFonts w:hint="eastAsia"/>
        </w:rPr>
        <w:t>（1）与《畜禽养殖业污染防治技术规范》（HJ/T81-2001）符合性</w:t>
      </w:r>
    </w:p>
    <w:p w14:paraId="482D601E">
      <w:pPr>
        <w:ind w:firstLine="480"/>
      </w:pPr>
      <w:r>
        <w:rPr>
          <w:rFonts w:hint="eastAsia"/>
        </w:rPr>
        <w:t>根据《畜禽养殖业污染防治技术规范》（HJ/T81-2001）中场区布局有关要求，本项目场区平面布置与其符合性分析见表3.1-4。</w:t>
      </w:r>
    </w:p>
    <w:p w14:paraId="0FCD2F13">
      <w:pPr>
        <w:pStyle w:val="11"/>
      </w:pPr>
      <w:r>
        <w:rPr>
          <w:rFonts w:hint="eastAsia"/>
        </w:rPr>
        <w:t>表3.1-4场区布局与《畜禽养殖业污染防治技术规范》（HJ/T81-2001）符合性</w:t>
      </w:r>
    </w:p>
    <w:tbl>
      <w:tblPr>
        <w:tblStyle w:val="183"/>
        <w:tblW w:w="8302"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6"/>
        <w:gridCol w:w="3832"/>
        <w:gridCol w:w="3367"/>
        <w:gridCol w:w="727"/>
      </w:tblGrid>
      <w:tr w14:paraId="45F29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376" w:type="dxa"/>
            <w:textDirection w:val="tbRlV"/>
            <w:vAlign w:val="center"/>
          </w:tcPr>
          <w:p w14:paraId="4D93AD04">
            <w:pPr>
              <w:spacing w:line="360" w:lineRule="exact"/>
              <w:ind w:firstLine="0" w:firstLineChars="0"/>
              <w:jc w:val="center"/>
              <w:rPr>
                <w:rFonts w:cs="宋体"/>
                <w:sz w:val="21"/>
                <w:szCs w:val="21"/>
              </w:rPr>
            </w:pPr>
            <w:r>
              <w:rPr>
                <w:rFonts w:cs="宋体"/>
                <w:sz w:val="21"/>
                <w:szCs w:val="21"/>
              </w:rPr>
              <w:t>序号</w:t>
            </w:r>
          </w:p>
        </w:tc>
        <w:tc>
          <w:tcPr>
            <w:tcW w:w="3832" w:type="dxa"/>
            <w:vAlign w:val="center"/>
          </w:tcPr>
          <w:p w14:paraId="35614660">
            <w:pPr>
              <w:spacing w:line="360" w:lineRule="exact"/>
              <w:ind w:firstLine="0" w:firstLineChars="0"/>
              <w:jc w:val="center"/>
              <w:rPr>
                <w:rFonts w:cs="宋体"/>
                <w:sz w:val="21"/>
                <w:szCs w:val="21"/>
              </w:rPr>
            </w:pPr>
            <w:r>
              <w:rPr>
                <w:rFonts w:cs="宋体"/>
                <w:sz w:val="21"/>
                <w:szCs w:val="21"/>
              </w:rPr>
              <w:t>《畜禽养殖业污染防治技术规范》</w:t>
            </w:r>
            <w:r>
              <w:rPr>
                <w:rFonts w:hint="eastAsia" w:cs="宋体"/>
                <w:sz w:val="21"/>
                <w:szCs w:val="21"/>
              </w:rPr>
              <w:t>（</w:t>
            </w:r>
            <w:r>
              <w:rPr>
                <w:sz w:val="21"/>
                <w:szCs w:val="21"/>
              </w:rPr>
              <w:t>HJ/T81-2001</w:t>
            </w:r>
            <w:r>
              <w:rPr>
                <w:rFonts w:hint="eastAsia" w:cs="宋体"/>
                <w:sz w:val="21"/>
                <w:szCs w:val="21"/>
              </w:rPr>
              <w:t>）</w:t>
            </w:r>
            <w:r>
              <w:rPr>
                <w:rFonts w:cs="宋体"/>
                <w:sz w:val="21"/>
                <w:szCs w:val="21"/>
              </w:rPr>
              <w:t>中要求</w:t>
            </w:r>
          </w:p>
        </w:tc>
        <w:tc>
          <w:tcPr>
            <w:tcW w:w="3367" w:type="dxa"/>
            <w:vAlign w:val="center"/>
          </w:tcPr>
          <w:p w14:paraId="6FD59522">
            <w:pPr>
              <w:spacing w:line="360" w:lineRule="exact"/>
              <w:ind w:firstLine="0" w:firstLineChars="0"/>
              <w:jc w:val="center"/>
              <w:rPr>
                <w:rFonts w:cs="宋体"/>
                <w:sz w:val="21"/>
                <w:szCs w:val="21"/>
              </w:rPr>
            </w:pPr>
            <w:r>
              <w:rPr>
                <w:rFonts w:cs="宋体"/>
                <w:sz w:val="21"/>
                <w:szCs w:val="21"/>
              </w:rPr>
              <w:t>本项目情况</w:t>
            </w:r>
          </w:p>
        </w:tc>
        <w:tc>
          <w:tcPr>
            <w:tcW w:w="727" w:type="dxa"/>
            <w:vAlign w:val="center"/>
          </w:tcPr>
          <w:p w14:paraId="6FC72565">
            <w:pPr>
              <w:spacing w:line="360" w:lineRule="exact"/>
              <w:ind w:firstLine="0" w:firstLineChars="0"/>
              <w:jc w:val="center"/>
              <w:rPr>
                <w:rFonts w:cs="宋体"/>
                <w:sz w:val="21"/>
                <w:szCs w:val="21"/>
              </w:rPr>
            </w:pPr>
            <w:r>
              <w:rPr>
                <w:rFonts w:cs="宋体"/>
                <w:sz w:val="21"/>
                <w:szCs w:val="21"/>
              </w:rPr>
              <w:t>结论</w:t>
            </w:r>
          </w:p>
        </w:tc>
      </w:tr>
      <w:tr w14:paraId="2771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302" w:type="dxa"/>
            <w:gridSpan w:val="4"/>
            <w:vAlign w:val="center"/>
          </w:tcPr>
          <w:p w14:paraId="05B90E99">
            <w:pPr>
              <w:spacing w:line="360" w:lineRule="exact"/>
              <w:ind w:firstLine="0" w:firstLineChars="0"/>
              <w:jc w:val="center"/>
              <w:rPr>
                <w:rFonts w:cs="宋体"/>
                <w:sz w:val="21"/>
                <w:szCs w:val="21"/>
              </w:rPr>
            </w:pPr>
            <w:r>
              <w:rPr>
                <w:rFonts w:cs="宋体"/>
                <w:sz w:val="21"/>
                <w:szCs w:val="21"/>
              </w:rPr>
              <w:t>根据该规范，畜禽养殖场厂区布局如下：</w:t>
            </w:r>
          </w:p>
        </w:tc>
      </w:tr>
      <w:tr w14:paraId="7EDA6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76" w:type="dxa"/>
            <w:vAlign w:val="center"/>
          </w:tcPr>
          <w:p w14:paraId="50BF29AA">
            <w:pPr>
              <w:spacing w:line="360" w:lineRule="exact"/>
              <w:ind w:firstLine="0" w:firstLineChars="0"/>
              <w:jc w:val="center"/>
              <w:rPr>
                <w:sz w:val="21"/>
                <w:szCs w:val="21"/>
              </w:rPr>
            </w:pPr>
            <w:r>
              <w:rPr>
                <w:sz w:val="21"/>
                <w:szCs w:val="21"/>
              </w:rPr>
              <w:t>1</w:t>
            </w:r>
          </w:p>
        </w:tc>
        <w:tc>
          <w:tcPr>
            <w:tcW w:w="3832" w:type="dxa"/>
            <w:vAlign w:val="center"/>
          </w:tcPr>
          <w:p w14:paraId="50AE3693">
            <w:pPr>
              <w:spacing w:line="360" w:lineRule="exact"/>
              <w:ind w:firstLine="0" w:firstLineChars="0"/>
              <w:jc w:val="center"/>
              <w:rPr>
                <w:rFonts w:cs="宋体"/>
                <w:sz w:val="21"/>
                <w:szCs w:val="21"/>
              </w:rPr>
            </w:pPr>
            <w:r>
              <w:rPr>
                <w:rFonts w:cs="宋体"/>
                <w:sz w:val="21"/>
                <w:szCs w:val="21"/>
              </w:rPr>
              <w:t>新建、改建、扩建的畜禽养殖场应实现生产区、生活管理区的隔离，粪便污水处理设施和畜禽尸体焚烧炉应设在养殖场的生产区、生活管理区的常年主导风向的下风向或侧风向处</w:t>
            </w:r>
            <w:r>
              <w:rPr>
                <w:rFonts w:hint="eastAsia" w:cs="宋体"/>
                <w:sz w:val="21"/>
                <w:szCs w:val="21"/>
              </w:rPr>
              <w:t>。</w:t>
            </w:r>
          </w:p>
        </w:tc>
        <w:tc>
          <w:tcPr>
            <w:tcW w:w="3367" w:type="dxa"/>
            <w:vAlign w:val="center"/>
          </w:tcPr>
          <w:p w14:paraId="46707ABF">
            <w:pPr>
              <w:spacing w:line="360" w:lineRule="exact"/>
              <w:ind w:firstLine="0" w:firstLineChars="0"/>
              <w:jc w:val="center"/>
              <w:rPr>
                <w:rFonts w:cs="宋体"/>
                <w:sz w:val="21"/>
                <w:szCs w:val="21"/>
              </w:rPr>
            </w:pPr>
            <w:r>
              <w:rPr>
                <w:rFonts w:cs="宋体"/>
                <w:sz w:val="21"/>
                <w:szCs w:val="21"/>
              </w:rPr>
              <w:t>办公生活区设在场区</w:t>
            </w:r>
            <w:r>
              <w:rPr>
                <w:rFonts w:hint="eastAsia" w:cs="宋体"/>
                <w:sz w:val="21"/>
                <w:szCs w:val="21"/>
              </w:rPr>
              <w:t>西</w:t>
            </w:r>
            <w:r>
              <w:rPr>
                <w:rFonts w:cs="宋体"/>
                <w:sz w:val="21"/>
                <w:szCs w:val="21"/>
              </w:rPr>
              <w:t>侧，位于</w:t>
            </w:r>
            <w:r>
              <w:rPr>
                <w:rFonts w:hint="eastAsia" w:cs="宋体"/>
                <w:sz w:val="21"/>
                <w:szCs w:val="21"/>
              </w:rPr>
              <w:t>堆肥场</w:t>
            </w:r>
            <w:r>
              <w:rPr>
                <w:rFonts w:cs="宋体"/>
                <w:sz w:val="21"/>
                <w:szCs w:val="21"/>
              </w:rPr>
              <w:t>常年主导风向的侧风向，并设通道通向场外，办公生活区和生产区之间有一定的距离，实现了人畜分离</w:t>
            </w:r>
            <w:r>
              <w:rPr>
                <w:rFonts w:hint="eastAsia" w:cs="宋体"/>
                <w:sz w:val="21"/>
                <w:szCs w:val="21"/>
              </w:rPr>
              <w:t>。</w:t>
            </w:r>
            <w:r>
              <w:rPr>
                <w:rFonts w:cs="宋体"/>
                <w:sz w:val="21"/>
                <w:szCs w:val="21"/>
              </w:rPr>
              <w:t>在场界、</w:t>
            </w:r>
            <w:r>
              <w:rPr>
                <w:rFonts w:hint="eastAsia" w:cs="宋体"/>
                <w:sz w:val="21"/>
                <w:szCs w:val="21"/>
              </w:rPr>
              <w:t>骆驼圈舍</w:t>
            </w:r>
            <w:r>
              <w:rPr>
                <w:rFonts w:cs="宋体"/>
                <w:sz w:val="21"/>
                <w:szCs w:val="21"/>
              </w:rPr>
              <w:t>间采用树木作为隔离林带</w:t>
            </w:r>
            <w:r>
              <w:rPr>
                <w:rFonts w:hint="eastAsia" w:cs="宋体"/>
                <w:sz w:val="21"/>
                <w:szCs w:val="21"/>
              </w:rPr>
              <w:t>。</w:t>
            </w:r>
          </w:p>
        </w:tc>
        <w:tc>
          <w:tcPr>
            <w:tcW w:w="727" w:type="dxa"/>
            <w:vMerge w:val="restart"/>
            <w:tcBorders>
              <w:bottom w:val="nil"/>
            </w:tcBorders>
            <w:vAlign w:val="center"/>
          </w:tcPr>
          <w:p w14:paraId="6421C6F4">
            <w:pPr>
              <w:spacing w:line="360" w:lineRule="exact"/>
              <w:ind w:right="46" w:firstLine="0" w:firstLineChars="0"/>
              <w:jc w:val="center"/>
              <w:rPr>
                <w:rFonts w:cs="宋体"/>
                <w:sz w:val="21"/>
                <w:szCs w:val="21"/>
              </w:rPr>
            </w:pPr>
            <w:r>
              <w:rPr>
                <w:rFonts w:cs="宋体"/>
                <w:sz w:val="21"/>
                <w:szCs w:val="21"/>
              </w:rPr>
              <w:t>布局可行</w:t>
            </w:r>
          </w:p>
        </w:tc>
      </w:tr>
      <w:tr w14:paraId="4DC23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376" w:type="dxa"/>
            <w:vAlign w:val="center"/>
          </w:tcPr>
          <w:p w14:paraId="1BFF5BA6">
            <w:pPr>
              <w:spacing w:line="360" w:lineRule="exact"/>
              <w:ind w:firstLine="0" w:firstLineChars="0"/>
              <w:jc w:val="center"/>
              <w:rPr>
                <w:sz w:val="21"/>
                <w:szCs w:val="21"/>
              </w:rPr>
            </w:pPr>
            <w:r>
              <w:rPr>
                <w:sz w:val="21"/>
                <w:szCs w:val="21"/>
              </w:rPr>
              <w:t>2</w:t>
            </w:r>
          </w:p>
        </w:tc>
        <w:tc>
          <w:tcPr>
            <w:tcW w:w="3832" w:type="dxa"/>
            <w:vAlign w:val="center"/>
          </w:tcPr>
          <w:p w14:paraId="2E6BA82D">
            <w:pPr>
              <w:spacing w:line="360" w:lineRule="exact"/>
              <w:ind w:firstLine="0" w:firstLineChars="0"/>
              <w:jc w:val="center"/>
              <w:rPr>
                <w:rFonts w:cs="宋体"/>
                <w:sz w:val="21"/>
                <w:szCs w:val="21"/>
              </w:rPr>
            </w:pPr>
            <w:r>
              <w:rPr>
                <w:rFonts w:cs="宋体"/>
                <w:sz w:val="21"/>
                <w:szCs w:val="21"/>
              </w:rPr>
              <w:t>养殖场的排水系统应实现雨水和污水收集输送系统分离，在厂区内外设置的污水收集输送系统，不得采取明沟布设</w:t>
            </w:r>
            <w:r>
              <w:rPr>
                <w:rFonts w:hint="eastAsia" w:cs="宋体"/>
                <w:sz w:val="21"/>
                <w:szCs w:val="21"/>
              </w:rPr>
              <w:t>。</w:t>
            </w:r>
          </w:p>
        </w:tc>
        <w:tc>
          <w:tcPr>
            <w:tcW w:w="3367" w:type="dxa"/>
            <w:vAlign w:val="center"/>
          </w:tcPr>
          <w:p w14:paraId="731F9B04">
            <w:pPr>
              <w:spacing w:line="360" w:lineRule="exact"/>
              <w:ind w:firstLine="0" w:firstLineChars="0"/>
              <w:jc w:val="center"/>
              <w:rPr>
                <w:rFonts w:cs="宋体"/>
                <w:sz w:val="21"/>
                <w:szCs w:val="21"/>
              </w:rPr>
            </w:pPr>
            <w:r>
              <w:rPr>
                <w:rFonts w:cs="宋体"/>
                <w:sz w:val="21"/>
                <w:szCs w:val="21"/>
              </w:rPr>
              <w:t>养殖场排水采用雨、污分流的形式，在</w:t>
            </w:r>
            <w:r>
              <w:rPr>
                <w:rFonts w:hint="eastAsia" w:cs="宋体"/>
                <w:sz w:val="21"/>
                <w:szCs w:val="21"/>
              </w:rPr>
              <w:t>骆驼圈舍</w:t>
            </w:r>
            <w:r>
              <w:rPr>
                <w:rFonts w:cs="宋体"/>
                <w:sz w:val="21"/>
                <w:szCs w:val="21"/>
              </w:rPr>
              <w:t>外设置污水收集输送管道</w:t>
            </w:r>
            <w:r>
              <w:rPr>
                <w:rFonts w:hint="eastAsia" w:cs="宋体"/>
                <w:sz w:val="21"/>
                <w:szCs w:val="21"/>
              </w:rPr>
              <w:t>（</w:t>
            </w:r>
            <w:r>
              <w:rPr>
                <w:rFonts w:cs="宋体"/>
                <w:sz w:val="21"/>
                <w:szCs w:val="21"/>
              </w:rPr>
              <w:t>暗管</w:t>
            </w:r>
            <w:r>
              <w:rPr>
                <w:rFonts w:hint="eastAsia" w:cs="宋体"/>
                <w:sz w:val="21"/>
                <w:szCs w:val="21"/>
              </w:rPr>
              <w:t>）。</w:t>
            </w:r>
          </w:p>
        </w:tc>
        <w:tc>
          <w:tcPr>
            <w:tcW w:w="727" w:type="dxa"/>
            <w:vMerge w:val="continue"/>
            <w:tcBorders>
              <w:top w:val="nil"/>
            </w:tcBorders>
            <w:vAlign w:val="center"/>
          </w:tcPr>
          <w:p w14:paraId="1E8ACC09">
            <w:pPr>
              <w:ind w:firstLine="420"/>
              <w:rPr>
                <w:sz w:val="21"/>
              </w:rPr>
            </w:pPr>
          </w:p>
        </w:tc>
      </w:tr>
    </w:tbl>
    <w:p w14:paraId="2EF21E6B">
      <w:pPr>
        <w:ind w:firstLine="480"/>
      </w:pPr>
      <w:r>
        <w:t>综上所述，整个厂区布置根据现代养殖技术要求，进行了合理规划布局，配备必要的设备设施</w:t>
      </w:r>
      <w:r>
        <w:rPr>
          <w:rFonts w:hint="eastAsia"/>
        </w:rPr>
        <w:t>。</w:t>
      </w:r>
      <w:r>
        <w:t>净道和污道分开，减少不必要的交叉，切断疫病的传播途径</w:t>
      </w:r>
      <w:r>
        <w:rPr>
          <w:rFonts w:hint="eastAsia"/>
        </w:rPr>
        <w:t>。</w:t>
      </w:r>
      <w:r>
        <w:t>在</w:t>
      </w:r>
      <w:r>
        <w:rPr>
          <w:rFonts w:hint="eastAsia"/>
        </w:rPr>
        <w:t>骆驼圈舍</w:t>
      </w:r>
      <w:r>
        <w:t>周围、道路两边和</w:t>
      </w:r>
      <w:r>
        <w:rPr>
          <w:rFonts w:hint="eastAsia"/>
        </w:rPr>
        <w:t>骆驼圈舍</w:t>
      </w:r>
      <w:r>
        <w:t>之间栽种树木，种植花草，净化空气，绿化环境，减少对周围环境的影响</w:t>
      </w:r>
      <w:r>
        <w:rPr>
          <w:rFonts w:hint="eastAsia"/>
        </w:rPr>
        <w:t>。</w:t>
      </w:r>
    </w:p>
    <w:p w14:paraId="1985C351">
      <w:pPr>
        <w:ind w:firstLine="480"/>
      </w:pPr>
      <w:r>
        <w:t>根据项目建构筑物的平面布置图，结合区域风玫瑰，本项目将办公生活区位于养殖区、</w:t>
      </w:r>
      <w:r>
        <w:rPr>
          <w:rFonts w:hint="eastAsia"/>
        </w:rPr>
        <w:t>防渗化粪池</w:t>
      </w:r>
      <w:r>
        <w:t>常年主导风向的侧风向，办公生活区与生产区、污水处理区之间以种植绿化区隔开，有效的避免了项目运行产生的恶臭气体对生活办公的影响</w:t>
      </w:r>
      <w:r>
        <w:rPr>
          <w:rFonts w:hint="eastAsia"/>
        </w:rPr>
        <w:t>。</w:t>
      </w:r>
    </w:p>
    <w:p w14:paraId="3BA2C91A">
      <w:pPr>
        <w:ind w:firstLine="480"/>
      </w:pPr>
      <w:r>
        <w:t>综上，本项目总平面布置功能分区清晰，工艺流程顺畅，物流短捷，人流、物流互不交叉干扰，协调了生产和环保的关系，从环保角度分析其平面布局基本合理，项目布局符合《畜禽养殖业污染防治技术规范》</w:t>
      </w:r>
      <w:r>
        <w:rPr>
          <w:rFonts w:hint="eastAsia"/>
        </w:rPr>
        <w:t>（</w:t>
      </w:r>
      <w:r>
        <w:t>HJ/T81-2001</w:t>
      </w:r>
      <w:r>
        <w:rPr>
          <w:rFonts w:hint="eastAsia"/>
        </w:rPr>
        <w:t>）</w:t>
      </w:r>
      <w:r>
        <w:t>要求</w:t>
      </w:r>
    </w:p>
    <w:p w14:paraId="6F09B9A4">
      <w:pPr>
        <w:ind w:firstLine="480"/>
      </w:pPr>
      <w:r>
        <w:rPr>
          <w:rFonts w:hint="eastAsia"/>
        </w:rPr>
        <w:t>（2）与《畜禽养殖产地环境评价范围》符合性分析</w:t>
      </w:r>
    </w:p>
    <w:p w14:paraId="6323C88E">
      <w:pPr>
        <w:ind w:firstLine="480"/>
      </w:pPr>
      <w:r>
        <w:rPr>
          <w:rFonts w:hint="eastAsia"/>
        </w:rPr>
        <w:t>①畜禽饮用水水质符合性：根据区域地下水水质现状监测结果可知，各监测项目均符合《畜禽养殖产地环境评价规范》（HJ568-2010）中表2：禽饮用水水质评价指标限值</w:t>
      </w:r>
    </w:p>
    <w:p w14:paraId="6ED1D2B7">
      <w:pPr>
        <w:ind w:firstLine="480"/>
      </w:pPr>
      <w:r>
        <w:rPr>
          <w:rFonts w:hint="eastAsia"/>
        </w:rPr>
        <w:t>②土壤环境质量符合性：根据项目所在地自然的监测数据，项目所在区域土壤中各监测因子均未超过《畜禽养殖产地环境评价规范》（HJ568-2010）表4中畜禽养殖场、养殖小区土壤环境质量评价指标限值，土壤质量良好。</w:t>
      </w:r>
    </w:p>
    <w:p w14:paraId="028D9C3D">
      <w:pPr>
        <w:ind w:firstLine="480"/>
      </w:pPr>
      <w:r>
        <w:rPr>
          <w:rFonts w:hint="eastAsia"/>
        </w:rPr>
        <w:t>③环境空气质量符合性：根据本项目区域环境空气质量监测结果可知，各监测因子符合《畜禽养殖产地环境评价规范》（HJ568-2010）中表5：禽养殖场和养殖小区环境空气质量评价指标限值</w:t>
      </w:r>
    </w:p>
    <w:p w14:paraId="0DAF770D">
      <w:pPr>
        <w:ind w:firstLine="480"/>
      </w:pPr>
      <w:r>
        <w:rPr>
          <w:rFonts w:hint="eastAsia"/>
        </w:rPr>
        <w:t>④声环境质量符合性：根据项目厂界声环境质量监测结果可知，其监测结果符合《畜禽养殖产地环境评价规范》（HJ568-2010）中表6：畜禽养殖场、养殖小区及放牧区声环境质量评价指标限值</w:t>
      </w:r>
    </w:p>
    <w:p w14:paraId="1F76EB9E">
      <w:pPr>
        <w:ind w:firstLine="480"/>
      </w:pPr>
      <w:r>
        <w:rPr>
          <w:rFonts w:hint="eastAsia"/>
        </w:rPr>
        <w:t>综上所述，本项目选址环境质量现状符合《畜禽养殖产地环境评价规范》（HJ568-2010）中的环境质量要求。</w:t>
      </w:r>
    </w:p>
    <w:p w14:paraId="3039D83A">
      <w:pPr>
        <w:ind w:firstLine="480"/>
      </w:pPr>
      <w:r>
        <w:rPr>
          <w:rFonts w:hint="eastAsia"/>
        </w:rPr>
        <w:t>（3）与《动物防疫条件审查办法》的符合性分析</w:t>
      </w:r>
    </w:p>
    <w:p w14:paraId="3628FC04">
      <w:pPr>
        <w:ind w:firstLine="480"/>
      </w:pPr>
      <w:r>
        <w:rPr>
          <w:rFonts w:hint="eastAsia"/>
        </w:rPr>
        <w:t>根据《动物防疫条件审查办法》，动物饲养场、养殖小区选址应符合以下要求：距离生活饮用水源地、动物屠宰加工场所、动物和动物产品集贸市场500米以上；距离种畜禽场1000米以上；距离动物诊疗场所200米以上；动物饲养场（养殖小区）之间距离不少于500米。《农业农村部关于调整动物防疫条件审查有关规定的通知》（农牧发（2019）42号）中规定“自2019年12月18日起，暂停执行关于兴办动物饲养场、养殖小区、动物隔离场所、动物屠宰加工场所以及动物和动物产品无害化处理场所的选址距离规定。”</w:t>
      </w:r>
    </w:p>
    <w:p w14:paraId="5D590236">
      <w:pPr>
        <w:ind w:firstLine="480"/>
      </w:pPr>
      <w:r>
        <w:rPr>
          <w:rFonts w:hint="eastAsia"/>
        </w:rPr>
        <w:t>根据现场查看，项目周边500m以内无水源保护区、动物屠宰场所等，1000m以内无种畜禽场，项目周边500以内无其他动物养场（养殖小区），选址符合《动物防疫条件审查办法》要求。</w:t>
      </w:r>
    </w:p>
    <w:p w14:paraId="3AB6CCE0">
      <w:pPr>
        <w:pStyle w:val="5"/>
      </w:pPr>
      <w:bookmarkStart w:id="60" w:name="_Toc106663466"/>
      <w:r>
        <w:rPr>
          <w:rFonts w:hint="eastAsia"/>
        </w:rPr>
        <w:t>3.1.6公用工程</w:t>
      </w:r>
      <w:bookmarkEnd w:id="60"/>
    </w:p>
    <w:p w14:paraId="11DE7F80">
      <w:pPr>
        <w:pStyle w:val="6"/>
        <w:ind w:firstLine="482"/>
      </w:pPr>
      <w:r>
        <w:rPr>
          <w:rFonts w:hint="eastAsia"/>
        </w:rPr>
        <w:t>3.1.6.1给水系统</w:t>
      </w:r>
    </w:p>
    <w:p w14:paraId="1FCE07FA">
      <w:pPr>
        <w:ind w:firstLine="480"/>
      </w:pPr>
      <w:r>
        <w:t>本项目生产、生活用水水源来自</w:t>
      </w:r>
      <w:r>
        <w:rPr>
          <w:rFonts w:hint="eastAsia"/>
        </w:rPr>
        <w:t>市政管网</w:t>
      </w:r>
      <w:r>
        <w:t>接入，由厂区</w:t>
      </w:r>
      <w:r>
        <w:rPr>
          <w:rFonts w:hint="eastAsia"/>
        </w:rPr>
        <w:t>南</w:t>
      </w:r>
      <w:r>
        <w:t>侧接入</w:t>
      </w:r>
      <w:r>
        <w:rPr>
          <w:rFonts w:hint="eastAsia"/>
        </w:rPr>
        <w:t>。</w:t>
      </w:r>
      <w:r>
        <w:t>本项目总用水量</w:t>
      </w:r>
      <w:r>
        <w:rPr>
          <w:rFonts w:hint="eastAsia"/>
        </w:rPr>
        <w:t>3637.5</w:t>
      </w:r>
      <w:r>
        <w:t>m</w:t>
      </w:r>
      <w:r>
        <w:rPr>
          <w:vertAlign w:val="superscript"/>
        </w:rPr>
        <w:t>3</w:t>
      </w:r>
      <w:r>
        <w:t>/a，主要用于</w:t>
      </w:r>
      <w:r>
        <w:rPr>
          <w:rFonts w:hint="eastAsia"/>
        </w:rPr>
        <w:t>骆驼饮用水、</w:t>
      </w:r>
      <w:r>
        <w:t>员工生活用水、消毒用水及绿化用水</w:t>
      </w:r>
      <w:r>
        <w:rPr>
          <w:rFonts w:hint="eastAsia"/>
        </w:rPr>
        <w:t>。</w:t>
      </w:r>
    </w:p>
    <w:p w14:paraId="3E14B752">
      <w:pPr>
        <w:ind w:firstLine="480"/>
      </w:pPr>
      <w:r>
        <w:rPr>
          <w:rFonts w:hint="eastAsia"/>
        </w:rPr>
        <w:t>（</w:t>
      </w:r>
      <w:r>
        <w:t>1</w:t>
      </w:r>
      <w:r>
        <w:rPr>
          <w:rFonts w:hint="eastAsia"/>
        </w:rPr>
        <w:t>）骆驼饮用水</w:t>
      </w:r>
    </w:p>
    <w:p w14:paraId="3BC992CA">
      <w:pPr>
        <w:ind w:firstLine="480"/>
      </w:pPr>
      <w:r>
        <w:rPr>
          <w:rFonts w:hint="eastAsia"/>
        </w:rPr>
        <w:t>本项目生产用水主要为骆驼饮用水，根据骆驼养殖经验和骆驼生长习性，本项目不需要冲洗骆驼圈舍，故不涉及骆驼圈舍冲洗用水。根据建设方提供的数据，骆驼饮用水按8kg/（峰·d）计算，则骆驼饮用水量为3.2m</w:t>
      </w:r>
      <w:r>
        <w:rPr>
          <w:rFonts w:hint="eastAsia"/>
          <w:vertAlign w:val="superscript"/>
        </w:rPr>
        <w:t>3</w:t>
      </w:r>
      <w:r>
        <w:rPr>
          <w:rFonts w:hint="eastAsia"/>
        </w:rPr>
        <w:t>/d，本项目共400峰骆驼，本项目全年骆驼饲养时间按365天计，则骆驼一年的饮用水量为1168m</w:t>
      </w:r>
      <w:r>
        <w:rPr>
          <w:rFonts w:hint="eastAsia"/>
          <w:vertAlign w:val="superscript"/>
        </w:rPr>
        <w:t>3</w:t>
      </w:r>
      <w:r>
        <w:rPr>
          <w:rFonts w:hint="eastAsia"/>
        </w:rPr>
        <w:t>/a。</w:t>
      </w:r>
    </w:p>
    <w:p w14:paraId="3F112C98">
      <w:pPr>
        <w:ind w:firstLine="480"/>
      </w:pPr>
      <w:r>
        <w:rPr>
          <w:rFonts w:hint="eastAsia"/>
        </w:rPr>
        <w:t>（</w:t>
      </w:r>
      <w:r>
        <w:t>2</w:t>
      </w:r>
      <w:r>
        <w:rPr>
          <w:rFonts w:hint="eastAsia"/>
        </w:rPr>
        <w:t>）</w:t>
      </w:r>
      <w:r>
        <w:t>职工生活用水</w:t>
      </w:r>
    </w:p>
    <w:p w14:paraId="10E89B90">
      <w:pPr>
        <w:ind w:firstLine="480"/>
      </w:pPr>
      <w:r>
        <w:t>根据《新疆维吾尔自治区工业和生活用水定额》中相关数据，工作人员用水约80L/人·d，本项目劳动定员共20人，则工作人员的生活用水量为584m</w:t>
      </w:r>
      <w:r>
        <w:rPr>
          <w:vertAlign w:val="superscript"/>
        </w:rPr>
        <w:t>3</w:t>
      </w:r>
      <w:r>
        <w:t>/a</w:t>
      </w:r>
      <w:r>
        <w:rPr>
          <w:rFonts w:hint="eastAsia"/>
        </w:rPr>
        <w:t>（</w:t>
      </w:r>
      <w:r>
        <w:t>按365天计</w:t>
      </w:r>
      <w:r>
        <w:rPr>
          <w:rFonts w:hint="eastAsia"/>
        </w:rPr>
        <w:t>）。</w:t>
      </w:r>
    </w:p>
    <w:p w14:paraId="46A49CB5">
      <w:pPr>
        <w:ind w:firstLine="480"/>
      </w:pPr>
      <w:r>
        <w:rPr>
          <w:rFonts w:hint="eastAsia"/>
        </w:rPr>
        <w:t>（</w:t>
      </w:r>
      <w:r>
        <w:t>4</w:t>
      </w:r>
      <w:r>
        <w:rPr>
          <w:rFonts w:hint="eastAsia"/>
        </w:rPr>
        <w:t>）</w:t>
      </w:r>
      <w:r>
        <w:t>消毒用水</w:t>
      </w:r>
    </w:p>
    <w:p w14:paraId="341CAAD7">
      <w:pPr>
        <w:ind w:firstLine="480"/>
      </w:pPr>
      <w:r>
        <w:rPr>
          <w:rFonts w:hint="eastAsia"/>
        </w:rPr>
        <w:t>消毒用水主要是为进入厂区内的拉驼车、饲料运输车等车辆清洗、消毒，车辆清洗用水按0.1t/辆·次，每天按5车次计算，全天合计0.5m</w:t>
      </w:r>
      <w:r>
        <w:rPr>
          <w:rFonts w:hint="eastAsia"/>
          <w:vertAlign w:val="superscript"/>
        </w:rPr>
        <w:t>3</w:t>
      </w:r>
      <w:r>
        <w:rPr>
          <w:rFonts w:hint="eastAsia"/>
        </w:rPr>
        <w:t>/d，循环利用系数按0.8计算，新鲜水补水量为0.1m</w:t>
      </w:r>
      <w:r>
        <w:rPr>
          <w:rFonts w:hint="eastAsia"/>
          <w:vertAlign w:val="superscript"/>
        </w:rPr>
        <w:t>3</w:t>
      </w:r>
      <w:r>
        <w:rPr>
          <w:rFonts w:hint="eastAsia"/>
        </w:rPr>
        <w:t>/d，全年用水量为36.5m</w:t>
      </w:r>
      <w:r>
        <w:rPr>
          <w:rFonts w:hint="eastAsia"/>
          <w:vertAlign w:val="superscript"/>
        </w:rPr>
        <w:t>3</w:t>
      </w:r>
      <w:r>
        <w:rPr>
          <w:rFonts w:hint="eastAsia"/>
        </w:rPr>
        <w:t>/a。</w:t>
      </w:r>
    </w:p>
    <w:p w14:paraId="4AD2C0D6">
      <w:pPr>
        <w:ind w:firstLine="480"/>
      </w:pPr>
      <w:r>
        <w:rPr>
          <w:rFonts w:hint="eastAsia"/>
        </w:rPr>
        <w:t>（5）</w:t>
      </w:r>
      <w:r>
        <w:t>绿化用水</w:t>
      </w:r>
    </w:p>
    <w:p w14:paraId="123CBD91">
      <w:pPr>
        <w:ind w:firstLine="480"/>
      </w:pPr>
      <w:r>
        <w:t>本项目占地面积为即</w:t>
      </w:r>
      <w:r>
        <w:rPr>
          <w:rFonts w:hint="eastAsia"/>
        </w:rPr>
        <w:t>24757.78</w:t>
      </w:r>
      <w:r>
        <w:t>m</w:t>
      </w:r>
      <w:r>
        <w:rPr>
          <w:vertAlign w:val="superscript"/>
        </w:rPr>
        <w:t>2</w:t>
      </w:r>
      <w:r>
        <w:t>，绿化率为10%，绿化面积为</w:t>
      </w:r>
      <w:r>
        <w:rPr>
          <w:rFonts w:hint="eastAsia"/>
        </w:rPr>
        <w:t>2475.778</w:t>
      </w:r>
      <w:r>
        <w:t>m</w:t>
      </w:r>
      <w:r>
        <w:rPr>
          <w:vertAlign w:val="superscript"/>
        </w:rPr>
        <w:t>2</w:t>
      </w:r>
      <w:r>
        <w:rPr>
          <w:rFonts w:hint="eastAsia"/>
        </w:rPr>
        <w:t>（3.7亩）。</w:t>
      </w:r>
      <w:r>
        <w:t>根据《新疆维吾尔自治区生活用水定额》项目所在区域绿化用水指标为400~500m</w:t>
      </w:r>
      <w:r>
        <w:rPr>
          <w:vertAlign w:val="superscript"/>
        </w:rPr>
        <w:t>3</w:t>
      </w:r>
      <w:r>
        <w:t>/亩▪a，本项目按500m</w:t>
      </w:r>
      <w:r>
        <w:rPr>
          <w:vertAlign w:val="superscript"/>
        </w:rPr>
        <w:t>3</w:t>
      </w:r>
      <w:r>
        <w:t>/亩▪a计，则项目绿化用水量为</w:t>
      </w:r>
      <w:r>
        <w:rPr>
          <w:rFonts w:hint="eastAsia"/>
        </w:rPr>
        <w:t>1850</w:t>
      </w:r>
      <w:r>
        <w:t>m</w:t>
      </w:r>
      <w:r>
        <w:rPr>
          <w:vertAlign w:val="superscript"/>
        </w:rPr>
        <w:t>3</w:t>
      </w:r>
      <w:r>
        <w:t>/a，</w:t>
      </w:r>
    </w:p>
    <w:p w14:paraId="3F4125C3">
      <w:pPr>
        <w:ind w:firstLine="480"/>
      </w:pPr>
      <w:r>
        <w:rPr>
          <w:rFonts w:hint="eastAsia"/>
        </w:rPr>
        <w:t>项目用水量估算表见表3.1-6。</w:t>
      </w:r>
    </w:p>
    <w:p w14:paraId="41528B9F">
      <w:pPr>
        <w:pStyle w:val="11"/>
      </w:pPr>
      <w:r>
        <w:rPr>
          <w:rFonts w:hint="eastAsia"/>
        </w:rPr>
        <w:t>表3.1-6项目用水量估算表</w:t>
      </w:r>
    </w:p>
    <w:tbl>
      <w:tblPr>
        <w:tblStyle w:val="183"/>
        <w:tblW w:w="500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35"/>
        <w:gridCol w:w="4985"/>
      </w:tblGrid>
      <w:tr w14:paraId="21ACF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004" w:type="pct"/>
            <w:vAlign w:val="center"/>
          </w:tcPr>
          <w:p w14:paraId="16C32E2D">
            <w:pPr>
              <w:spacing w:line="360" w:lineRule="exact"/>
              <w:ind w:firstLine="0" w:firstLineChars="0"/>
              <w:jc w:val="center"/>
              <w:rPr>
                <w:rFonts w:cs="宋体"/>
                <w:sz w:val="21"/>
                <w:szCs w:val="21"/>
              </w:rPr>
            </w:pPr>
            <w:r>
              <w:rPr>
                <w:rFonts w:cs="宋体"/>
                <w:sz w:val="21"/>
                <w:szCs w:val="21"/>
              </w:rPr>
              <w:t>项目</w:t>
            </w:r>
          </w:p>
        </w:tc>
        <w:tc>
          <w:tcPr>
            <w:tcW w:w="2995" w:type="pct"/>
            <w:vAlign w:val="center"/>
          </w:tcPr>
          <w:p w14:paraId="58CF3EE6">
            <w:pPr>
              <w:spacing w:line="360" w:lineRule="exact"/>
              <w:ind w:firstLine="0" w:firstLineChars="0"/>
              <w:jc w:val="center"/>
              <w:rPr>
                <w:rFonts w:cs="宋体"/>
                <w:sz w:val="21"/>
                <w:szCs w:val="21"/>
              </w:rPr>
            </w:pPr>
            <w:r>
              <w:rPr>
                <w:rFonts w:cs="宋体"/>
                <w:sz w:val="21"/>
                <w:szCs w:val="21"/>
              </w:rPr>
              <w:t>用水量</w:t>
            </w:r>
            <w:r>
              <w:rPr>
                <w:rFonts w:hint="eastAsia" w:cs="宋体"/>
                <w:sz w:val="21"/>
                <w:szCs w:val="21"/>
              </w:rPr>
              <w:t>（</w:t>
            </w:r>
            <w:r>
              <w:rPr>
                <w:sz w:val="21"/>
                <w:szCs w:val="21"/>
              </w:rPr>
              <w:t>m</w:t>
            </w:r>
            <w:r>
              <w:rPr>
                <w:sz w:val="21"/>
                <w:szCs w:val="14"/>
                <w:vertAlign w:val="superscript"/>
              </w:rPr>
              <w:t>3</w:t>
            </w:r>
            <w:r>
              <w:rPr>
                <w:sz w:val="21"/>
                <w:szCs w:val="21"/>
              </w:rPr>
              <w:t>/a</w:t>
            </w:r>
            <w:r>
              <w:rPr>
                <w:rFonts w:hint="eastAsia" w:cs="宋体"/>
                <w:sz w:val="21"/>
                <w:szCs w:val="21"/>
              </w:rPr>
              <w:t>）</w:t>
            </w:r>
          </w:p>
        </w:tc>
      </w:tr>
      <w:tr w14:paraId="1FDCD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004" w:type="pct"/>
            <w:vAlign w:val="center"/>
          </w:tcPr>
          <w:p w14:paraId="0305FEDF">
            <w:pPr>
              <w:spacing w:line="360" w:lineRule="exact"/>
              <w:ind w:firstLine="0" w:firstLineChars="0"/>
              <w:jc w:val="center"/>
              <w:rPr>
                <w:rFonts w:cs="宋体"/>
                <w:sz w:val="21"/>
                <w:szCs w:val="21"/>
              </w:rPr>
            </w:pPr>
            <w:r>
              <w:rPr>
                <w:rFonts w:hint="eastAsia" w:cs="宋体"/>
                <w:sz w:val="21"/>
                <w:szCs w:val="21"/>
              </w:rPr>
              <w:t>骆驼</w:t>
            </w:r>
            <w:r>
              <w:rPr>
                <w:rFonts w:cs="宋体"/>
                <w:sz w:val="21"/>
                <w:szCs w:val="21"/>
              </w:rPr>
              <w:t>饮用水</w:t>
            </w:r>
          </w:p>
        </w:tc>
        <w:tc>
          <w:tcPr>
            <w:tcW w:w="2995" w:type="pct"/>
            <w:vAlign w:val="center"/>
          </w:tcPr>
          <w:p w14:paraId="180F592D">
            <w:pPr>
              <w:spacing w:line="360" w:lineRule="exact"/>
              <w:ind w:firstLine="0" w:firstLineChars="0"/>
              <w:jc w:val="center"/>
              <w:rPr>
                <w:sz w:val="21"/>
                <w:szCs w:val="21"/>
              </w:rPr>
            </w:pPr>
            <w:r>
              <w:rPr>
                <w:rFonts w:hint="eastAsia"/>
                <w:sz w:val="21"/>
              </w:rPr>
              <w:t>1168</w:t>
            </w:r>
          </w:p>
        </w:tc>
      </w:tr>
      <w:tr w14:paraId="52059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004" w:type="pct"/>
            <w:vAlign w:val="center"/>
          </w:tcPr>
          <w:p w14:paraId="75D55D87">
            <w:pPr>
              <w:spacing w:line="360" w:lineRule="exact"/>
              <w:ind w:firstLine="0" w:firstLineChars="0"/>
              <w:jc w:val="center"/>
              <w:rPr>
                <w:rFonts w:cs="宋体"/>
                <w:sz w:val="21"/>
                <w:szCs w:val="21"/>
              </w:rPr>
            </w:pPr>
            <w:r>
              <w:rPr>
                <w:rFonts w:cs="宋体"/>
                <w:sz w:val="21"/>
                <w:szCs w:val="21"/>
              </w:rPr>
              <w:t>职工生活用水</w:t>
            </w:r>
          </w:p>
        </w:tc>
        <w:tc>
          <w:tcPr>
            <w:tcW w:w="2995" w:type="pct"/>
            <w:vAlign w:val="center"/>
          </w:tcPr>
          <w:p w14:paraId="157203B9">
            <w:pPr>
              <w:spacing w:line="360" w:lineRule="exact"/>
              <w:ind w:firstLine="0" w:firstLineChars="0"/>
              <w:jc w:val="center"/>
              <w:rPr>
                <w:sz w:val="21"/>
                <w:szCs w:val="21"/>
              </w:rPr>
            </w:pPr>
            <w:r>
              <w:rPr>
                <w:sz w:val="21"/>
                <w:szCs w:val="21"/>
              </w:rPr>
              <w:t>584</w:t>
            </w:r>
          </w:p>
        </w:tc>
      </w:tr>
      <w:tr w14:paraId="63193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004" w:type="pct"/>
            <w:vAlign w:val="center"/>
          </w:tcPr>
          <w:p w14:paraId="3B90801B">
            <w:pPr>
              <w:spacing w:line="360" w:lineRule="exact"/>
              <w:ind w:firstLine="0" w:firstLineChars="0"/>
              <w:jc w:val="center"/>
              <w:rPr>
                <w:rFonts w:cs="宋体"/>
                <w:sz w:val="21"/>
                <w:szCs w:val="21"/>
              </w:rPr>
            </w:pPr>
            <w:r>
              <w:rPr>
                <w:rFonts w:cs="宋体"/>
                <w:sz w:val="21"/>
                <w:szCs w:val="21"/>
              </w:rPr>
              <w:t>消毒用水</w:t>
            </w:r>
          </w:p>
        </w:tc>
        <w:tc>
          <w:tcPr>
            <w:tcW w:w="2995" w:type="pct"/>
            <w:vAlign w:val="center"/>
          </w:tcPr>
          <w:p w14:paraId="318F576A">
            <w:pPr>
              <w:spacing w:line="360" w:lineRule="exact"/>
              <w:ind w:firstLine="0" w:firstLineChars="0"/>
              <w:jc w:val="center"/>
              <w:rPr>
                <w:sz w:val="21"/>
                <w:szCs w:val="21"/>
              </w:rPr>
            </w:pPr>
            <w:r>
              <w:rPr>
                <w:rFonts w:hint="eastAsia"/>
                <w:sz w:val="21"/>
                <w:szCs w:val="21"/>
              </w:rPr>
              <w:t>36.5</w:t>
            </w:r>
          </w:p>
        </w:tc>
      </w:tr>
      <w:tr w14:paraId="74AC3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004" w:type="pct"/>
            <w:vAlign w:val="center"/>
          </w:tcPr>
          <w:p w14:paraId="5A0E52FC">
            <w:pPr>
              <w:spacing w:line="360" w:lineRule="exact"/>
              <w:ind w:firstLine="0" w:firstLineChars="0"/>
              <w:jc w:val="center"/>
              <w:rPr>
                <w:rFonts w:cs="宋体"/>
                <w:sz w:val="21"/>
                <w:szCs w:val="21"/>
              </w:rPr>
            </w:pPr>
            <w:r>
              <w:rPr>
                <w:rFonts w:cs="宋体"/>
                <w:sz w:val="21"/>
                <w:szCs w:val="21"/>
              </w:rPr>
              <w:t>绿化用水</w:t>
            </w:r>
          </w:p>
        </w:tc>
        <w:tc>
          <w:tcPr>
            <w:tcW w:w="2995" w:type="pct"/>
            <w:vAlign w:val="center"/>
          </w:tcPr>
          <w:p w14:paraId="72926150">
            <w:pPr>
              <w:spacing w:line="360" w:lineRule="exact"/>
              <w:ind w:firstLine="0" w:firstLineChars="0"/>
              <w:jc w:val="center"/>
              <w:rPr>
                <w:sz w:val="21"/>
                <w:szCs w:val="21"/>
              </w:rPr>
            </w:pPr>
            <w:r>
              <w:rPr>
                <w:rFonts w:hint="eastAsia"/>
                <w:sz w:val="21"/>
                <w:szCs w:val="21"/>
              </w:rPr>
              <w:t>5260</w:t>
            </w:r>
          </w:p>
        </w:tc>
      </w:tr>
      <w:tr w14:paraId="4CB8B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004" w:type="pct"/>
            <w:vAlign w:val="center"/>
          </w:tcPr>
          <w:p w14:paraId="0EB14F8A">
            <w:pPr>
              <w:spacing w:line="360" w:lineRule="exact"/>
              <w:ind w:firstLine="0" w:firstLineChars="0"/>
              <w:jc w:val="center"/>
              <w:rPr>
                <w:rFonts w:cs="宋体"/>
                <w:sz w:val="21"/>
                <w:szCs w:val="21"/>
              </w:rPr>
            </w:pPr>
            <w:r>
              <w:rPr>
                <w:rFonts w:cs="宋体"/>
                <w:sz w:val="21"/>
                <w:szCs w:val="21"/>
              </w:rPr>
              <w:t>合计</w:t>
            </w:r>
          </w:p>
        </w:tc>
        <w:tc>
          <w:tcPr>
            <w:tcW w:w="2995" w:type="pct"/>
            <w:vAlign w:val="center"/>
          </w:tcPr>
          <w:p w14:paraId="4345180E">
            <w:pPr>
              <w:spacing w:line="360" w:lineRule="exact"/>
              <w:ind w:firstLine="0" w:firstLineChars="0"/>
              <w:jc w:val="center"/>
              <w:rPr>
                <w:sz w:val="21"/>
                <w:szCs w:val="21"/>
              </w:rPr>
            </w:pPr>
            <w:r>
              <w:rPr>
                <w:rFonts w:hint="eastAsia"/>
                <w:sz w:val="21"/>
                <w:szCs w:val="21"/>
              </w:rPr>
              <w:t>3637.5</w:t>
            </w:r>
          </w:p>
        </w:tc>
      </w:tr>
    </w:tbl>
    <w:p w14:paraId="6453EE54">
      <w:pPr>
        <w:pStyle w:val="6"/>
        <w:ind w:firstLine="482"/>
      </w:pPr>
      <w:r>
        <w:rPr>
          <w:rFonts w:hint="eastAsia"/>
        </w:rPr>
        <w:t>3.1.6.2排水系统</w:t>
      </w:r>
    </w:p>
    <w:p w14:paraId="02EAEBFA">
      <w:pPr>
        <w:ind w:firstLine="480"/>
      </w:pPr>
      <w:r>
        <w:t>本项目排水主要为职工生活污水</w:t>
      </w:r>
      <w:r>
        <w:rPr>
          <w:rFonts w:hint="eastAsia"/>
        </w:rPr>
        <w:t>。</w:t>
      </w:r>
    </w:p>
    <w:p w14:paraId="096B9909">
      <w:pPr>
        <w:ind w:firstLine="480"/>
      </w:pPr>
      <w:r>
        <w:rPr>
          <w:rFonts w:hint="eastAsia"/>
        </w:rPr>
        <w:t>（</w:t>
      </w:r>
      <w:r>
        <w:t>1</w:t>
      </w:r>
      <w:r>
        <w:rPr>
          <w:rFonts w:hint="eastAsia"/>
        </w:rPr>
        <w:t>）</w:t>
      </w:r>
      <w:r>
        <w:t>职工生活污水</w:t>
      </w:r>
    </w:p>
    <w:p w14:paraId="7FDA9F1F">
      <w:pPr>
        <w:ind w:firstLine="480"/>
      </w:pPr>
      <w:r>
        <w:t>职工生活污水按照用水量的80%计算，则生活污水产生量约为467.2m</w:t>
      </w:r>
      <w:r>
        <w:rPr>
          <w:vertAlign w:val="superscript"/>
        </w:rPr>
        <w:t>3</w:t>
      </w:r>
      <w:r>
        <w:t>/a</w:t>
      </w:r>
      <w:r>
        <w:rPr>
          <w:rFonts w:hint="eastAsia"/>
        </w:rPr>
        <w:t>。排入防渗化粪池，由木垒县污水处理厂处理。</w:t>
      </w:r>
    </w:p>
    <w:p w14:paraId="01176995">
      <w:pPr>
        <w:ind w:firstLine="480"/>
      </w:pPr>
      <w:r>
        <w:rPr>
          <w:rFonts w:hint="eastAsia"/>
        </w:rPr>
        <w:t>（</w:t>
      </w:r>
      <w:r>
        <w:t>2</w:t>
      </w:r>
      <w:r>
        <w:rPr>
          <w:rFonts w:hint="eastAsia"/>
        </w:rPr>
        <w:t>）骆驼尿</w:t>
      </w:r>
    </w:p>
    <w:p w14:paraId="7A3A3119">
      <w:pPr>
        <w:ind w:firstLine="480"/>
      </w:pPr>
      <w:r>
        <w:rPr>
          <w:rFonts w:hint="eastAsia"/>
        </w:rPr>
        <w:t>根据建设方提供的数据，骆驼尿按2kg/（峰·d）计算，则驼尿产生量为0.8m</w:t>
      </w:r>
      <w:r>
        <w:rPr>
          <w:rFonts w:hint="eastAsia"/>
          <w:vertAlign w:val="superscript"/>
        </w:rPr>
        <w:t>3</w:t>
      </w:r>
      <w:r>
        <w:rPr>
          <w:rFonts w:hint="eastAsia"/>
        </w:rPr>
        <w:t>/d，本项目全年饲养骆驼时间按365天计，则驼尿产生量为292m</w:t>
      </w:r>
      <w:r>
        <w:rPr>
          <w:rFonts w:hint="eastAsia"/>
          <w:vertAlign w:val="superscript"/>
        </w:rPr>
        <w:t>3</w:t>
      </w:r>
      <w:r>
        <w:rPr>
          <w:rFonts w:hint="eastAsia"/>
        </w:rPr>
        <w:t>/a。本项目驼尿部分进入粪便部分自然风干。</w:t>
      </w:r>
    </w:p>
    <w:p w14:paraId="257A8039">
      <w:pPr>
        <w:ind w:firstLine="480"/>
      </w:pPr>
      <w:r>
        <w:rPr>
          <w:rFonts w:hint="eastAsia"/>
        </w:rPr>
        <w:t>（3）消毒用水</w:t>
      </w:r>
    </w:p>
    <w:p w14:paraId="6795DE8D">
      <w:pPr>
        <w:ind w:firstLine="480"/>
      </w:pPr>
      <w:r>
        <w:rPr>
          <w:rFonts w:hint="eastAsia"/>
        </w:rPr>
        <w:t>消毒用水量较小，不会在厂区形成径流，自然蒸发损耗。</w:t>
      </w:r>
    </w:p>
    <w:p w14:paraId="3DB68A67">
      <w:pPr>
        <w:ind w:firstLine="480"/>
      </w:pPr>
      <w:r>
        <w:rPr>
          <w:rFonts w:hint="eastAsia"/>
        </w:rPr>
        <w:t>（4）渗滤液</w:t>
      </w:r>
    </w:p>
    <w:p w14:paraId="430C0474">
      <w:pPr>
        <w:ind w:firstLine="480"/>
        <w:rPr>
          <w:rFonts w:hint="default" w:eastAsia="宋体"/>
          <w:color w:val="FF0000"/>
          <w:lang w:val="en-US" w:eastAsia="zh-CN"/>
        </w:rPr>
      </w:pPr>
      <w:r>
        <w:rPr>
          <w:rFonts w:hint="eastAsia"/>
          <w:color w:val="FF0000"/>
          <w:lang w:val="en-US" w:eastAsia="zh-CN"/>
        </w:rPr>
        <w:t>本项目粪便在发酵成为有机肥过程中，会产生渗滤液，根据渗滤液产生量公式：</w:t>
      </w:r>
    </w:p>
    <w:p w14:paraId="71E7562E">
      <w:pPr>
        <w:ind w:firstLine="480"/>
        <w:rPr>
          <w:rFonts w:hint="eastAsia"/>
          <w:color w:val="FF0000"/>
        </w:rPr>
      </w:pPr>
      <w:r>
        <w:rPr>
          <w:rFonts w:ascii="宋体" w:hAnsi="宋体" w:eastAsia="宋体"/>
          <w:color w:val="FF0000"/>
          <w:lang w:eastAsia="zh-CN" w:bidi="ar-SA"/>
        </w:rPr>
        <w:drawing>
          <wp:inline distT="0" distB="0" distL="0" distR="0">
            <wp:extent cx="3876040" cy="206375"/>
            <wp:effectExtent l="0" t="0" r="1016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876040" cy="206375"/>
                    </a:xfrm>
                    <a:prstGeom prst="rect">
                      <a:avLst/>
                    </a:prstGeom>
                    <a:noFill/>
                    <a:ln>
                      <a:noFill/>
                    </a:ln>
                  </pic:spPr>
                </pic:pic>
              </a:graphicData>
            </a:graphic>
          </wp:inline>
        </w:drawing>
      </w:r>
    </w:p>
    <w:p w14:paraId="7AB750A5">
      <w:pPr>
        <w:spacing w:line="360" w:lineRule="auto"/>
        <w:ind w:left="425" w:leftChars="177" w:firstLine="564" w:firstLineChars="235"/>
        <w:jc w:val="both"/>
        <w:rPr>
          <w:rFonts w:ascii="Times New Roman" w:hAnsi="Times New Roman" w:eastAsia="宋体"/>
          <w:color w:val="FF0000"/>
          <w:sz w:val="24"/>
          <w:lang w:eastAsia="zh-CN"/>
        </w:rPr>
      </w:pPr>
      <w:r>
        <w:rPr>
          <w:rFonts w:hint="eastAsia" w:ascii="Times New Roman" w:hAnsi="Times New Roman" w:eastAsia="宋体"/>
          <w:color w:val="FF0000"/>
          <w:sz w:val="24"/>
          <w:lang w:eastAsia="zh-CN"/>
        </w:rPr>
        <w:t>Q</w:t>
      </w:r>
      <w:r>
        <w:rPr>
          <w:rFonts w:hint="eastAsia" w:ascii="Times New Roman" w:hAnsi="Times New Roman" w:eastAsia="宋体"/>
          <w:color w:val="FF0000"/>
          <w:sz w:val="24"/>
          <w:vertAlign w:val="subscript"/>
          <w:lang w:eastAsia="zh-CN"/>
        </w:rPr>
        <w:t>wd</w:t>
      </w:r>
      <w:r>
        <w:rPr>
          <w:rFonts w:hint="eastAsia" w:ascii="Times New Roman" w:hAnsi="Times New Roman" w:eastAsia="宋体"/>
          <w:color w:val="FF0000"/>
          <w:sz w:val="24"/>
          <w:lang w:eastAsia="zh-CN"/>
        </w:rPr>
        <w:t>—</w:t>
      </w:r>
      <w:r>
        <w:rPr>
          <w:rFonts w:hint="eastAsia" w:ascii="Times New Roman" w:hAnsi="Times New Roman" w:eastAsia="宋体" w:cs="宋体"/>
          <w:color w:val="FF0000"/>
          <w:sz w:val="24"/>
          <w:lang w:eastAsia="zh-CN"/>
        </w:rPr>
        <w:t>渗沥液产生量，包括降水产生的渗沥液量和垃圾自产渗沥液量，立方米</w:t>
      </w:r>
      <w:r>
        <w:rPr>
          <w:rFonts w:hint="eastAsia" w:ascii="Times New Roman" w:hAnsi="Times New Roman" w:eastAsia="宋体"/>
          <w:color w:val="FF0000"/>
          <w:sz w:val="24"/>
          <w:lang w:eastAsia="zh-CN"/>
        </w:rPr>
        <w:t>(m</w:t>
      </w:r>
      <w:r>
        <w:rPr>
          <w:rFonts w:hint="eastAsia" w:ascii="Times New Roman" w:hAnsi="Times New Roman" w:eastAsia="宋体"/>
          <w:color w:val="FF0000"/>
          <w:sz w:val="24"/>
          <w:vertAlign w:val="superscript"/>
          <w:lang w:eastAsia="zh-CN"/>
        </w:rPr>
        <w:t>3</w:t>
      </w:r>
      <w:r>
        <w:rPr>
          <w:rFonts w:hint="eastAsia" w:ascii="Times New Roman" w:hAnsi="Times New Roman" w:eastAsia="宋体"/>
          <w:color w:val="FF0000"/>
          <w:sz w:val="24"/>
          <w:lang w:eastAsia="zh-CN"/>
        </w:rPr>
        <w:t>)</w:t>
      </w:r>
      <w:r>
        <w:rPr>
          <w:rFonts w:hint="eastAsia" w:ascii="Times New Roman" w:hAnsi="Times New Roman" w:eastAsia="宋体" w:cs="宋体"/>
          <w:color w:val="FF0000"/>
          <w:sz w:val="24"/>
          <w:lang w:eastAsia="zh-CN"/>
        </w:rPr>
        <w:t>；</w:t>
      </w:r>
    </w:p>
    <w:p w14:paraId="659DB709">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IC</w:t>
      </w:r>
      <w:r>
        <w:rPr>
          <w:rFonts w:ascii="Times New Roman" w:hAnsi="Times New Roman" w:eastAsia="宋体"/>
          <w:color w:val="FF0000"/>
          <w:sz w:val="24"/>
          <w:vertAlign w:val="subscript"/>
          <w:lang w:eastAsia="zh-CN"/>
        </w:rPr>
        <w:t>1</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降水渗出系数，毫米</w:t>
      </w:r>
      <w:r>
        <w:rPr>
          <w:rFonts w:ascii="Times New Roman" w:hAnsi="Times New Roman" w:eastAsia="宋体"/>
          <w:color w:val="FF0000"/>
          <w:sz w:val="24"/>
          <w:lang w:eastAsia="zh-CN"/>
        </w:rPr>
        <w:t>(mm)</w:t>
      </w:r>
      <w:r>
        <w:rPr>
          <w:rFonts w:hint="eastAsia" w:ascii="Times New Roman" w:hAnsi="Times New Roman" w:eastAsia="宋体" w:cs="宋体"/>
          <w:color w:val="FF0000"/>
          <w:sz w:val="24"/>
          <w:lang w:eastAsia="zh-CN"/>
        </w:rPr>
        <w:t>；</w:t>
      </w:r>
    </w:p>
    <w:p w14:paraId="6E83C017">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A</w:t>
      </w:r>
      <w:r>
        <w:rPr>
          <w:rFonts w:ascii="Times New Roman" w:hAnsi="Times New Roman" w:eastAsia="宋体"/>
          <w:color w:val="FF0000"/>
          <w:sz w:val="24"/>
          <w:vertAlign w:val="subscript"/>
          <w:lang w:eastAsia="zh-CN"/>
        </w:rPr>
        <w:t>1</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面积，万平方米</w:t>
      </w:r>
      <w:r>
        <w:rPr>
          <w:rFonts w:ascii="Times New Roman" w:hAnsi="Times New Roman" w:eastAsia="宋体"/>
          <w:color w:val="FF0000"/>
          <w:sz w:val="24"/>
          <w:lang w:eastAsia="zh-CN"/>
        </w:rPr>
        <w:t>(10</w:t>
      </w:r>
      <w:r>
        <w:rPr>
          <w:rFonts w:ascii="Times New Roman" w:hAnsi="Times New Roman" w:eastAsia="宋体"/>
          <w:color w:val="FF0000"/>
          <w:sz w:val="24"/>
          <w:vertAlign w:val="superscript"/>
          <w:lang w:eastAsia="zh-CN"/>
        </w:rPr>
        <w:t>4</w:t>
      </w:r>
      <w:r>
        <w:rPr>
          <w:rFonts w:ascii="Times New Roman" w:hAnsi="Times New Roman" w:eastAsia="宋体"/>
          <w:color w:val="FF0000"/>
          <w:sz w:val="24"/>
          <w:lang w:eastAsia="zh-CN"/>
        </w:rPr>
        <w:t>m</w:t>
      </w:r>
      <w:r>
        <w:rPr>
          <w:rFonts w:ascii="Times New Roman" w:hAnsi="Times New Roman" w:eastAsia="宋体"/>
          <w:color w:val="FF0000"/>
          <w:sz w:val="24"/>
          <w:vertAlign w:val="superscript"/>
          <w:lang w:eastAsia="zh-CN"/>
        </w:rPr>
        <w:t>2</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w:t>
      </w:r>
    </w:p>
    <w:p w14:paraId="4F6D1ACE">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IC</w:t>
      </w:r>
      <w:r>
        <w:rPr>
          <w:rFonts w:ascii="Times New Roman" w:hAnsi="Times New Roman" w:eastAsia="宋体"/>
          <w:color w:val="FF0000"/>
          <w:sz w:val="24"/>
          <w:vertAlign w:val="subscript"/>
          <w:lang w:eastAsia="zh-CN"/>
        </w:rPr>
        <w:t>2</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已使用粘土覆盖区降水渗出系数，毫米</w:t>
      </w:r>
      <w:r>
        <w:rPr>
          <w:rFonts w:ascii="Times New Roman" w:hAnsi="Times New Roman" w:eastAsia="宋体"/>
          <w:color w:val="FF0000"/>
          <w:sz w:val="24"/>
          <w:lang w:eastAsia="zh-CN"/>
        </w:rPr>
        <w:t>(mm)</w:t>
      </w:r>
      <w:r>
        <w:rPr>
          <w:rFonts w:hint="eastAsia" w:ascii="Times New Roman" w:hAnsi="Times New Roman" w:eastAsia="宋体" w:cs="宋体"/>
          <w:color w:val="FF0000"/>
          <w:sz w:val="24"/>
          <w:lang w:eastAsia="zh-CN"/>
        </w:rPr>
        <w:t>；</w:t>
      </w:r>
    </w:p>
    <w:p w14:paraId="27AA32C5">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A</w:t>
      </w:r>
      <w:r>
        <w:rPr>
          <w:rFonts w:ascii="Times New Roman" w:hAnsi="Times New Roman" w:eastAsia="宋体"/>
          <w:color w:val="FF0000"/>
          <w:sz w:val="24"/>
          <w:vertAlign w:val="subscript"/>
          <w:lang w:eastAsia="zh-CN"/>
        </w:rPr>
        <w:t>2</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已使用粘土覆盖区面积，万平方米</w:t>
      </w:r>
      <w:r>
        <w:rPr>
          <w:rFonts w:ascii="Times New Roman" w:hAnsi="Times New Roman" w:eastAsia="宋体"/>
          <w:color w:val="FF0000"/>
          <w:sz w:val="24"/>
          <w:lang w:eastAsia="zh-CN"/>
        </w:rPr>
        <w:t>(10</w:t>
      </w:r>
      <w:r>
        <w:rPr>
          <w:rFonts w:ascii="Times New Roman" w:hAnsi="Times New Roman" w:eastAsia="宋体"/>
          <w:color w:val="FF0000"/>
          <w:sz w:val="24"/>
          <w:vertAlign w:val="superscript"/>
          <w:lang w:eastAsia="zh-CN"/>
        </w:rPr>
        <w:t>4</w:t>
      </w:r>
      <w:r>
        <w:rPr>
          <w:rFonts w:ascii="Times New Roman" w:hAnsi="Times New Roman" w:eastAsia="宋体"/>
          <w:color w:val="FF0000"/>
          <w:sz w:val="24"/>
          <w:lang w:eastAsia="zh-CN"/>
        </w:rPr>
        <w:t>m</w:t>
      </w:r>
      <w:r>
        <w:rPr>
          <w:rFonts w:ascii="Times New Roman" w:hAnsi="Times New Roman" w:eastAsia="宋体"/>
          <w:color w:val="FF0000"/>
          <w:sz w:val="24"/>
          <w:vertAlign w:val="superscript"/>
          <w:lang w:eastAsia="zh-CN"/>
        </w:rPr>
        <w:t>2</w:t>
      </w:r>
      <w:r>
        <w:rPr>
          <w:rFonts w:hint="eastAsia" w:ascii="Times New Roman" w:hAnsi="Times New Roman" w:eastAsia="宋体" w:cs="宋体"/>
          <w:color w:val="FF0000"/>
          <w:sz w:val="24"/>
          <w:lang w:eastAsia="zh-CN"/>
        </w:rPr>
        <w:t>）；</w:t>
      </w:r>
    </w:p>
    <w:p w14:paraId="476A728D">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IC</w:t>
      </w:r>
      <w:r>
        <w:rPr>
          <w:rFonts w:ascii="Times New Roman" w:hAnsi="Times New Roman" w:eastAsia="宋体"/>
          <w:color w:val="FF0000"/>
          <w:sz w:val="24"/>
          <w:vertAlign w:val="subscript"/>
          <w:lang w:eastAsia="zh-CN"/>
        </w:rPr>
        <w:t>3</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已使用塑料土工膜覆盖区渗出系数，毫米</w:t>
      </w:r>
      <w:r>
        <w:rPr>
          <w:rFonts w:ascii="Times New Roman" w:hAnsi="Times New Roman" w:eastAsia="宋体"/>
          <w:color w:val="FF0000"/>
          <w:sz w:val="24"/>
          <w:lang w:eastAsia="zh-CN"/>
        </w:rPr>
        <w:t>(mm)</w:t>
      </w:r>
      <w:r>
        <w:rPr>
          <w:rFonts w:hint="eastAsia" w:ascii="Times New Roman" w:hAnsi="Times New Roman" w:eastAsia="宋体" w:cs="宋体"/>
          <w:color w:val="FF0000"/>
          <w:sz w:val="24"/>
          <w:lang w:eastAsia="zh-CN"/>
        </w:rPr>
        <w:t>；</w:t>
      </w:r>
    </w:p>
    <w:p w14:paraId="59B973E5">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A</w:t>
      </w:r>
      <w:r>
        <w:rPr>
          <w:rFonts w:ascii="Times New Roman" w:hAnsi="Times New Roman" w:eastAsia="宋体"/>
          <w:color w:val="FF0000"/>
          <w:sz w:val="24"/>
          <w:vertAlign w:val="subscript"/>
          <w:lang w:eastAsia="zh-CN"/>
        </w:rPr>
        <w:t>3</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已使用塑料土工膜覆盖区面积，万平方米</w:t>
      </w:r>
      <w:r>
        <w:rPr>
          <w:rFonts w:ascii="Times New Roman" w:hAnsi="Times New Roman" w:eastAsia="宋体"/>
          <w:color w:val="FF0000"/>
          <w:sz w:val="24"/>
          <w:lang w:eastAsia="zh-CN"/>
        </w:rPr>
        <w:t>(10</w:t>
      </w:r>
      <w:r>
        <w:rPr>
          <w:rFonts w:ascii="Times New Roman" w:hAnsi="Times New Roman" w:eastAsia="宋体"/>
          <w:color w:val="FF0000"/>
          <w:sz w:val="24"/>
          <w:vertAlign w:val="superscript"/>
          <w:lang w:eastAsia="zh-CN"/>
        </w:rPr>
        <w:t>4</w:t>
      </w:r>
      <w:r>
        <w:rPr>
          <w:rFonts w:ascii="Times New Roman" w:hAnsi="Times New Roman" w:eastAsia="宋体"/>
          <w:color w:val="FF0000"/>
          <w:sz w:val="24"/>
          <w:lang w:eastAsia="zh-CN"/>
        </w:rPr>
        <w:t>m</w:t>
      </w:r>
      <w:r>
        <w:rPr>
          <w:rFonts w:ascii="Times New Roman" w:hAnsi="Times New Roman" w:eastAsia="宋体"/>
          <w:color w:val="FF0000"/>
          <w:sz w:val="24"/>
          <w:vertAlign w:val="superscript"/>
          <w:lang w:eastAsia="zh-CN"/>
        </w:rPr>
        <w:t>2</w:t>
      </w:r>
      <w:r>
        <w:rPr>
          <w:rFonts w:ascii="Times New Roman" w:hAnsi="Times New Roman" w:eastAsia="宋体"/>
          <w:color w:val="FF0000"/>
          <w:sz w:val="24"/>
          <w:lang w:eastAsia="zh-CN"/>
        </w:rPr>
        <w:t>)</w:t>
      </w:r>
      <w:r>
        <w:rPr>
          <w:rFonts w:hint="eastAsia" w:ascii="Times New Roman" w:hAnsi="Times New Roman" w:eastAsia="宋体" w:cs="宋体"/>
          <w:color w:val="FF0000"/>
          <w:sz w:val="24"/>
          <w:lang w:eastAsia="zh-CN"/>
        </w:rPr>
        <w:t>；</w:t>
      </w:r>
    </w:p>
    <w:p w14:paraId="3AA00EE1">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D—</w:t>
      </w:r>
      <w:r>
        <w:rPr>
          <w:rFonts w:hint="eastAsia" w:ascii="Times New Roman" w:hAnsi="Times New Roman" w:eastAsia="宋体" w:cs="宋体"/>
          <w:color w:val="FF0000"/>
          <w:sz w:val="24"/>
          <w:lang w:eastAsia="zh-CN"/>
        </w:rPr>
        <w:t>容量，万吨；</w:t>
      </w:r>
    </w:p>
    <w:p w14:paraId="29679CCA">
      <w:pPr>
        <w:spacing w:line="360" w:lineRule="auto"/>
        <w:ind w:left="566" w:leftChars="236" w:firstLine="427"/>
        <w:jc w:val="both"/>
        <w:rPr>
          <w:rFonts w:ascii="Times New Roman" w:hAnsi="Times New Roman" w:eastAsia="宋体"/>
          <w:color w:val="FF0000"/>
          <w:sz w:val="24"/>
          <w:lang w:eastAsia="zh-CN"/>
        </w:rPr>
      </w:pPr>
      <w:r>
        <w:rPr>
          <w:rFonts w:ascii="Times New Roman" w:hAnsi="Times New Roman" w:eastAsia="宋体"/>
          <w:color w:val="FF0000"/>
          <w:sz w:val="24"/>
          <w:lang w:eastAsia="zh-CN"/>
        </w:rPr>
        <w:t>F—</w:t>
      </w:r>
      <w:r>
        <w:rPr>
          <w:rFonts w:hint="eastAsia" w:ascii="Times New Roman" w:hAnsi="Times New Roman" w:eastAsia="宋体" w:cs="宋体"/>
          <w:color w:val="FF0000"/>
          <w:sz w:val="24"/>
          <w:lang w:eastAsia="zh-CN"/>
        </w:rPr>
        <w:t>渗沥液系数。</w:t>
      </w:r>
    </w:p>
    <w:p w14:paraId="5F389F09">
      <w:pPr>
        <w:ind w:firstLine="480"/>
        <w:rPr>
          <w:rFonts w:hint="eastAsia"/>
          <w:color w:val="FF0000"/>
        </w:rPr>
      </w:pPr>
      <w:r>
        <w:rPr>
          <w:rFonts w:hint="eastAsia"/>
          <w:color w:val="FF0000"/>
          <w:lang w:val="en-US" w:eastAsia="zh-CN"/>
        </w:rPr>
        <w:t>根据计算本项目渗滤液产生量为262m</w:t>
      </w:r>
      <w:r>
        <w:rPr>
          <w:rFonts w:hint="eastAsia"/>
          <w:color w:val="FF0000"/>
          <w:vertAlign w:val="superscript"/>
          <w:lang w:val="en-US" w:eastAsia="zh-CN"/>
        </w:rPr>
        <w:t>3</w:t>
      </w:r>
      <w:r>
        <w:rPr>
          <w:rFonts w:hint="eastAsia"/>
          <w:color w:val="FF0000"/>
          <w:vertAlign w:val="baseline"/>
          <w:lang w:val="en-US" w:eastAsia="zh-CN"/>
        </w:rPr>
        <w:t>/a（0.72m</w:t>
      </w:r>
      <w:r>
        <w:rPr>
          <w:rFonts w:hint="eastAsia"/>
          <w:color w:val="FF0000"/>
          <w:vertAlign w:val="superscript"/>
          <w:lang w:val="en-US" w:eastAsia="zh-CN"/>
        </w:rPr>
        <w:t>3</w:t>
      </w:r>
      <w:r>
        <w:rPr>
          <w:rFonts w:hint="eastAsia"/>
          <w:color w:val="FF0000"/>
          <w:vertAlign w:val="baseline"/>
          <w:lang w:val="en-US" w:eastAsia="zh-CN"/>
        </w:rPr>
        <w:t>/d）。</w:t>
      </w:r>
      <w:bookmarkStart w:id="61" w:name="_Hlk149642825"/>
      <w:r>
        <w:rPr>
          <w:rFonts w:hint="eastAsia"/>
          <w:color w:val="FF0000"/>
          <w:vertAlign w:val="baseline"/>
          <w:lang w:val="en-US" w:eastAsia="zh-CN"/>
        </w:rPr>
        <w:t>由于本项目所在区域干旱，年平均降水量326.4mm，年平均蒸发量2590.7mm；夏季的蒸发量远远大于降水量。降水主要发生在冬季的降雪季，而降雪期的雪水及的堆肥场处于冰冻状态，夏季干旱期、冬季冰冻期一般不会产生渗沥液，但夏季暴雨时、春季融雪时会产生少量渗沥液，此时渗沥液经管道排入防渗化粪池中，拉运至木垒县污水处理站处理。根据分析，一年之中最多有一个月会产生渗滤液，因此本项目渗滤液的产生量为21.6m</w:t>
      </w:r>
      <w:r>
        <w:rPr>
          <w:rFonts w:hint="eastAsia"/>
          <w:color w:val="FF0000"/>
          <w:vertAlign w:val="superscript"/>
          <w:lang w:val="en-US" w:eastAsia="zh-CN"/>
        </w:rPr>
        <w:t>3</w:t>
      </w:r>
      <w:r>
        <w:rPr>
          <w:rFonts w:hint="eastAsia"/>
          <w:color w:val="FF0000"/>
          <w:vertAlign w:val="baseline"/>
          <w:lang w:val="en-US" w:eastAsia="zh-CN"/>
        </w:rPr>
        <w:t>/a。</w:t>
      </w:r>
      <w:bookmarkEnd w:id="61"/>
    </w:p>
    <w:p w14:paraId="7B87AAE0">
      <w:pPr>
        <w:pStyle w:val="6"/>
        <w:ind w:firstLine="482"/>
      </w:pPr>
      <w:r>
        <w:rPr>
          <w:rFonts w:hint="eastAsia"/>
        </w:rPr>
        <w:t>3.1.6</w:t>
      </w:r>
      <w:r>
        <w:t>.3供电</w:t>
      </w:r>
    </w:p>
    <w:p w14:paraId="1EB3438C">
      <w:pPr>
        <w:ind w:firstLine="480"/>
      </w:pPr>
      <w:r>
        <w:t>本项目所在地供电由项目区外电网接入，场区内设变配电室，供电采用树干式与放射式相结合供电方式</w:t>
      </w:r>
      <w:r>
        <w:rPr>
          <w:rFonts w:hint="eastAsia"/>
        </w:rPr>
        <w:t>。</w:t>
      </w:r>
      <w:r>
        <w:t>对主要供电负荷，采用单独回路供电</w:t>
      </w:r>
      <w:r>
        <w:rPr>
          <w:rFonts w:hint="eastAsia"/>
        </w:rPr>
        <w:t>。</w:t>
      </w:r>
    </w:p>
    <w:p w14:paraId="5E330230">
      <w:pPr>
        <w:pStyle w:val="6"/>
        <w:ind w:firstLine="482"/>
      </w:pPr>
      <w:r>
        <w:rPr>
          <w:rFonts w:hint="eastAsia"/>
        </w:rPr>
        <w:t>3.1.6</w:t>
      </w:r>
      <w:r>
        <w:t>.4供热</w:t>
      </w:r>
    </w:p>
    <w:p w14:paraId="65E7CB58">
      <w:pPr>
        <w:ind w:firstLine="480"/>
      </w:pPr>
      <w:r>
        <w:rPr>
          <w:rFonts w:hint="eastAsia"/>
        </w:rPr>
        <w:t>本项目圈舍采用电采暖。</w:t>
      </w:r>
    </w:p>
    <w:p w14:paraId="0870DBFE">
      <w:pPr>
        <w:pStyle w:val="6"/>
        <w:ind w:firstLine="482"/>
      </w:pPr>
      <w:bookmarkStart w:id="62" w:name="_Toc113278807"/>
      <w:bookmarkStart w:id="63" w:name="_Toc324245525"/>
      <w:bookmarkStart w:id="64" w:name="_Toc224388007"/>
      <w:bookmarkStart w:id="65" w:name="_Toc15704"/>
      <w:bookmarkStart w:id="66" w:name="_Toc117518085"/>
      <w:bookmarkStart w:id="67" w:name="_Toc3038841"/>
      <w:bookmarkStart w:id="68" w:name="_Toc3455645"/>
      <w:bookmarkStart w:id="69" w:name="_Toc117517821"/>
      <w:bookmarkStart w:id="70" w:name="_Toc117518536"/>
      <w:bookmarkStart w:id="71" w:name="_Toc117518166"/>
      <w:bookmarkStart w:id="72" w:name="_Toc113254136"/>
      <w:bookmarkStart w:id="73" w:name="_Toc117518251"/>
      <w:bookmarkStart w:id="74" w:name="_Toc112970910"/>
      <w:bookmarkStart w:id="75" w:name="_Toc46066266"/>
      <w:bookmarkStart w:id="76" w:name="_Toc112970974"/>
      <w:bookmarkStart w:id="77" w:name="_Toc29350521"/>
      <w:bookmarkStart w:id="78" w:name="_Toc24776864"/>
      <w:bookmarkStart w:id="79" w:name="_Toc2156134"/>
      <w:bookmarkStart w:id="80" w:name="_Toc536265806"/>
      <w:bookmarkStart w:id="81" w:name="_Toc2320728"/>
      <w:bookmarkStart w:id="82" w:name="_Toc113254406"/>
      <w:bookmarkStart w:id="83" w:name="_Toc29350463"/>
      <w:bookmarkStart w:id="84" w:name="_Toc29631758"/>
      <w:bookmarkStart w:id="85" w:name="_Toc3038754"/>
      <w:bookmarkStart w:id="86" w:name="_Toc2258924"/>
      <w:bookmarkStart w:id="87" w:name="_Toc117518331"/>
      <w:r>
        <w:rPr>
          <w:rFonts w:hint="eastAsia"/>
        </w:rPr>
        <w:t>3.1.6.5</w:t>
      </w:r>
      <w:r>
        <w:t>绿化工程</w:t>
      </w:r>
    </w:p>
    <w:p w14:paraId="6CB45DC3">
      <w:pPr>
        <w:ind w:firstLine="480"/>
      </w:pPr>
      <w:r>
        <w:t>本项目采用乔木、灌木、花卉、经济林等方式进行场区绿化</w:t>
      </w:r>
      <w:r>
        <w:rPr>
          <w:rFonts w:hint="eastAsia"/>
        </w:rPr>
        <w:t>。</w:t>
      </w:r>
      <w:r>
        <w:t>场界四周种植两排乔木，加强绿化，乔灌草结合</w:t>
      </w:r>
      <w:r>
        <w:rPr>
          <w:rFonts w:hint="eastAsia"/>
        </w:rPr>
        <w:t>。</w:t>
      </w:r>
      <w:r>
        <w:t>场区内道路两侧种植灌木，生活区种植花卉、绿色植被及灌木</w:t>
      </w:r>
      <w:r>
        <w:rPr>
          <w:rFonts w:hint="eastAsia"/>
        </w:rPr>
        <w:t>。</w:t>
      </w:r>
      <w:r>
        <w:t>生产区与生活区用灌木和乔木相结合的方式进行分隔</w:t>
      </w:r>
      <w:r>
        <mc:AlternateContent>
          <mc:Choice Requires="wpg">
            <w:drawing>
              <wp:anchor distT="0" distB="0" distL="114300" distR="114300" simplePos="0" relativeHeight="251659264" behindDoc="0" locked="0" layoutInCell="1" allowOverlap="1">
                <wp:simplePos x="0" y="0"/>
                <wp:positionH relativeFrom="column">
                  <wp:posOffset>-5439410</wp:posOffset>
                </wp:positionH>
                <wp:positionV relativeFrom="paragraph">
                  <wp:posOffset>16820515</wp:posOffset>
                </wp:positionV>
                <wp:extent cx="9719945" cy="1905514985"/>
                <wp:effectExtent l="0" t="38100" r="33655" b="18415"/>
                <wp:wrapNone/>
                <wp:docPr id="71" name="组合 71"/>
                <wp:cNvGraphicFramePr/>
                <a:graphic xmlns:a="http://schemas.openxmlformats.org/drawingml/2006/main">
                  <a:graphicData uri="http://schemas.microsoft.com/office/word/2010/wordprocessingGroup">
                    <wpg:wgp>
                      <wpg:cNvGrpSpPr/>
                      <wpg:grpSpPr>
                        <a:xfrm>
                          <a:off x="0" y="0"/>
                          <a:ext cx="9719945" cy="1905514985"/>
                          <a:chOff x="7146" y="-2279651"/>
                          <a:chExt cx="15307" cy="3000811"/>
                        </a:xfrm>
                      </wpg:grpSpPr>
                      <wps:wsp>
                        <wps:cNvPr id="72" name="文本框 79"/>
                        <wps:cNvSpPr txBox="1"/>
                        <wps:spPr>
                          <a:xfrm>
                            <a:off x="12872" y="719796"/>
                            <a:ext cx="1072" cy="468"/>
                          </a:xfrm>
                          <a:prstGeom prst="rect">
                            <a:avLst/>
                          </a:prstGeom>
                          <a:noFill/>
                          <a:ln>
                            <a:noFill/>
                          </a:ln>
                        </wps:spPr>
                        <wps:txbx>
                          <w:txbxContent>
                            <w:p w14:paraId="0BBAD95A">
                              <w:pPr>
                                <w:ind w:firstLine="480"/>
                              </w:pPr>
                              <w:r>
                                <w:rPr>
                                  <w:rFonts w:hint="eastAsia"/>
                                </w:rPr>
                                <w:t>边角料</w:t>
                              </w:r>
                            </w:p>
                          </w:txbxContent>
                        </wps:txbx>
                        <wps:bodyPr upright="1"/>
                      </wps:wsp>
                      <wps:wsp>
                        <wps:cNvPr id="73" name="文本框 80"/>
                        <wps:cNvSpPr txBox="1"/>
                        <wps:spPr>
                          <a:xfrm>
                            <a:off x="9496" y="720669"/>
                            <a:ext cx="11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43BC43">
                              <w:pPr>
                                <w:ind w:firstLine="480"/>
                                <w:jc w:val="center"/>
                              </w:pPr>
                              <w:r>
                                <w:rPr>
                                  <w:rFonts w:hint="eastAsia"/>
                                </w:rPr>
                                <w:t>挤出</w:t>
                              </w:r>
                            </w:p>
                          </w:txbxContent>
                        </wps:txbx>
                        <wps:bodyPr upright="1"/>
                      </wps:wsp>
                      <wps:wsp>
                        <wps:cNvPr id="74" name="直接连接符 81"/>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s:wsp>
                        <wps:cNvPr id="75" name="文本框 82"/>
                        <wps:cNvSpPr txBox="1"/>
                        <wps:spPr>
                          <a:xfrm>
                            <a:off x="11210" y="720690"/>
                            <a:ext cx="1144"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7E551B">
                              <w:pPr>
                                <w:ind w:firstLine="480"/>
                                <w:jc w:val="center"/>
                              </w:pPr>
                              <w:r>
                                <w:rPr>
                                  <w:rFonts w:hint="eastAsia"/>
                                </w:rPr>
                                <w:t>冷却</w:t>
                              </w:r>
                            </w:p>
                          </w:txbxContent>
                        </wps:txbx>
                        <wps:bodyPr upright="1"/>
                      </wps:wsp>
                      <wps:wsp>
                        <wps:cNvPr id="76" name="直接连接符 83"/>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77" name="文本框 84"/>
                        <wps:cNvSpPr txBox="1"/>
                        <wps:spPr>
                          <a:xfrm>
                            <a:off x="12801" y="720669"/>
                            <a:ext cx="1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179E7">
                              <w:pPr>
                                <w:ind w:firstLine="480"/>
                                <w:jc w:val="center"/>
                              </w:pPr>
                              <w:r>
                                <w:rPr>
                                  <w:rFonts w:hint="eastAsia"/>
                                </w:rPr>
                                <w:t>定型</w:t>
                              </w:r>
                            </w:p>
                          </w:txbxContent>
                        </wps:txbx>
                        <wps:bodyPr upright="1"/>
                      </wps:wsp>
                      <wps:wsp>
                        <wps:cNvPr id="78" name="直接连接符 85"/>
                        <wps:cNvCnPr/>
                        <wps:spPr>
                          <a:xfrm flipV="1">
                            <a:off x="21886" y="-2279651"/>
                            <a:ext cx="1" cy="405"/>
                          </a:xfrm>
                          <a:prstGeom prst="line">
                            <a:avLst/>
                          </a:prstGeom>
                          <a:ln w="9525" cap="flat" cmpd="sng">
                            <a:solidFill>
                              <a:srgbClr val="000000"/>
                            </a:solidFill>
                            <a:prstDash val="solid"/>
                            <a:headEnd type="none" w="med" len="med"/>
                            <a:tailEnd type="triangle" w="med" len="med"/>
                          </a:ln>
                        </wps:spPr>
                        <wps:bodyPr/>
                      </wps:wsp>
                      <wps:wsp>
                        <wps:cNvPr id="192" name="文本框 86"/>
                        <wps:cNvSpPr txBox="1"/>
                        <wps:spPr>
                          <a:xfrm>
                            <a:off x="9211" y="719879"/>
                            <a:ext cx="1815" cy="468"/>
                          </a:xfrm>
                          <a:prstGeom prst="rect">
                            <a:avLst/>
                          </a:prstGeom>
                          <a:noFill/>
                          <a:ln>
                            <a:noFill/>
                          </a:ln>
                        </wps:spPr>
                        <wps:txbx>
                          <w:txbxContent>
                            <w:p w14:paraId="067EBEBB">
                              <w:pPr>
                                <w:ind w:firstLine="240" w:firstLineChars="100"/>
                              </w:pPr>
                              <w:r>
                                <w:rPr>
                                  <w:rFonts w:hint="eastAsia"/>
                                </w:rPr>
                                <w:t>废气、噪声</w:t>
                              </w:r>
                            </w:p>
                          </w:txbxContent>
                        </wps:txbx>
                        <wps:bodyPr upright="1"/>
                      </wps:wsp>
                      <wps:wsp>
                        <wps:cNvPr id="193" name="直接箭头连接符 87"/>
                        <wps:cNvCnPr/>
                        <wps:spPr>
                          <a:xfrm>
                            <a:off x="21886" y="-2279246"/>
                            <a:ext cx="0" cy="432"/>
                          </a:xfrm>
                          <a:prstGeom prst="straightConnector1">
                            <a:avLst/>
                          </a:prstGeom>
                          <a:ln w="9525" cap="flat" cmpd="sng">
                            <a:solidFill>
                              <a:srgbClr val="000000"/>
                            </a:solidFill>
                            <a:prstDash val="solid"/>
                            <a:headEnd type="none" w="med" len="med"/>
                            <a:tailEnd type="triangle" w="med" len="med"/>
                          </a:ln>
                        </wps:spPr>
                        <wps:bodyPr/>
                      </wps:wsp>
                      <wps:wsp>
                        <wps:cNvPr id="194" name="直接连接符 88"/>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195" name="直接连接符 89"/>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196" name="文本框 90"/>
                        <wps:cNvSpPr txBox="1"/>
                        <wps:spPr>
                          <a:xfrm>
                            <a:off x="14446" y="720669"/>
                            <a:ext cx="116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0A5D9E">
                              <w:pPr>
                                <w:ind w:firstLine="480"/>
                                <w:jc w:val="center"/>
                              </w:pPr>
                              <w:r>
                                <w:rPr>
                                  <w:rFonts w:hint="eastAsia"/>
                                </w:rPr>
                                <w:t>包装</w:t>
                              </w:r>
                            </w:p>
                          </w:txbxContent>
                        </wps:txbx>
                        <wps:bodyPr upright="1"/>
                      </wps:wsp>
                      <wps:wsp>
                        <wps:cNvPr id="197" name="直接连接符 91"/>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198" name="文本框 92"/>
                        <wps:cNvSpPr txBox="1"/>
                        <wps:spPr>
                          <a:xfrm>
                            <a:off x="7146" y="720692"/>
                            <a:ext cx="182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C5FCBA">
                              <w:pPr>
                                <w:ind w:firstLine="480"/>
                                <w:jc w:val="center"/>
                              </w:pPr>
                              <w:r>
                                <w:rPr>
                                  <w:rFonts w:hint="eastAsia"/>
                                </w:rPr>
                                <w:t>聚乙烯颗粒料</w:t>
                              </w:r>
                            </w:p>
                          </w:txbxContent>
                        </wps:txbx>
                        <wps:bodyPr upright="1"/>
                      </wps:wsp>
                      <wps:wsp>
                        <wps:cNvPr id="199" name="文本框 93"/>
                        <wps:cNvSpPr txBox="1"/>
                        <wps:spPr>
                          <a:xfrm>
                            <a:off x="11133" y="719781"/>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583941">
                              <w:pPr>
                                <w:ind w:firstLine="480"/>
                                <w:jc w:val="center"/>
                              </w:pPr>
                              <w:r>
                                <w:rPr>
                                  <w:rFonts w:hint="eastAsia"/>
                                </w:rPr>
                                <w:t>循环池</w:t>
                              </w:r>
                            </w:p>
                          </w:txbxContent>
                        </wps:txbx>
                        <wps:bodyPr upright="1"/>
                      </wps:wsp>
                      <wps:wsp>
                        <wps:cNvPr id="200" name="直接连接符 94"/>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28.3pt;margin-top:1324.45pt;height:150040.55pt;width:765.35pt;z-index:251659264;mso-width-relative:page;mso-height-relative:page;" coordorigin="7146,-2279651" coordsize="15307,3000811" o:gfxdata="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I+ucW/gAAAAEAEAAA8AAAAAAAAAAQAgAAAAIgAAAGRycy9kb3ducmV2LnhtbFBLAQIUABQA&#10;AAAIAIdO4kDJQXzZBgUAAKYkAAAOAAAAAAAAAAEAIAAAAC8BAABkcnMvZTJvRG9jLnhtbFBLBQYA&#10;AAAABgAGAFkBAACnCAAAAAA=&#10;">
                <o:lock v:ext="edit" aspectratio="f"/>
                <v:shape id="文本框 79" o:spid="_x0000_s1026" o:spt="202" type="#_x0000_t202" style="position:absolute;left:12872;top:719796;height:468;width:1072;"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BBAD95A">
                        <w:pPr>
                          <w:ind w:firstLine="480"/>
                        </w:pPr>
                        <w:r>
                          <w:rPr>
                            <w:rFonts w:hint="eastAsia"/>
                          </w:rPr>
                          <w:t>边角料</w:t>
                        </w:r>
                      </w:p>
                    </w:txbxContent>
                  </v:textbox>
                </v:shape>
                <v:shape id="文本框 80" o:spid="_x0000_s1026" o:spt="202" type="#_x0000_t202" style="position:absolute;left:9496;top:720669;height:468;width:1141;"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43BC43">
                        <w:pPr>
                          <w:ind w:firstLine="480"/>
                          <w:jc w:val="center"/>
                        </w:pPr>
                        <w:r>
                          <w:rPr>
                            <w:rFonts w:hint="eastAsia"/>
                          </w:rPr>
                          <w:t>挤出</w:t>
                        </w:r>
                      </w:p>
                    </w:txbxContent>
                  </v:textbox>
                </v:shape>
                <v:line id="直接连接符 81" o:spid="_x0000_s1026" o:spt="20" style="position:absolute;left:21886;top:-2279246;height:1;width:567;"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2" o:spid="_x0000_s1026" o:spt="202" type="#_x0000_t202" style="position:absolute;left:11210;top:720690;height:468;width:1144;"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7E551B">
                        <w:pPr>
                          <w:ind w:firstLine="480"/>
                          <w:jc w:val="center"/>
                        </w:pPr>
                        <w:r>
                          <w:rPr>
                            <w:rFonts w:hint="eastAsia"/>
                          </w:rPr>
                          <w:t>冷却</w:t>
                        </w:r>
                      </w:p>
                    </w:txbxContent>
                  </v:textbox>
                </v:shape>
                <v:line id="直接连接符 83" o:spid="_x0000_s1026" o:spt="20" style="position:absolute;left:21886;top:-2279246;height:0;width:454;"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84" o:spid="_x0000_s1026" o:spt="202" type="#_x0000_t202" style="position:absolute;left:12801;top:720669;height:468;width:1160;"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25179E7">
                        <w:pPr>
                          <w:ind w:firstLine="480"/>
                          <w:jc w:val="center"/>
                        </w:pPr>
                        <w:r>
                          <w:rPr>
                            <w:rFonts w:hint="eastAsia"/>
                          </w:rPr>
                          <w:t>定型</w:t>
                        </w:r>
                      </w:p>
                    </w:txbxContent>
                  </v:textbox>
                </v:shape>
                <v:line id="直接连接符 85" o:spid="_x0000_s1026" o:spt="20" style="position:absolute;left:21886;top:-2279651;flip:y;height:405;width:1;" filled="f" stroked="t" coordsize="21600,21600" o:gfxdata="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bM9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86" o:spid="_x0000_s1026" o:spt="202" type="#_x0000_t202" style="position:absolute;left:9211;top:719879;height:468;width:1815;"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67EBEBB">
                        <w:pPr>
                          <w:ind w:firstLine="240" w:firstLineChars="100"/>
                        </w:pPr>
                        <w:r>
                          <w:rPr>
                            <w:rFonts w:hint="eastAsia"/>
                          </w:rPr>
                          <w:t>废气、噪声</w:t>
                        </w:r>
                      </w:p>
                    </w:txbxContent>
                  </v:textbox>
                </v:shape>
                <v:shape id="直接箭头连接符 87" o:spid="_x0000_s1026" o:spt="32" type="#_x0000_t32" style="position:absolute;left:21886;top:-2279246;height:432;width:0;" filled="f" stroked="t" coordsize="21600,21600" o:gfxdata="UEsDBAoAAAAAAIdO4kAAAAAAAAAAAAAAAAAEAAAAZHJzL1BLAwQUAAAACACHTuJA0qTC/7wAAADc&#10;AAAADwAAAGRycy9kb3ducmV2LnhtbEVPS2sCMRC+F/ofwgi91awW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wv+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line id="直接连接符 88" o:spid="_x0000_s1026" o:spt="20" style="position:absolute;left:21886;top:-2279651;flip:y;height:405;width:1;" filled="f" stroked="t" coordsize="21600,21600" o:gfxdata="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i5hL4A&#10;AADcAAAADwAAAAAAAAABACAAAAAiAAAAZHJzL2Rvd25yZXYueG1sUEsBAhQAFAAAAAgAh07iQDMv&#10;BZ47AAAAOQAAABAAAAAAAAAAAQAgAAAADQEAAGRycy9zaGFwZXhtbC54bWxQSwUGAAAAAAYABgBb&#10;AQAAtwMAAAAA&#10;">
                  <v:fill on="f" focussize="0,0"/>
                  <v:stroke weight="1.5pt" color="#000000" joinstyle="round" dashstyle="1 1" endcap="round" endarrow="block"/>
                  <v:imagedata o:title=""/>
                  <o:lock v:ext="edit" aspectratio="f"/>
                </v:line>
                <v:line id="直接连接符 89" o:spid="_x0000_s1026" o:spt="20" style="position:absolute;left:21886;top:-2279246;height:0;width:454;" filled="f" stroked="t" coordsize="21600,21600" o:gfxdata="UEsDBAoAAAAAAIdO4kAAAAAAAAAAAAAAAAAEAAAAZHJzL1BLAwQUAAAACACHTuJAHsDIqb0AAADc&#10;AAAADwAAAGRycy9kb3ducmV2LnhtbEVPS2vCQBC+F/wPywi91U2Elh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i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90" o:spid="_x0000_s1026" o:spt="202" type="#_x0000_t202" style="position:absolute;left:14446;top:720669;height:468;width:1161;" fillcolor="#FFFFFF" filled="t" stroked="t" coordsize="21600,21600" o:gfxdata="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hk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10A5D9E">
                        <w:pPr>
                          <w:ind w:firstLine="480"/>
                          <w:jc w:val="center"/>
                        </w:pPr>
                        <w:r>
                          <w:rPr>
                            <w:rFonts w:hint="eastAsia"/>
                          </w:rPr>
                          <w:t>包装</w:t>
                        </w:r>
                      </w:p>
                    </w:txbxContent>
                  </v:textbox>
                </v:shape>
                <v:line id="直接连接符 91" o:spid="_x0000_s1026" o:spt="20" style="position:absolute;left:21886;top:-2279651;flip:y;height:405;width:1;" filled="f" stroked="t" coordsize="21600,21600" o:gfxdata="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on874A&#10;AADcAAAADwAAAAAAAAABACAAAAAiAAAAZHJzL2Rvd25yZXYueG1sUEsBAhQAFAAAAAgAh07iQDMv&#10;BZ47AAAAOQAAABAAAAAAAAAAAQAgAAAADQEAAGRycy9zaGFwZXhtbC54bWxQSwUGAAAAAAYABgBb&#10;AQAAtwMAAAAA&#10;">
                  <v:fill on="f" focussize="0,0"/>
                  <v:stroke weight="1.5pt" color="#000000" joinstyle="round" dashstyle="1 1" endcap="round" endarrow="block"/>
                  <v:imagedata o:title=""/>
                  <o:lock v:ext="edit" aspectratio="f"/>
                </v:line>
                <v:shape id="文本框 92" o:spid="_x0000_s1026" o:spt="202" type="#_x0000_t202" style="position:absolute;left:7146;top:720692;height:468;width:1828;" fillcolor="#FFFFFF" filled="t" stroked="t" coordsize="21600,21600"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C5FCBA">
                        <w:pPr>
                          <w:ind w:firstLine="480"/>
                          <w:jc w:val="center"/>
                        </w:pPr>
                        <w:r>
                          <w:rPr>
                            <w:rFonts w:hint="eastAsia"/>
                          </w:rPr>
                          <w:t>聚乙烯颗粒料</w:t>
                        </w:r>
                      </w:p>
                    </w:txbxContent>
                  </v:textbox>
                </v:shape>
                <v:shape id="文本框 93" o:spid="_x0000_s1026" o:spt="202" type="#_x0000_t202" style="position:absolute;left:11133;top:719781;height:468;width:1440;" fillcolor="#FFFFFF" filled="t" stroked="t" coordsize="21600,21600"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583941">
                        <w:pPr>
                          <w:ind w:firstLine="480"/>
                          <w:jc w:val="center"/>
                        </w:pPr>
                        <w:r>
                          <w:rPr>
                            <w:rFonts w:hint="eastAsia"/>
                          </w:rPr>
                          <w:t>循环池</w:t>
                        </w:r>
                      </w:p>
                    </w:txbxContent>
                  </v:textbox>
                </v:shape>
                <v:line id="直接连接符 94" o:spid="_x0000_s1026" o:spt="20" style="position:absolute;left:21886;top:-2279246;height:1;width:567;"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rFonts w:hint="eastAsia"/>
        </w:rPr>
        <w:t>。</w:t>
      </w:r>
    </w:p>
    <w:p w14:paraId="5E7DEE69">
      <w:pPr>
        <w:pStyle w:val="4"/>
      </w:pPr>
      <w:bookmarkStart w:id="88" w:name="_Toc14719"/>
      <w:bookmarkStart w:id="89" w:name="_Toc89619334"/>
      <w:r>
        <w:t>3.2</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hint="eastAsia"/>
        </w:rPr>
        <w:t>生产工艺流程</w:t>
      </w:r>
      <w:bookmarkEnd w:id="88"/>
      <w:bookmarkEnd w:id="89"/>
    </w:p>
    <w:p w14:paraId="203013A1">
      <w:pPr>
        <w:pStyle w:val="5"/>
      </w:pPr>
      <w:bookmarkStart w:id="90" w:name="_Toc106663468"/>
      <w:r>
        <w:t>3.2.1</w:t>
      </w:r>
      <w:r>
        <w:rPr>
          <w:rFonts w:hint="eastAsia"/>
        </w:rPr>
        <w:t>施工期工艺流程及产污节点</w:t>
      </w:r>
      <w:bookmarkEnd w:id="90"/>
    </w:p>
    <w:p w14:paraId="6F6DC706">
      <w:pPr>
        <w:ind w:firstLine="480"/>
      </w:pPr>
      <w:r>
        <w:rPr>
          <w:rFonts w:hint="eastAsia"/>
        </w:rPr>
        <w:t>本项目施工过程分为土方阶段（包括场地平整、开挖土石方）、基础施工阶段（包括打桩，构筑基础等）、主体工程阶段（包括钢筋、砖混结构施工、管线施工等）及装修阶段、场地清理（包括回填土石方、修路、清理场地等）。</w:t>
      </w:r>
    </w:p>
    <w:p w14:paraId="61793294">
      <w:pPr>
        <w:ind w:firstLine="480"/>
      </w:pPr>
      <w:r>
        <w:rPr>
          <w:rFonts w:hint="eastAsia"/>
        </w:rPr>
        <w:t>项目</w:t>
      </w:r>
      <w:r>
        <w:t>施工期工艺流程及产污</w:t>
      </w:r>
      <w:r>
        <w:rPr>
          <w:rFonts w:hint="eastAsia"/>
        </w:rPr>
        <w:t>环节图</w:t>
      </w:r>
      <w:r>
        <w:t>见图</w:t>
      </w:r>
      <w:r>
        <w:rPr>
          <w:rFonts w:hint="eastAsia"/>
        </w:rPr>
        <w:t>3.2-1。</w:t>
      </w:r>
    </w:p>
    <w:p w14:paraId="01964C49">
      <w:pPr>
        <w:topLinePunct/>
        <w:adjustRightInd w:val="0"/>
        <w:snapToGrid w:val="0"/>
        <w:spacing w:line="240" w:lineRule="auto"/>
        <w:ind w:firstLine="0" w:firstLineChars="0"/>
        <w:jc w:val="center"/>
        <w:rPr>
          <w:snapToGrid w:val="0"/>
          <w:sz w:val="28"/>
          <w:szCs w:val="28"/>
        </w:rPr>
      </w:pPr>
      <w:r>
        <mc:AlternateContent>
          <mc:Choice Requires="wpg">
            <w:drawing>
              <wp:anchor distT="0" distB="0" distL="114300" distR="114300" simplePos="0" relativeHeight="251660288" behindDoc="0" locked="0" layoutInCell="1" allowOverlap="1">
                <wp:simplePos x="0" y="0"/>
                <wp:positionH relativeFrom="column">
                  <wp:posOffset>344170</wp:posOffset>
                </wp:positionH>
                <wp:positionV relativeFrom="paragraph">
                  <wp:posOffset>26670</wp:posOffset>
                </wp:positionV>
                <wp:extent cx="4912995" cy="1814830"/>
                <wp:effectExtent l="0" t="0" r="20955" b="13970"/>
                <wp:wrapNone/>
                <wp:docPr id="299" name="组合 299"/>
                <wp:cNvGraphicFramePr/>
                <a:graphic xmlns:a="http://schemas.openxmlformats.org/drawingml/2006/main">
                  <a:graphicData uri="http://schemas.microsoft.com/office/word/2010/wordprocessingGroup">
                    <wpg:wgp>
                      <wpg:cNvGrpSpPr/>
                      <wpg:grpSpPr>
                        <a:xfrm>
                          <a:off x="0" y="0"/>
                          <a:ext cx="4912995" cy="1814830"/>
                          <a:chOff x="2061" y="3103"/>
                          <a:chExt cx="7737" cy="2858"/>
                        </a:xfrm>
                      </wpg:grpSpPr>
                      <wps:wsp>
                        <wps:cNvPr id="300" name="文本框 354"/>
                        <wps:cNvSpPr txBox="1">
                          <a:spLocks noChangeArrowheads="1"/>
                        </wps:cNvSpPr>
                        <wps:spPr bwMode="auto">
                          <a:xfrm>
                            <a:off x="4116" y="5663"/>
                            <a:ext cx="3420" cy="298"/>
                          </a:xfrm>
                          <a:prstGeom prst="rect">
                            <a:avLst/>
                          </a:prstGeom>
                          <a:solidFill>
                            <a:srgbClr val="FFFFFF"/>
                          </a:solidFill>
                          <a:ln w="9525" cmpd="sng">
                            <a:solidFill>
                              <a:srgbClr val="000000"/>
                            </a:solidFill>
                            <a:miter lim="800000"/>
                          </a:ln>
                        </wps:spPr>
                        <wps:txbx>
                          <w:txbxContent>
                            <w:p w14:paraId="4536175F">
                              <w:pPr>
                                <w:spacing w:line="240" w:lineRule="auto"/>
                                <w:ind w:firstLine="0" w:firstLineChars="0"/>
                                <w:jc w:val="center"/>
                              </w:pPr>
                              <w:r>
                                <w:rPr>
                                  <w:rFonts w:hint="eastAsia"/>
                                </w:rPr>
                                <w:t>建筑垃圾、生活垃圾、生活废水</w:t>
                              </w:r>
                            </w:p>
                            <w:p w14:paraId="472B655D">
                              <w:pPr>
                                <w:ind w:firstLine="480"/>
                              </w:pPr>
                            </w:p>
                          </w:txbxContent>
                        </wps:txbx>
                        <wps:bodyPr rot="0" vert="horz" wrap="square" lIns="18000" tIns="0" rIns="18000" bIns="0" anchor="t" anchorCtr="0" upright="1">
                          <a:noAutofit/>
                        </wps:bodyPr>
                      </wps:wsp>
                      <wps:wsp>
                        <wps:cNvPr id="301" name="文本框 355"/>
                        <wps:cNvSpPr txBox="1">
                          <a:spLocks noChangeArrowheads="1"/>
                        </wps:cNvSpPr>
                        <wps:spPr bwMode="auto">
                          <a:xfrm>
                            <a:off x="3471" y="4678"/>
                            <a:ext cx="1260" cy="312"/>
                          </a:xfrm>
                          <a:prstGeom prst="rect">
                            <a:avLst/>
                          </a:prstGeom>
                          <a:solidFill>
                            <a:srgbClr val="FFFFFF"/>
                          </a:solidFill>
                          <a:ln w="9525" cmpd="sng">
                            <a:solidFill>
                              <a:srgbClr val="000000"/>
                            </a:solidFill>
                            <a:miter lim="800000"/>
                          </a:ln>
                        </wps:spPr>
                        <wps:txbx>
                          <w:txbxContent>
                            <w:p w14:paraId="31C3D008">
                              <w:pPr>
                                <w:spacing w:line="240" w:lineRule="auto"/>
                                <w:ind w:firstLine="0" w:firstLineChars="0"/>
                                <w:jc w:val="center"/>
                              </w:pPr>
                              <w:r>
                                <w:rPr>
                                  <w:rFonts w:hint="eastAsia"/>
                                </w:rPr>
                                <w:t>土方开挖</w:t>
                              </w:r>
                            </w:p>
                          </w:txbxContent>
                        </wps:txbx>
                        <wps:bodyPr rot="0" vert="horz" wrap="square" lIns="18000" tIns="0" rIns="18000" bIns="0" anchor="t" anchorCtr="0" upright="1">
                          <a:noAutofit/>
                        </wps:bodyPr>
                      </wps:wsp>
                      <wps:wsp>
                        <wps:cNvPr id="302" name="文本框 356"/>
                        <wps:cNvSpPr txBox="1">
                          <a:spLocks noChangeArrowheads="1"/>
                        </wps:cNvSpPr>
                        <wps:spPr bwMode="auto">
                          <a:xfrm>
                            <a:off x="5436" y="4672"/>
                            <a:ext cx="1260" cy="298"/>
                          </a:xfrm>
                          <a:prstGeom prst="rect">
                            <a:avLst/>
                          </a:prstGeom>
                          <a:solidFill>
                            <a:srgbClr val="FFFFFF"/>
                          </a:solidFill>
                          <a:ln w="9525" cmpd="sng">
                            <a:solidFill>
                              <a:srgbClr val="000000"/>
                            </a:solidFill>
                            <a:miter lim="800000"/>
                          </a:ln>
                        </wps:spPr>
                        <wps:txbx>
                          <w:txbxContent>
                            <w:p w14:paraId="59207422">
                              <w:pPr>
                                <w:spacing w:line="240" w:lineRule="auto"/>
                                <w:ind w:firstLine="0" w:firstLineChars="0"/>
                                <w:jc w:val="center"/>
                              </w:pPr>
                              <w:r>
                                <w:rPr>
                                  <w:rFonts w:hint="eastAsia"/>
                                </w:rPr>
                                <w:t>道路修筑</w:t>
                              </w:r>
                            </w:p>
                          </w:txbxContent>
                        </wps:txbx>
                        <wps:bodyPr rot="0" vert="horz" wrap="square" lIns="18000" tIns="0" rIns="18000" bIns="0" anchor="t" anchorCtr="0" upright="1">
                          <a:noAutofit/>
                        </wps:bodyPr>
                      </wps:wsp>
                      <wps:wsp>
                        <wps:cNvPr id="303" name="文本框 357"/>
                        <wps:cNvSpPr txBox="1">
                          <a:spLocks noChangeArrowheads="1"/>
                        </wps:cNvSpPr>
                        <wps:spPr bwMode="auto">
                          <a:xfrm>
                            <a:off x="7146" y="4687"/>
                            <a:ext cx="1260" cy="298"/>
                          </a:xfrm>
                          <a:prstGeom prst="rect">
                            <a:avLst/>
                          </a:prstGeom>
                          <a:solidFill>
                            <a:srgbClr val="FFFFFF"/>
                          </a:solidFill>
                          <a:ln w="9525" cmpd="sng">
                            <a:solidFill>
                              <a:srgbClr val="000000"/>
                            </a:solidFill>
                            <a:miter lim="800000"/>
                          </a:ln>
                        </wps:spPr>
                        <wps:txbx>
                          <w:txbxContent>
                            <w:p w14:paraId="19F42153">
                              <w:pPr>
                                <w:spacing w:line="240" w:lineRule="auto"/>
                                <w:ind w:firstLine="0" w:firstLineChars="0"/>
                                <w:jc w:val="center"/>
                              </w:pPr>
                              <w:r>
                                <w:rPr>
                                  <w:rFonts w:hint="eastAsia"/>
                                </w:rPr>
                                <w:t>房屋建筑</w:t>
                              </w:r>
                            </w:p>
                          </w:txbxContent>
                        </wps:txbx>
                        <wps:bodyPr rot="0" vert="horz" wrap="square" lIns="18000" tIns="0" rIns="18000" bIns="0" anchor="t" anchorCtr="0" upright="1">
                          <a:noAutofit/>
                        </wps:bodyPr>
                      </wps:wsp>
                      <wps:wsp>
                        <wps:cNvPr id="304" name="文本框 358"/>
                        <wps:cNvSpPr txBox="1">
                          <a:spLocks noChangeArrowheads="1"/>
                        </wps:cNvSpPr>
                        <wps:spPr bwMode="auto">
                          <a:xfrm>
                            <a:off x="8856" y="4702"/>
                            <a:ext cx="720" cy="296"/>
                          </a:xfrm>
                          <a:prstGeom prst="rect">
                            <a:avLst/>
                          </a:prstGeom>
                          <a:solidFill>
                            <a:srgbClr val="FFFFFF"/>
                          </a:solidFill>
                          <a:ln w="9525" cmpd="sng">
                            <a:solidFill>
                              <a:srgbClr val="000000"/>
                            </a:solidFill>
                            <a:miter lim="800000"/>
                          </a:ln>
                        </wps:spPr>
                        <wps:txbx>
                          <w:txbxContent>
                            <w:p w14:paraId="6C3B5E5F">
                              <w:pPr>
                                <w:spacing w:line="240" w:lineRule="auto"/>
                                <w:ind w:firstLine="0" w:firstLineChars="0"/>
                                <w:jc w:val="center"/>
                              </w:pPr>
                              <w:r>
                                <w:rPr>
                                  <w:rFonts w:hint="eastAsia"/>
                                </w:rPr>
                                <w:t>装修</w:t>
                              </w:r>
                            </w:p>
                          </w:txbxContent>
                        </wps:txbx>
                        <wps:bodyPr rot="0" vert="horz" wrap="square" lIns="18000" tIns="0" rIns="18000" bIns="0" anchor="t" anchorCtr="0" upright="1">
                          <a:noAutofit/>
                        </wps:bodyPr>
                      </wps:wsp>
                      <wps:wsp>
                        <wps:cNvPr id="305" name="文本框 359"/>
                        <wps:cNvSpPr txBox="1">
                          <a:spLocks noChangeArrowheads="1"/>
                        </wps:cNvSpPr>
                        <wps:spPr bwMode="auto">
                          <a:xfrm>
                            <a:off x="2061" y="4672"/>
                            <a:ext cx="1080" cy="312"/>
                          </a:xfrm>
                          <a:prstGeom prst="rect">
                            <a:avLst/>
                          </a:prstGeom>
                          <a:solidFill>
                            <a:srgbClr val="FFFFFF"/>
                          </a:solidFill>
                          <a:ln w="9525" cmpd="sng">
                            <a:solidFill>
                              <a:srgbClr val="000000"/>
                            </a:solidFill>
                            <a:miter lim="800000"/>
                          </a:ln>
                        </wps:spPr>
                        <wps:txbx>
                          <w:txbxContent>
                            <w:p w14:paraId="6D6595EA">
                              <w:pPr>
                                <w:spacing w:line="240" w:lineRule="auto"/>
                                <w:ind w:firstLine="0" w:firstLineChars="0"/>
                                <w:jc w:val="center"/>
                              </w:pPr>
                              <w:r>
                                <w:rPr>
                                  <w:rFonts w:hint="eastAsia"/>
                                </w:rPr>
                                <w:t>场地平整</w:t>
                              </w:r>
                            </w:p>
                          </w:txbxContent>
                        </wps:txbx>
                        <wps:bodyPr rot="0" vert="horz" wrap="square" lIns="18000" tIns="0" rIns="18000" bIns="0" anchor="t" anchorCtr="0" upright="1">
                          <a:noAutofit/>
                        </wps:bodyPr>
                      </wps:wsp>
                      <wps:wsp>
                        <wps:cNvPr id="306" name="文本框 360"/>
                        <wps:cNvSpPr txBox="1">
                          <a:spLocks noChangeArrowheads="1"/>
                        </wps:cNvSpPr>
                        <wps:spPr bwMode="auto">
                          <a:xfrm>
                            <a:off x="5109" y="3481"/>
                            <a:ext cx="960" cy="462"/>
                          </a:xfrm>
                          <a:prstGeom prst="rect">
                            <a:avLst/>
                          </a:prstGeom>
                          <a:solidFill>
                            <a:srgbClr val="FFFFFF"/>
                          </a:solidFill>
                          <a:ln w="9525" cmpd="sng">
                            <a:solidFill>
                              <a:srgbClr val="000000"/>
                            </a:solidFill>
                            <a:miter lim="800000"/>
                          </a:ln>
                        </wps:spPr>
                        <wps:txbx>
                          <w:txbxContent>
                            <w:p w14:paraId="2C8C36AC">
                              <w:pPr>
                                <w:spacing w:line="240" w:lineRule="auto"/>
                                <w:ind w:firstLine="0" w:firstLineChars="0"/>
                                <w:jc w:val="center"/>
                              </w:pPr>
                              <w:r>
                                <w:rPr>
                                  <w:rFonts w:hint="eastAsia"/>
                                </w:rPr>
                                <w:t>噪声</w:t>
                              </w:r>
                            </w:p>
                          </w:txbxContent>
                        </wps:txbx>
                        <wps:bodyPr rot="0" vert="horz" wrap="square" lIns="91440" tIns="45720" rIns="91440" bIns="45720" anchor="t" anchorCtr="0" upright="1">
                          <a:noAutofit/>
                        </wps:bodyPr>
                      </wps:wsp>
                      <wps:wsp>
                        <wps:cNvPr id="307" name="文本框 361"/>
                        <wps:cNvSpPr txBox="1">
                          <a:spLocks noChangeArrowheads="1"/>
                        </wps:cNvSpPr>
                        <wps:spPr bwMode="auto">
                          <a:xfrm>
                            <a:off x="2556" y="3475"/>
                            <a:ext cx="1080" cy="468"/>
                          </a:xfrm>
                          <a:prstGeom prst="rect">
                            <a:avLst/>
                          </a:prstGeom>
                          <a:solidFill>
                            <a:srgbClr val="FFFFFF"/>
                          </a:solidFill>
                          <a:ln w="9525" cmpd="sng">
                            <a:solidFill>
                              <a:srgbClr val="000000"/>
                            </a:solidFill>
                            <a:miter lim="800000"/>
                          </a:ln>
                        </wps:spPr>
                        <wps:txbx>
                          <w:txbxContent>
                            <w:p w14:paraId="7C0F453C">
                              <w:pPr>
                                <w:spacing w:line="240" w:lineRule="auto"/>
                                <w:ind w:firstLine="0" w:firstLineChars="0"/>
                                <w:jc w:val="center"/>
                              </w:pPr>
                              <w:r>
                                <w:rPr>
                                  <w:rFonts w:hint="eastAsia"/>
                                </w:rPr>
                                <w:t>扬尘</w:t>
                              </w:r>
                            </w:p>
                          </w:txbxContent>
                        </wps:txbx>
                        <wps:bodyPr rot="0" vert="horz" wrap="square" lIns="91440" tIns="45720" rIns="91440" bIns="45720" anchor="t" anchorCtr="0" upright="1">
                          <a:noAutofit/>
                        </wps:bodyPr>
                      </wps:wsp>
                      <wps:wsp>
                        <wps:cNvPr id="308" name="文本框 362"/>
                        <wps:cNvSpPr txBox="1">
                          <a:spLocks noChangeArrowheads="1"/>
                        </wps:cNvSpPr>
                        <wps:spPr bwMode="auto">
                          <a:xfrm>
                            <a:off x="7356" y="3481"/>
                            <a:ext cx="2442" cy="468"/>
                          </a:xfrm>
                          <a:prstGeom prst="rect">
                            <a:avLst/>
                          </a:prstGeom>
                          <a:solidFill>
                            <a:srgbClr val="FFFFFF"/>
                          </a:solidFill>
                          <a:ln w="9525" cmpd="sng">
                            <a:solidFill>
                              <a:srgbClr val="000000"/>
                            </a:solidFill>
                            <a:miter lim="800000"/>
                          </a:ln>
                        </wps:spPr>
                        <wps:txbx>
                          <w:txbxContent>
                            <w:p w14:paraId="5DC08F5A">
                              <w:pPr>
                                <w:spacing w:line="240" w:lineRule="auto"/>
                                <w:ind w:firstLine="0" w:firstLineChars="0"/>
                                <w:jc w:val="center"/>
                              </w:pPr>
                              <w:r>
                                <w:rPr>
                                  <w:rFonts w:hint="eastAsia"/>
                                </w:rPr>
                                <w:t>建筑材料堆放、运输</w:t>
                              </w:r>
                            </w:p>
                          </w:txbxContent>
                        </wps:txbx>
                        <wps:bodyPr rot="0" vert="horz" wrap="square" lIns="91440" tIns="45720" rIns="91440" bIns="45720" anchor="t" anchorCtr="0" upright="1">
                          <a:noAutofit/>
                        </wps:bodyPr>
                      </wps:wsp>
                      <wps:wsp>
                        <wps:cNvPr id="309" name="直线 363"/>
                        <wps:cNvCnPr>
                          <a:cxnSpLocks noChangeShapeType="1"/>
                        </wps:cNvCnPr>
                        <wps:spPr bwMode="auto">
                          <a:xfrm flipH="1">
                            <a:off x="5441" y="4968"/>
                            <a:ext cx="641" cy="693"/>
                          </a:xfrm>
                          <a:prstGeom prst="line">
                            <a:avLst/>
                          </a:prstGeom>
                          <a:noFill/>
                          <a:ln w="9525" cmpd="sng">
                            <a:solidFill>
                              <a:srgbClr val="000000"/>
                            </a:solidFill>
                            <a:prstDash val="dash"/>
                            <a:round/>
                            <a:tailEnd type="triangle" w="med" len="med"/>
                          </a:ln>
                        </wps:spPr>
                        <wps:bodyPr/>
                      </wps:wsp>
                      <wps:wsp>
                        <wps:cNvPr id="310" name="直线 364"/>
                        <wps:cNvCnPr>
                          <a:cxnSpLocks noChangeShapeType="1"/>
                        </wps:cNvCnPr>
                        <wps:spPr bwMode="auto">
                          <a:xfrm flipH="1">
                            <a:off x="5888" y="4985"/>
                            <a:ext cx="1780" cy="659"/>
                          </a:xfrm>
                          <a:prstGeom prst="line">
                            <a:avLst/>
                          </a:prstGeom>
                          <a:noFill/>
                          <a:ln w="9525" cmpd="sng">
                            <a:solidFill>
                              <a:srgbClr val="000000"/>
                            </a:solidFill>
                            <a:prstDash val="dash"/>
                            <a:round/>
                            <a:tailEnd type="triangle" w="med" len="med"/>
                          </a:ln>
                        </wps:spPr>
                        <wps:bodyPr/>
                      </wps:wsp>
                      <wps:wsp>
                        <wps:cNvPr id="311" name="直线 365"/>
                        <wps:cNvCnPr>
                          <a:cxnSpLocks noChangeShapeType="1"/>
                        </wps:cNvCnPr>
                        <wps:spPr bwMode="auto">
                          <a:xfrm flipH="1">
                            <a:off x="6458" y="5002"/>
                            <a:ext cx="2697" cy="644"/>
                          </a:xfrm>
                          <a:prstGeom prst="line">
                            <a:avLst/>
                          </a:prstGeom>
                          <a:noFill/>
                          <a:ln w="9525" cmpd="sng">
                            <a:solidFill>
                              <a:srgbClr val="000000"/>
                            </a:solidFill>
                            <a:prstDash val="dash"/>
                            <a:round/>
                            <a:tailEnd type="triangle" w="med" len="med"/>
                          </a:ln>
                        </wps:spPr>
                        <wps:bodyPr/>
                      </wps:wsp>
                      <wps:wsp>
                        <wps:cNvPr id="312" name="直线 366"/>
                        <wps:cNvCnPr>
                          <a:cxnSpLocks noChangeShapeType="1"/>
                        </wps:cNvCnPr>
                        <wps:spPr bwMode="auto">
                          <a:xfrm flipH="1" flipV="1">
                            <a:off x="3458" y="3958"/>
                            <a:ext cx="2579" cy="705"/>
                          </a:xfrm>
                          <a:prstGeom prst="line">
                            <a:avLst/>
                          </a:prstGeom>
                          <a:noFill/>
                          <a:ln w="9525" cmpd="sng">
                            <a:solidFill>
                              <a:srgbClr val="000000"/>
                            </a:solidFill>
                            <a:prstDash val="dash"/>
                            <a:round/>
                            <a:tailEnd type="triangle" w="med" len="med"/>
                          </a:ln>
                        </wps:spPr>
                        <wps:bodyPr/>
                      </wps:wsp>
                      <wps:wsp>
                        <wps:cNvPr id="313" name="直线 367"/>
                        <wps:cNvCnPr>
                          <a:cxnSpLocks noChangeShapeType="1"/>
                        </wps:cNvCnPr>
                        <wps:spPr bwMode="auto">
                          <a:xfrm>
                            <a:off x="4170" y="5005"/>
                            <a:ext cx="1082" cy="662"/>
                          </a:xfrm>
                          <a:prstGeom prst="line">
                            <a:avLst/>
                          </a:prstGeom>
                          <a:noFill/>
                          <a:ln w="9525" cmpd="sng">
                            <a:solidFill>
                              <a:srgbClr val="000000"/>
                            </a:solidFill>
                            <a:prstDash val="dash"/>
                            <a:round/>
                            <a:tailEnd type="triangle" w="med" len="med"/>
                          </a:ln>
                        </wps:spPr>
                        <wps:bodyPr/>
                      </wps:wsp>
                      <wps:wsp>
                        <wps:cNvPr id="314" name="直线 368"/>
                        <wps:cNvCnPr>
                          <a:cxnSpLocks noChangeShapeType="1"/>
                        </wps:cNvCnPr>
                        <wps:spPr bwMode="auto">
                          <a:xfrm flipV="1">
                            <a:off x="8511" y="3103"/>
                            <a:ext cx="2" cy="371"/>
                          </a:xfrm>
                          <a:prstGeom prst="line">
                            <a:avLst/>
                          </a:prstGeom>
                          <a:noFill/>
                          <a:ln w="9525" cmpd="sng">
                            <a:solidFill>
                              <a:srgbClr val="000000"/>
                            </a:solidFill>
                            <a:prstDash val="dash"/>
                            <a:round/>
                          </a:ln>
                        </wps:spPr>
                        <wps:bodyPr/>
                      </wps:wsp>
                      <wps:wsp>
                        <wps:cNvPr id="315" name="直线 369"/>
                        <wps:cNvCnPr>
                          <a:cxnSpLocks noChangeShapeType="1"/>
                        </wps:cNvCnPr>
                        <wps:spPr bwMode="auto">
                          <a:xfrm>
                            <a:off x="7944" y="3959"/>
                            <a:ext cx="1" cy="735"/>
                          </a:xfrm>
                          <a:prstGeom prst="line">
                            <a:avLst/>
                          </a:prstGeom>
                          <a:noFill/>
                          <a:ln w="9525" cmpd="sng">
                            <a:solidFill>
                              <a:srgbClr val="000000"/>
                            </a:solidFill>
                            <a:round/>
                            <a:tailEnd type="triangle" w="med" len="med"/>
                          </a:ln>
                        </wps:spPr>
                        <wps:bodyPr/>
                      </wps:wsp>
                      <wps:wsp>
                        <wps:cNvPr id="316" name="直线 370"/>
                        <wps:cNvCnPr>
                          <a:cxnSpLocks noChangeShapeType="1"/>
                        </wps:cNvCnPr>
                        <wps:spPr bwMode="auto">
                          <a:xfrm flipH="1" flipV="1">
                            <a:off x="5975" y="3943"/>
                            <a:ext cx="3135" cy="750"/>
                          </a:xfrm>
                          <a:prstGeom prst="line">
                            <a:avLst/>
                          </a:prstGeom>
                          <a:noFill/>
                          <a:ln w="9525" cmpd="sng">
                            <a:solidFill>
                              <a:srgbClr val="000000"/>
                            </a:solidFill>
                            <a:prstDash val="dash"/>
                            <a:round/>
                            <a:tailEnd type="triangle" w="med" len="med"/>
                          </a:ln>
                        </wps:spPr>
                        <wps:bodyPr/>
                      </wps:wsp>
                      <wps:wsp>
                        <wps:cNvPr id="317" name="直线 371"/>
                        <wps:cNvCnPr>
                          <a:cxnSpLocks noChangeShapeType="1"/>
                        </wps:cNvCnPr>
                        <wps:spPr bwMode="auto">
                          <a:xfrm flipH="1" flipV="1">
                            <a:off x="5753" y="3958"/>
                            <a:ext cx="1755" cy="734"/>
                          </a:xfrm>
                          <a:prstGeom prst="line">
                            <a:avLst/>
                          </a:prstGeom>
                          <a:noFill/>
                          <a:ln w="9525" cmpd="sng">
                            <a:solidFill>
                              <a:srgbClr val="000000"/>
                            </a:solidFill>
                            <a:prstDash val="dash"/>
                            <a:round/>
                            <a:tailEnd type="triangle" w="med" len="med"/>
                          </a:ln>
                        </wps:spPr>
                        <wps:bodyPr/>
                      </wps:wsp>
                      <wps:wsp>
                        <wps:cNvPr id="318" name="直线 372"/>
                        <wps:cNvCnPr>
                          <a:cxnSpLocks noChangeShapeType="1"/>
                        </wps:cNvCnPr>
                        <wps:spPr bwMode="auto">
                          <a:xfrm flipH="1" flipV="1">
                            <a:off x="5454" y="3937"/>
                            <a:ext cx="617" cy="726"/>
                          </a:xfrm>
                          <a:prstGeom prst="line">
                            <a:avLst/>
                          </a:prstGeom>
                          <a:noFill/>
                          <a:ln w="9525" cmpd="sng">
                            <a:solidFill>
                              <a:srgbClr val="000000"/>
                            </a:solidFill>
                            <a:prstDash val="dash"/>
                            <a:round/>
                            <a:tailEnd type="triangle" w="med" len="med"/>
                          </a:ln>
                        </wps:spPr>
                        <wps:bodyPr/>
                      </wps:wsp>
                      <wps:wsp>
                        <wps:cNvPr id="319" name="直线 373"/>
                        <wps:cNvCnPr>
                          <a:cxnSpLocks noChangeShapeType="1"/>
                        </wps:cNvCnPr>
                        <wps:spPr bwMode="auto">
                          <a:xfrm flipH="1" flipV="1">
                            <a:off x="3023" y="3958"/>
                            <a:ext cx="1229" cy="720"/>
                          </a:xfrm>
                          <a:prstGeom prst="line">
                            <a:avLst/>
                          </a:prstGeom>
                          <a:noFill/>
                          <a:ln w="9525" cmpd="sng">
                            <a:solidFill>
                              <a:srgbClr val="000000"/>
                            </a:solidFill>
                            <a:prstDash val="dash"/>
                            <a:round/>
                            <a:tailEnd type="triangle" w="med" len="med"/>
                          </a:ln>
                        </wps:spPr>
                        <wps:bodyPr/>
                      </wps:wsp>
                      <wps:wsp>
                        <wps:cNvPr id="320" name="直线 374"/>
                        <wps:cNvCnPr>
                          <a:cxnSpLocks noChangeShapeType="1"/>
                        </wps:cNvCnPr>
                        <wps:spPr bwMode="auto">
                          <a:xfrm flipV="1">
                            <a:off x="2601" y="3943"/>
                            <a:ext cx="2702" cy="729"/>
                          </a:xfrm>
                          <a:prstGeom prst="line">
                            <a:avLst/>
                          </a:prstGeom>
                          <a:noFill/>
                          <a:ln w="9525" cmpd="sng">
                            <a:solidFill>
                              <a:srgbClr val="000000"/>
                            </a:solidFill>
                            <a:prstDash val="dash"/>
                            <a:round/>
                            <a:tailEnd type="triangle" w="med" len="med"/>
                          </a:ln>
                        </wps:spPr>
                        <wps:bodyPr/>
                      </wps:wsp>
                      <wps:wsp>
                        <wps:cNvPr id="321" name="直线 375"/>
                        <wps:cNvCnPr>
                          <a:cxnSpLocks noChangeShapeType="1"/>
                        </wps:cNvCnPr>
                        <wps:spPr bwMode="auto">
                          <a:xfrm>
                            <a:off x="2497" y="4985"/>
                            <a:ext cx="2386" cy="658"/>
                          </a:xfrm>
                          <a:prstGeom prst="line">
                            <a:avLst/>
                          </a:prstGeom>
                          <a:noFill/>
                          <a:ln w="9525" cmpd="sng">
                            <a:solidFill>
                              <a:srgbClr val="000000"/>
                            </a:solidFill>
                            <a:prstDash val="dash"/>
                            <a:round/>
                            <a:tailEnd type="triangle" w="med" len="med"/>
                          </a:ln>
                        </wps:spPr>
                        <wps:bodyPr/>
                      </wps:wsp>
                      <wps:wsp>
                        <wps:cNvPr id="322" name="直线 376"/>
                        <wps:cNvCnPr>
                          <a:cxnSpLocks noChangeShapeType="1"/>
                        </wps:cNvCnPr>
                        <wps:spPr bwMode="auto">
                          <a:xfrm>
                            <a:off x="3111" y="3103"/>
                            <a:ext cx="5400" cy="1"/>
                          </a:xfrm>
                          <a:prstGeom prst="line">
                            <a:avLst/>
                          </a:prstGeom>
                          <a:noFill/>
                          <a:ln w="9525" cmpd="sng">
                            <a:solidFill>
                              <a:srgbClr val="000000"/>
                            </a:solidFill>
                            <a:prstDash val="dash"/>
                            <a:round/>
                          </a:ln>
                        </wps:spPr>
                        <wps:bodyPr/>
                      </wps:wsp>
                      <wps:wsp>
                        <wps:cNvPr id="323" name="直线 377"/>
                        <wps:cNvCnPr>
                          <a:cxnSpLocks noChangeShapeType="1"/>
                        </wps:cNvCnPr>
                        <wps:spPr bwMode="auto">
                          <a:xfrm>
                            <a:off x="3096" y="3103"/>
                            <a:ext cx="2" cy="360"/>
                          </a:xfrm>
                          <a:prstGeom prst="line">
                            <a:avLst/>
                          </a:prstGeom>
                          <a:noFill/>
                          <a:ln w="9525" cmpd="sng">
                            <a:solidFill>
                              <a:srgbClr val="000000"/>
                            </a:solidFill>
                            <a:prstDash val="dash"/>
                            <a:round/>
                            <a:tailEnd type="triangle" w="med" len="med"/>
                          </a:ln>
                        </wps:spPr>
                        <wps:bodyPr/>
                      </wps:wsp>
                      <wps:wsp>
                        <wps:cNvPr id="324" name="直线 378"/>
                        <wps:cNvCnPr>
                          <a:cxnSpLocks noChangeShapeType="1"/>
                        </wps:cNvCnPr>
                        <wps:spPr bwMode="auto">
                          <a:xfrm flipV="1">
                            <a:off x="2679" y="3912"/>
                            <a:ext cx="43" cy="766"/>
                          </a:xfrm>
                          <a:prstGeom prst="line">
                            <a:avLst/>
                          </a:prstGeom>
                          <a:noFill/>
                          <a:ln w="9525" cmpd="sng">
                            <a:solidFill>
                              <a:srgbClr val="000000"/>
                            </a:solidFill>
                            <a:prstDash val="dash"/>
                            <a:round/>
                            <a:tailEnd type="triangle" w="med" len="med"/>
                          </a:ln>
                        </wps:spPr>
                        <wps:bodyPr/>
                      </wps:wsp>
                      <wps:wsp>
                        <wps:cNvPr id="325" name="直线 379"/>
                        <wps:cNvCnPr>
                          <a:cxnSpLocks noChangeShapeType="1"/>
                        </wps:cNvCnPr>
                        <wps:spPr bwMode="auto">
                          <a:xfrm flipH="1" flipV="1">
                            <a:off x="6098" y="3719"/>
                            <a:ext cx="1258" cy="3"/>
                          </a:xfrm>
                          <a:prstGeom prst="line">
                            <a:avLst/>
                          </a:prstGeom>
                          <a:noFill/>
                          <a:ln w="9525" cmpd="sng">
                            <a:solidFill>
                              <a:srgbClr val="000000"/>
                            </a:solidFill>
                            <a:prstDash val="dash"/>
                            <a:round/>
                            <a:tailEnd type="triangle" w="med" len="med"/>
                          </a:ln>
                        </wps:spPr>
                        <wps:bodyPr/>
                      </wps:wsp>
                      <wps:wsp>
                        <wps:cNvPr id="326" name="直线 380"/>
                        <wps:cNvCnPr>
                          <a:cxnSpLocks noChangeShapeType="1"/>
                        </wps:cNvCnPr>
                        <wps:spPr bwMode="auto">
                          <a:xfrm flipV="1">
                            <a:off x="4230" y="3924"/>
                            <a:ext cx="1200" cy="726"/>
                          </a:xfrm>
                          <a:prstGeom prst="line">
                            <a:avLst/>
                          </a:prstGeom>
                          <a:noFill/>
                          <a:ln w="9525" cmpd="sng">
                            <a:solidFill>
                              <a:srgbClr val="000000"/>
                            </a:solidFill>
                            <a:prstDash val="dash"/>
                            <a:round/>
                            <a:tailEnd type="triangle" w="med" len="med"/>
                          </a:ln>
                        </wps:spPr>
                        <wps:bodyPr/>
                      </wps:wsp>
                    </wpg:wgp>
                  </a:graphicData>
                </a:graphic>
              </wp:anchor>
            </w:drawing>
          </mc:Choice>
          <mc:Fallback>
            <w:pict>
              <v:group id="_x0000_s1026" o:spid="_x0000_s1026" o:spt="203" style="position:absolute;left:0pt;margin-left:27.1pt;margin-top:2.1pt;height:142.9pt;width:386.85pt;z-index:251660288;mso-width-relative:page;mso-height-relative:page;" coordorigin="2061,3103" coordsize="7737,2858" o:gfxdata="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jJurr9kAAAAIAQAA&#10;DwAAAAAAAAABACAAAAAiAAAAZHJzL2Rvd25yZXYueG1sUEsBAhQAFAAAAAgAh07iQDxIri7+BgAA&#10;nEEAAA4AAAAAAAAAAQAgAAAAKAEAAGRycy9lMm9Eb2MueG1sUEsFBgAAAAAGAAYAWQEAAJgKAAAA&#10;AA==&#10;">
                <o:lock v:ext="edit" aspectratio="f"/>
                <v:shape id="文本框 354" o:spid="_x0000_s1026" o:spt="202" type="#_x0000_t202" style="position:absolute;left:4116;top:5663;height:298;width:3420;" fillcolor="#FFFFFF" filled="t" stroked="t" coordsize="21600,21600" o:gfxdata="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VcC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mm,0.5mm,0mm">
                    <w:txbxContent>
                      <w:p w14:paraId="4536175F">
                        <w:pPr>
                          <w:spacing w:line="240" w:lineRule="auto"/>
                          <w:ind w:firstLine="0" w:firstLineChars="0"/>
                          <w:jc w:val="center"/>
                        </w:pPr>
                        <w:r>
                          <w:rPr>
                            <w:rFonts w:hint="eastAsia"/>
                          </w:rPr>
                          <w:t>建筑垃圾、生活垃圾、生活废水</w:t>
                        </w:r>
                      </w:p>
                      <w:p w14:paraId="472B655D">
                        <w:pPr>
                          <w:ind w:firstLine="480"/>
                        </w:pPr>
                      </w:p>
                    </w:txbxContent>
                  </v:textbox>
                </v:shape>
                <v:shape id="文本框 355" o:spid="_x0000_s1026" o:spt="202" type="#_x0000_t202" style="position:absolute;left:3471;top:4678;height:312;width:1260;" fillcolor="#FFFFFF" filled="t" stroked="t" coordsize="21600,21600" o:gfxdata="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n5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31C3D008">
                        <w:pPr>
                          <w:spacing w:line="240" w:lineRule="auto"/>
                          <w:ind w:firstLine="0" w:firstLineChars="0"/>
                          <w:jc w:val="center"/>
                        </w:pPr>
                        <w:r>
                          <w:rPr>
                            <w:rFonts w:hint="eastAsia"/>
                          </w:rPr>
                          <w:t>土方开挖</w:t>
                        </w:r>
                      </w:p>
                    </w:txbxContent>
                  </v:textbox>
                </v:shape>
                <v:shape id="文本框 356" o:spid="_x0000_s1026" o:spt="202" type="#_x0000_t202" style="position:absolute;left:5436;top:4672;height:298;width:1260;" fillcolor="#FFFFFF" filled="t" stroked="t" coordsize="21600,21600" o:gfxdata="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tn5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59207422">
                        <w:pPr>
                          <w:spacing w:line="240" w:lineRule="auto"/>
                          <w:ind w:firstLine="0" w:firstLineChars="0"/>
                          <w:jc w:val="center"/>
                        </w:pPr>
                        <w:r>
                          <w:rPr>
                            <w:rFonts w:hint="eastAsia"/>
                          </w:rPr>
                          <w:t>道路修筑</w:t>
                        </w:r>
                      </w:p>
                    </w:txbxContent>
                  </v:textbox>
                </v:shape>
                <v:shape id="文本框 357" o:spid="_x0000_s1026" o:spt="202" type="#_x0000_t202" style="position:absolute;left:7146;top:4687;height:298;width:1260;" fillcolor="#FFFFFF" filled="t" stroked="t" coordsize="21600,21600" o:gfxdata="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fCf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19F42153">
                        <w:pPr>
                          <w:spacing w:line="240" w:lineRule="auto"/>
                          <w:ind w:firstLine="0" w:firstLineChars="0"/>
                          <w:jc w:val="center"/>
                        </w:pPr>
                        <w:r>
                          <w:rPr>
                            <w:rFonts w:hint="eastAsia"/>
                          </w:rPr>
                          <w:t>房屋建筑</w:t>
                        </w:r>
                      </w:p>
                    </w:txbxContent>
                  </v:textbox>
                </v:shape>
                <v:shape id="文本框 358" o:spid="_x0000_s1026" o:spt="202" type="#_x0000_t202" style="position:absolute;left:8856;top:4702;height:296;width:720;" fillcolor="#FFFFFF" filled="t" stroked="t" coordsize="21600,21600" o:gfxdata="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Wg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5mm,0mm,0.5mm,0mm">
                    <w:txbxContent>
                      <w:p w14:paraId="6C3B5E5F">
                        <w:pPr>
                          <w:spacing w:line="240" w:lineRule="auto"/>
                          <w:ind w:firstLine="0" w:firstLineChars="0"/>
                          <w:jc w:val="center"/>
                        </w:pPr>
                        <w:r>
                          <w:rPr>
                            <w:rFonts w:hint="eastAsia"/>
                          </w:rPr>
                          <w:t>装修</w:t>
                        </w:r>
                      </w:p>
                    </w:txbxContent>
                  </v:textbox>
                </v:shape>
                <v:shape id="文本框 359" o:spid="_x0000_s1026" o:spt="202" type="#_x0000_t202" style="position:absolute;left:2061;top:4672;height:312;width:1080;" fillcolor="#FFFFFF" filled="t" stroked="t" coordsize="21600,21600" o:gfxdata="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L/k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6D6595EA">
                        <w:pPr>
                          <w:spacing w:line="240" w:lineRule="auto"/>
                          <w:ind w:firstLine="0" w:firstLineChars="0"/>
                          <w:jc w:val="center"/>
                        </w:pPr>
                        <w:r>
                          <w:rPr>
                            <w:rFonts w:hint="eastAsia"/>
                          </w:rPr>
                          <w:t>场地平整</w:t>
                        </w:r>
                      </w:p>
                    </w:txbxContent>
                  </v:textbox>
                </v:shape>
                <v:shape id="文本框 360" o:spid="_x0000_s1026" o:spt="202" type="#_x0000_t202" style="position:absolute;left:5109;top:3481;height:462;width:960;"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2C8C36AC">
                        <w:pPr>
                          <w:spacing w:line="240" w:lineRule="auto"/>
                          <w:ind w:firstLine="0" w:firstLineChars="0"/>
                          <w:jc w:val="center"/>
                        </w:pPr>
                        <w:r>
                          <w:rPr>
                            <w:rFonts w:hint="eastAsia"/>
                          </w:rPr>
                          <w:t>噪声</w:t>
                        </w:r>
                      </w:p>
                    </w:txbxContent>
                  </v:textbox>
                </v:shape>
                <v:shape id="文本框 361" o:spid="_x0000_s1026" o:spt="202" type="#_x0000_t202" style="position:absolute;left:2556;top:3475;height:468;width:1080;" fillcolor="#FFFFFF" filled="t" stroked="t" coordsize="21600,21600" o:gfxdata="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PNP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C0F453C">
                        <w:pPr>
                          <w:spacing w:line="240" w:lineRule="auto"/>
                          <w:ind w:firstLine="0" w:firstLineChars="0"/>
                          <w:jc w:val="center"/>
                        </w:pPr>
                        <w:r>
                          <w:rPr>
                            <w:rFonts w:hint="eastAsia"/>
                          </w:rPr>
                          <w:t>扬尘</w:t>
                        </w:r>
                      </w:p>
                    </w:txbxContent>
                  </v:textbox>
                </v:shape>
                <v:shape id="文本框 362" o:spid="_x0000_s1026" o:spt="202" type="#_x0000_t202" style="position:absolute;left:7356;top:3481;height:468;width:2442;" fillcolor="#FFFFFF" filled="t" stroked="t" coordsize="21600,21600" o:gfxdata="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xZT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DC08F5A">
                        <w:pPr>
                          <w:spacing w:line="240" w:lineRule="auto"/>
                          <w:ind w:firstLine="0" w:firstLineChars="0"/>
                          <w:jc w:val="center"/>
                        </w:pPr>
                        <w:r>
                          <w:rPr>
                            <w:rFonts w:hint="eastAsia"/>
                          </w:rPr>
                          <w:t>建筑材料堆放、运输</w:t>
                        </w:r>
                      </w:p>
                    </w:txbxContent>
                  </v:textbox>
                </v:shape>
                <v:line id="直线 363" o:spid="_x0000_s1026" o:spt="20" style="position:absolute;left:5441;top:4968;flip:x;height:693;width:641;" filled="f" stroked="t" coordsize="21600,21600" o:gfxdata="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oCb6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364" o:spid="_x0000_s1026" o:spt="20" style="position:absolute;left:5888;top:4985;flip:x;height:659;width:1780;" filled="f" stroked="t" coordsize="21600,21600" o:gfxdata="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s2/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line id="直线 365" o:spid="_x0000_s1026" o:spt="20" style="position:absolute;left:6458;top:5002;flip:x;height:644;width:2697;" filled="f" stroked="t" coordsize="21600,21600" o:gfxdata="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5Nl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66" o:spid="_x0000_s1026" o:spt="20" style="position:absolute;left:3458;top:3958;flip:x y;height:705;width:2579;" filled="f" stroked="t" coordsize="21600,21600" o:gfxdata="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5F/V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67" o:spid="_x0000_s1026" o:spt="20" style="position:absolute;left:4170;top:5005;height:662;width:1082;" filled="f" stroked="t" coordsize="21600,21600" o:gfxdata="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Kd&#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线 368" o:spid="_x0000_s1026" o:spt="20" style="position:absolute;left:8511;top:3103;flip:y;height:371;width:2;" filled="f" stroked="t" coordsize="21600,21600" o:gfxdata="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oVxL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线 369" o:spid="_x0000_s1026" o:spt="20" style="position:absolute;left:7944;top:3959;height:735;width:1;" filled="f" stroked="t" coordsize="21600,21600" o:gfxdata="UEsDBAoAAAAAAIdO4kAAAAAAAAAAAAAAAAAEAAAAZHJzL1BLAwQUAAAACACHTuJA3telEsAAAADc&#10;AAAADwAAAGRycy9kb3ducmV2LnhtbEWPT2vCQBTE74LfYXmCN91EaQ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16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0" o:spid="_x0000_s1026" o:spt="20" style="position:absolute;left:5975;top:3943;flip:x y;height:750;width:3135;" filled="f" stroked="t" coordsize="21600,21600" o:gfxdata="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31nW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1" o:spid="_x0000_s1026" o:spt="20" style="position:absolute;left:5753;top:3958;flip:x y;height:734;width:1755;" filled="f" stroked="t" coordsize="21600,21600" o:gfxdata="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k/x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2" o:spid="_x0000_s1026" o:spt="20" style="position:absolute;left:5454;top:3937;flip:x y;height:726;width:617;" filled="f" stroked="t" coordsize="21600,21600" o:gfxdata="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MaD+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line id="直线 373" o:spid="_x0000_s1026" o:spt="20" style="position:absolute;left:3023;top:3958;flip:x y;height:720;width:1229;" filled="f" stroked="t" coordsize="21600,21600" o:gfxdata="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M2k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4" o:spid="_x0000_s1026" o:spt="20" style="position:absolute;left:2601;top:3943;flip:y;height:729;width:2702;" filled="f" stroked="t" coordsize="21600,21600" o:gfxdata="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yf8Q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直线 375" o:spid="_x0000_s1026" o:spt="20" style="position:absolute;left:2497;top:4985;height:658;width:2386;" filled="f" stroked="t" coordsize="21600,21600" o:gfxdata="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ED&#10;z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线 376" o:spid="_x0000_s1026" o:spt="20" style="position:absolute;left:3111;top:3103;height:1;width:5400;" filled="f" stroked="t" coordsize="21600,21600" o:gfxdata="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h89b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377" o:spid="_x0000_s1026" o:spt="20" style="position:absolute;left:3096;top:3103;height:360;width:2;" filled="f" stroked="t" coordsize="21600,21600" o:gfxdata="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84&#10;I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线 378" o:spid="_x0000_s1026" o:spt="20" style="position:absolute;left:2679;top:3912;flip:y;height:766;width:43;" filled="f" stroked="t" coordsize="21600,21600" o:gfxdata="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HPpA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直线 379" o:spid="_x0000_s1026" o:spt="20" style="position:absolute;left:6098;top:3719;flip:x y;height:3;width:1258;" filled="f" stroked="t" coordsize="21600,21600" o:gfxdata="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Q0c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80" o:spid="_x0000_s1026" o:spt="20" style="position:absolute;left:4230;top:3924;flip:y;height:726;width:1200;" filled="f" stroked="t" coordsize="21600,21600" o:gfxdata="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sGs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group>
            </w:pict>
          </mc:Fallback>
        </mc:AlternateContent>
      </w:r>
    </w:p>
    <w:p w14:paraId="7DF92AF0">
      <w:pPr>
        <w:adjustRightInd w:val="0"/>
        <w:snapToGrid w:val="0"/>
        <w:spacing w:line="240" w:lineRule="auto"/>
        <w:ind w:firstLine="0" w:firstLineChars="0"/>
        <w:jc w:val="center"/>
        <w:rPr>
          <w:b/>
          <w:bCs/>
        </w:rPr>
      </w:pPr>
    </w:p>
    <w:p w14:paraId="5AF12FA6">
      <w:pPr>
        <w:adjustRightInd w:val="0"/>
        <w:snapToGrid w:val="0"/>
        <w:ind w:firstLine="482"/>
        <w:jc w:val="center"/>
        <w:rPr>
          <w:b/>
          <w:bCs/>
        </w:rPr>
      </w:pPr>
    </w:p>
    <w:p w14:paraId="71BDDF6C">
      <w:pPr>
        <w:adjustRightInd w:val="0"/>
        <w:snapToGrid w:val="0"/>
        <w:ind w:firstLine="482"/>
        <w:jc w:val="center"/>
        <w:rPr>
          <w:b/>
          <w:bCs/>
        </w:rPr>
      </w:pPr>
    </w:p>
    <w:p w14:paraId="1C31368F">
      <w:pPr>
        <w:adjustRightInd w:val="0"/>
        <w:snapToGrid w:val="0"/>
        <w:ind w:firstLine="482"/>
        <w:jc w:val="center"/>
        <w:rPr>
          <w:b/>
          <w:bCs/>
        </w:rPr>
      </w:pPr>
    </w:p>
    <w:p w14:paraId="2706DD66">
      <w:pPr>
        <w:adjustRightInd w:val="0"/>
        <w:snapToGrid w:val="0"/>
        <w:ind w:firstLine="482"/>
        <w:jc w:val="center"/>
        <w:rPr>
          <w:b/>
          <w:bCs/>
        </w:rPr>
      </w:pPr>
    </w:p>
    <w:p w14:paraId="4D68568A">
      <w:pPr>
        <w:adjustRightInd w:val="0"/>
        <w:snapToGrid w:val="0"/>
        <w:ind w:firstLine="482"/>
        <w:jc w:val="center"/>
        <w:rPr>
          <w:b/>
          <w:bCs/>
        </w:rPr>
      </w:pPr>
    </w:p>
    <w:p w14:paraId="36CCC6B9">
      <w:pPr>
        <w:spacing w:line="240" w:lineRule="auto"/>
        <w:ind w:firstLine="0" w:firstLineChars="0"/>
        <w:jc w:val="center"/>
      </w:pPr>
    </w:p>
    <w:p w14:paraId="68F071D5">
      <w:pPr>
        <w:pStyle w:val="11"/>
      </w:pPr>
      <w:r>
        <w:rPr>
          <w:rFonts w:hint="eastAsia"/>
        </w:rPr>
        <w:t>图3.2-1施工期工艺流程及产污环节图</w:t>
      </w:r>
    </w:p>
    <w:p w14:paraId="6B4BF548">
      <w:pPr>
        <w:pStyle w:val="5"/>
      </w:pPr>
      <w:bookmarkStart w:id="91" w:name="_Toc106663469"/>
      <w:r>
        <w:rPr>
          <w:rFonts w:hint="eastAsia"/>
        </w:rPr>
        <w:t>3.2.2运营期工艺流程及产污节点</w:t>
      </w:r>
      <w:bookmarkEnd w:id="91"/>
    </w:p>
    <w:p w14:paraId="5C0DC37D">
      <w:pPr>
        <w:pStyle w:val="6"/>
        <w:ind w:firstLine="482"/>
      </w:pPr>
      <w:r>
        <w:rPr>
          <w:rFonts w:hint="eastAsia"/>
        </w:rPr>
        <w:t>3.2.2.1养殖工艺流程及产污环节图</w:t>
      </w:r>
    </w:p>
    <w:p w14:paraId="171187D3">
      <w:pPr>
        <w:spacing w:line="480" w:lineRule="exact"/>
        <w:ind w:firstLine="480"/>
        <w:rPr>
          <w:rFonts w:cs="宋体"/>
          <w:szCs w:val="24"/>
        </w:rPr>
      </w:pPr>
      <w:r>
        <w:rPr>
          <w:szCs w:val="24"/>
        </w:rPr>
        <w:t>1</w:t>
      </w:r>
      <w:r>
        <w:rPr>
          <w:rFonts w:cs="宋体"/>
          <w:szCs w:val="24"/>
        </w:rPr>
        <w:t>、养殖工艺</w:t>
      </w:r>
    </w:p>
    <w:p w14:paraId="16947555">
      <w:pPr>
        <w:spacing w:line="480" w:lineRule="exact"/>
        <w:ind w:firstLine="480"/>
        <w:rPr>
          <w:rFonts w:cs="宋体"/>
          <w:szCs w:val="24"/>
        </w:rPr>
      </w:pPr>
      <w:r>
        <w:rPr>
          <w:rFonts w:hint="eastAsia" w:cs="宋体"/>
          <w:szCs w:val="24"/>
        </w:rPr>
        <w:t>本项目建成共养殖400峰骆驼。工艺流程及产污节点见图3.2-2。</w:t>
      </w:r>
    </w:p>
    <w:p w14:paraId="586602E3">
      <w:pPr>
        <w:spacing w:line="480" w:lineRule="exact"/>
        <w:ind w:firstLine="480"/>
        <w:rPr>
          <w:rFonts w:cs="宋体"/>
          <w:szCs w:val="24"/>
        </w:rPr>
      </w:pPr>
    </w:p>
    <w:p w14:paraId="5C89A377">
      <w:pPr>
        <w:spacing w:line="480" w:lineRule="exact"/>
        <w:ind w:firstLine="480"/>
        <w:rPr>
          <w:rFonts w:cs="宋体"/>
          <w:szCs w:val="24"/>
        </w:rPr>
      </w:pPr>
    </w:p>
    <w:p w14:paraId="275106BD">
      <w:pPr>
        <w:spacing w:line="480" w:lineRule="exact"/>
        <w:ind w:firstLine="482"/>
        <w:jc w:val="center"/>
        <w:rPr>
          <w:szCs w:val="24"/>
        </w:rPr>
      </w:pPr>
      <w:r>
        <w:rPr>
          <w:rFonts w:hint="eastAsia"/>
          <w:b/>
          <w:bCs/>
        </w:rPr>
        <w:drawing>
          <wp:anchor distT="0" distB="0" distL="114300" distR="114300" simplePos="0" relativeHeight="251738112" behindDoc="0" locked="0" layoutInCell="1" allowOverlap="1">
            <wp:simplePos x="0" y="0"/>
            <wp:positionH relativeFrom="column">
              <wp:posOffset>83185</wp:posOffset>
            </wp:positionH>
            <wp:positionV relativeFrom="paragraph">
              <wp:posOffset>83185</wp:posOffset>
            </wp:positionV>
            <wp:extent cx="5260975" cy="3964940"/>
            <wp:effectExtent l="0" t="0" r="0" b="0"/>
            <wp:wrapTopAndBottom/>
            <wp:docPr id="34" name="ECB019B1-382A-4266-B25C-5B523AA43C14-1" descr="C:/Users/Administrator/AppData/Local/Temp/wps.xlpmy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1" descr="C:/Users/Administrator/AppData/Local/Temp/wps.xlpmyNwps"/>
                    <pic:cNvPicPr>
                      <a:picLocks noChangeAspect="1"/>
                    </pic:cNvPicPr>
                  </pic:nvPicPr>
                  <pic:blipFill>
                    <a:blip r:embed="rId38"/>
                    <a:stretch>
                      <a:fillRect/>
                    </a:stretch>
                  </pic:blipFill>
                  <pic:spPr>
                    <a:xfrm>
                      <a:off x="0" y="0"/>
                      <a:ext cx="5260975" cy="3964940"/>
                    </a:xfrm>
                    <a:prstGeom prst="rect">
                      <a:avLst/>
                    </a:prstGeom>
                  </pic:spPr>
                </pic:pic>
              </a:graphicData>
            </a:graphic>
          </wp:anchor>
        </w:drawing>
      </w:r>
      <w:r>
        <w:rPr>
          <w:rFonts w:hint="eastAsia"/>
          <w:b/>
          <w:bCs/>
        </w:rPr>
        <w:t>图3.2-2运营期工艺流程及产污环节图</w:t>
      </w:r>
    </w:p>
    <w:p w14:paraId="6A7C59D3">
      <w:pPr>
        <w:spacing w:line="480" w:lineRule="exact"/>
        <w:ind w:firstLine="480"/>
        <w:rPr>
          <w:szCs w:val="24"/>
        </w:rPr>
      </w:pPr>
      <w:r>
        <w:rPr>
          <w:rFonts w:hint="eastAsia"/>
          <w:szCs w:val="24"/>
        </w:rPr>
        <w:t>（1）骆驼防疫</w:t>
      </w:r>
    </w:p>
    <w:p w14:paraId="3F8ED356">
      <w:pPr>
        <w:spacing w:line="480" w:lineRule="exact"/>
        <w:ind w:firstLine="480"/>
        <w:rPr>
          <w:szCs w:val="24"/>
        </w:rPr>
      </w:pPr>
      <w:r>
        <w:rPr>
          <w:szCs w:val="24"/>
        </w:rPr>
        <w:t>防疫工作是一项复杂的系统工程，它涉及从生产到销售，从场内到场外的所有过程</w:t>
      </w:r>
      <w:r>
        <w:rPr>
          <w:rFonts w:hint="eastAsia"/>
          <w:szCs w:val="24"/>
        </w:rPr>
        <w:t>。</w:t>
      </w:r>
      <w:r>
        <w:rPr>
          <w:szCs w:val="24"/>
        </w:rPr>
        <w:t>因此，必须把防疫工作纳入正常的管理，建立由兽医人员监督执行、全体人员参加的全防体系</w:t>
      </w:r>
      <w:r>
        <w:rPr>
          <w:rFonts w:hint="eastAsia"/>
          <w:szCs w:val="24"/>
        </w:rPr>
        <w:t>。</w:t>
      </w:r>
      <w:r>
        <w:rPr>
          <w:szCs w:val="24"/>
        </w:rPr>
        <w:t>如建立①科学的程序消毒，这是切断传播途径的重要措施，目的在于杀灭外界环境中存在的各种病原体</w:t>
      </w:r>
      <w:r>
        <w:rPr>
          <w:rFonts w:hint="eastAsia"/>
          <w:szCs w:val="24"/>
        </w:rPr>
        <w:t>；</w:t>
      </w:r>
      <w:r>
        <w:rPr>
          <w:szCs w:val="24"/>
        </w:rPr>
        <w:t>②人员进出登记工作和洗澡更衣记录</w:t>
      </w:r>
      <w:r>
        <w:rPr>
          <w:rFonts w:hint="eastAsia"/>
          <w:szCs w:val="24"/>
        </w:rPr>
        <w:t>；</w:t>
      </w:r>
      <w:r>
        <w:rPr>
          <w:szCs w:val="24"/>
        </w:rPr>
        <w:t>③尽量实行全进全出制</w:t>
      </w:r>
      <w:r>
        <w:rPr>
          <w:rFonts w:hint="eastAsia"/>
          <w:szCs w:val="24"/>
        </w:rPr>
        <w:t>；</w:t>
      </w:r>
      <w:r>
        <w:rPr>
          <w:szCs w:val="24"/>
        </w:rPr>
        <w:t>④进行预防接种，目前公司已建立起防疫的规章制度</w:t>
      </w:r>
      <w:r>
        <w:rPr>
          <w:rFonts w:hint="eastAsia"/>
          <w:szCs w:val="24"/>
        </w:rPr>
        <w:t>。</w:t>
      </w:r>
    </w:p>
    <w:p w14:paraId="654E625B">
      <w:pPr>
        <w:spacing w:line="480" w:lineRule="exact"/>
        <w:ind w:firstLine="480"/>
        <w:rPr>
          <w:szCs w:val="24"/>
        </w:rPr>
      </w:pPr>
      <w:r>
        <w:rPr>
          <w:rFonts w:hint="eastAsia"/>
          <w:szCs w:val="24"/>
        </w:rPr>
        <w:t>（2）饲养管理办法</w:t>
      </w:r>
    </w:p>
    <w:p w14:paraId="0B202E47">
      <w:pPr>
        <w:spacing w:line="480" w:lineRule="exact"/>
        <w:ind w:firstLine="480"/>
        <w:rPr>
          <w:szCs w:val="24"/>
        </w:rPr>
      </w:pPr>
      <w:r>
        <w:rPr>
          <w:rFonts w:hint="eastAsia"/>
          <w:szCs w:val="24"/>
        </w:rPr>
        <w:t>本项目双峰驼养殖技术方案按照：良种、良料、良舍、良法、良医配套技术的要求，项目建成后引入400峰双峰驼作为本项目的基础群，采用人工授精TMR饲喂、标准化管理、高效繁育技术、卫生防疫及双峰驼保健技术等措施，实行科学饲养管理，达到高产高效的目的。</w:t>
      </w:r>
    </w:p>
    <w:p w14:paraId="6C9C1EE0">
      <w:pPr>
        <w:spacing w:line="480" w:lineRule="exact"/>
        <w:ind w:firstLine="480"/>
        <w:rPr>
          <w:szCs w:val="24"/>
        </w:rPr>
      </w:pPr>
      <w:r>
        <w:rPr>
          <w:szCs w:val="24"/>
        </w:rPr>
        <w:t>1</w:t>
      </w:r>
      <w:r>
        <w:rPr>
          <w:rFonts w:hint="eastAsia"/>
          <w:szCs w:val="24"/>
        </w:rPr>
        <w:t>）饲养怀孕母驼的技术</w:t>
      </w:r>
    </w:p>
    <w:p w14:paraId="3C596359">
      <w:pPr>
        <w:spacing w:line="480" w:lineRule="exact"/>
        <w:ind w:firstLine="480"/>
        <w:rPr>
          <w:szCs w:val="24"/>
        </w:rPr>
      </w:pPr>
      <w:r>
        <w:rPr>
          <w:rFonts w:hint="eastAsia"/>
          <w:szCs w:val="24"/>
        </w:rPr>
        <w:t>培育生产性能较高的骆驼，必须从胚胎期着手。因此，应加强骆驼养殖技术，给予怀孕母驼以合理的饲养管理，对其分娩后的泌乳量和驼羔生长发育，都起着重要的作用。</w:t>
      </w:r>
    </w:p>
    <w:p w14:paraId="4C451D6E">
      <w:pPr>
        <w:spacing w:line="480" w:lineRule="exact"/>
        <w:ind w:firstLine="480"/>
        <w:rPr>
          <w:szCs w:val="24"/>
        </w:rPr>
      </w:pPr>
      <w:r>
        <w:rPr>
          <w:rFonts w:hint="eastAsia"/>
          <w:szCs w:val="24"/>
        </w:rPr>
        <w:t>饲养怀孕母骆驼的技术要点：</w:t>
      </w:r>
    </w:p>
    <w:p w14:paraId="1286E579">
      <w:pPr>
        <w:spacing w:line="480" w:lineRule="exact"/>
        <w:ind w:firstLine="480"/>
        <w:rPr>
          <w:szCs w:val="24"/>
        </w:rPr>
      </w:pPr>
      <w:r>
        <w:rPr>
          <w:rFonts w:hint="eastAsia"/>
          <w:szCs w:val="24"/>
        </w:rPr>
        <w:t>①母驼配种受胎后，性情安静，代谢旺盛，食欲巨增，且怀孕的前期恰是青黄不接的春季，既要负担胚胎的正常发育，又要负担上年所产驼羔的哺乳。根据上述特点，正确地饲养怀孕母驼，关键在于春季牧地的选择，母驼配种后，须在牧草生长茂盛，草质优良的牧地上放牧，以满足营养需要，否则就应当加补精料。</w:t>
      </w:r>
    </w:p>
    <w:p w14:paraId="5C1E04A2">
      <w:pPr>
        <w:spacing w:line="480" w:lineRule="exact"/>
        <w:ind w:firstLine="480"/>
        <w:rPr>
          <w:szCs w:val="24"/>
        </w:rPr>
      </w:pPr>
      <w:r>
        <w:rPr>
          <w:rFonts w:hint="eastAsia"/>
          <w:szCs w:val="24"/>
        </w:rPr>
        <w:t>②母驼配种受胎后三个月泌乳量显著减少，五、六个月时泌乳量更少，甚至自行干乳，此期恰是夏末秋初，牧草生长比较繁茂，应作好断乳，分群工作，以保证怀孕母驼抓好秋膘，促进胚胎发育。</w:t>
      </w:r>
    </w:p>
    <w:p w14:paraId="06A4A51B">
      <w:pPr>
        <w:spacing w:line="480" w:lineRule="exact"/>
        <w:ind w:firstLine="480"/>
        <w:rPr>
          <w:szCs w:val="24"/>
        </w:rPr>
      </w:pPr>
      <w:r>
        <w:rPr>
          <w:rFonts w:hint="eastAsia"/>
          <w:szCs w:val="24"/>
        </w:rPr>
        <w:t>③怀孕母驼易发生流产，尤其是怀孕</w:t>
      </w:r>
      <w:r>
        <w:rPr>
          <w:szCs w:val="24"/>
        </w:rPr>
        <w:t>6-7</w:t>
      </w:r>
      <w:r>
        <w:rPr>
          <w:rFonts w:hint="eastAsia"/>
          <w:szCs w:val="24"/>
        </w:rPr>
        <w:t>个月以前，往往由于惊吓、猛赶、拥挤、猛力打击头部和腹部、公驼的爬垮、异外的声音、役后立即吃碱柴、脱毛后受暴雨刺激，以及冬季空腹大量饮水等的刺激，而引起子宫强烈地收缩，发生流产。所以，对怀孕母驼的管理，应从这些方面作好保胎工作，为了作好这一工作，重要的是应对配种</w:t>
      </w:r>
      <w:r>
        <w:rPr>
          <w:szCs w:val="24"/>
        </w:rPr>
        <w:t>14</w:t>
      </w:r>
      <w:r>
        <w:rPr>
          <w:rFonts w:hint="eastAsia"/>
          <w:szCs w:val="24"/>
        </w:rPr>
        <w:t>天后表现拒配的母驼，及早地进行早期妊娠诊断，凡是被确诊为受孕的母驼，都应细心护理，特别是</w:t>
      </w:r>
      <w:r>
        <w:rPr>
          <w:szCs w:val="24"/>
        </w:rPr>
        <w:t>4-5</w:t>
      </w:r>
      <w:r>
        <w:rPr>
          <w:rFonts w:hint="eastAsia"/>
          <w:szCs w:val="24"/>
        </w:rPr>
        <w:t>岁的青年母驼，常因性情活泼、好动，较易流产。</w:t>
      </w:r>
    </w:p>
    <w:p w14:paraId="755E9FA6">
      <w:pPr>
        <w:spacing w:line="480" w:lineRule="exact"/>
        <w:ind w:firstLine="480"/>
        <w:rPr>
          <w:szCs w:val="24"/>
        </w:rPr>
      </w:pPr>
      <w:r>
        <w:rPr>
          <w:rFonts w:hint="eastAsia"/>
          <w:szCs w:val="24"/>
        </w:rPr>
        <w:t>④母驼怀孕后，应尽量减轻使役。一般在受孕</w:t>
      </w:r>
      <w:r>
        <w:rPr>
          <w:szCs w:val="24"/>
        </w:rPr>
        <w:t>l5</w:t>
      </w:r>
      <w:r>
        <w:rPr>
          <w:rFonts w:hint="eastAsia"/>
          <w:szCs w:val="24"/>
        </w:rPr>
        <w:t>天时则可做轻微的劳役，</w:t>
      </w:r>
      <w:r>
        <w:rPr>
          <w:szCs w:val="24"/>
        </w:rPr>
        <w:t>5</w:t>
      </w:r>
      <w:r>
        <w:rPr>
          <w:rFonts w:hint="eastAsia"/>
          <w:szCs w:val="24"/>
        </w:rPr>
        <w:t>个月时使役不能连续二周，</w:t>
      </w:r>
      <w:r>
        <w:rPr>
          <w:szCs w:val="24"/>
        </w:rPr>
        <w:t>6</w:t>
      </w:r>
      <w:r>
        <w:rPr>
          <w:rFonts w:hint="eastAsia"/>
          <w:szCs w:val="24"/>
        </w:rPr>
        <w:t>个月后可做零星的劳役，</w:t>
      </w:r>
      <w:r>
        <w:rPr>
          <w:szCs w:val="24"/>
        </w:rPr>
        <w:t>10</w:t>
      </w:r>
      <w:r>
        <w:rPr>
          <w:rFonts w:hint="eastAsia"/>
          <w:szCs w:val="24"/>
        </w:rPr>
        <w:t>个月后应停止使役。</w:t>
      </w:r>
    </w:p>
    <w:p w14:paraId="4A1F8EE7">
      <w:pPr>
        <w:spacing w:line="480" w:lineRule="exact"/>
        <w:ind w:firstLine="480"/>
        <w:rPr>
          <w:szCs w:val="24"/>
        </w:rPr>
      </w:pPr>
      <w:r>
        <w:rPr>
          <w:rFonts w:hint="eastAsia"/>
          <w:szCs w:val="24"/>
        </w:rPr>
        <w:t>⑤初产青年母驼常常在临产时，行动异常，突然离群，自寻产地，因此应密切注视，严加管理，归牧后可拴系或关入驼圈。</w:t>
      </w:r>
    </w:p>
    <w:p w14:paraId="37BA0777">
      <w:pPr>
        <w:spacing w:line="480" w:lineRule="exact"/>
        <w:ind w:firstLine="480"/>
        <w:rPr>
          <w:szCs w:val="24"/>
        </w:rPr>
      </w:pPr>
      <w:r>
        <w:rPr>
          <w:szCs w:val="24"/>
        </w:rPr>
        <w:t>2</w:t>
      </w:r>
      <w:r>
        <w:rPr>
          <w:rFonts w:hint="eastAsia"/>
          <w:szCs w:val="24"/>
        </w:rPr>
        <w:t>）带羔母驼的饲养管理</w:t>
      </w:r>
    </w:p>
    <w:p w14:paraId="76BD2802">
      <w:pPr>
        <w:spacing w:line="480" w:lineRule="exact"/>
        <w:ind w:firstLine="480"/>
        <w:rPr>
          <w:szCs w:val="24"/>
        </w:rPr>
      </w:pPr>
      <w:r>
        <w:rPr>
          <w:rFonts w:hint="eastAsia"/>
          <w:szCs w:val="24"/>
        </w:rPr>
        <w:t>①舍饲带羔母驼，每天可喂优良的豆科和禾本科牧草</w:t>
      </w:r>
      <w:r>
        <w:rPr>
          <w:szCs w:val="24"/>
        </w:rPr>
        <w:t>5-6</w:t>
      </w:r>
      <w:r>
        <w:rPr>
          <w:rFonts w:hint="eastAsia"/>
          <w:szCs w:val="24"/>
        </w:rPr>
        <w:t>公斤，混合精料</w:t>
      </w:r>
      <w:r>
        <w:rPr>
          <w:szCs w:val="24"/>
        </w:rPr>
        <w:t>2-4</w:t>
      </w:r>
      <w:r>
        <w:rPr>
          <w:rFonts w:hint="eastAsia"/>
          <w:szCs w:val="24"/>
        </w:rPr>
        <w:t>公斤，以及添加带羔模样驼适量的食盐和钙、磷，有条件地区，最好能够补喂胡萝卜或大麦芽</w:t>
      </w:r>
      <w:r>
        <w:rPr>
          <w:szCs w:val="24"/>
        </w:rPr>
        <w:t>1.5-2.0</w:t>
      </w:r>
      <w:r>
        <w:rPr>
          <w:rFonts w:hint="eastAsia"/>
          <w:szCs w:val="24"/>
        </w:rPr>
        <w:t>公斤。</w:t>
      </w:r>
    </w:p>
    <w:p w14:paraId="51B4D561">
      <w:pPr>
        <w:spacing w:line="480" w:lineRule="exact"/>
        <w:ind w:firstLine="480"/>
        <w:rPr>
          <w:szCs w:val="24"/>
        </w:rPr>
      </w:pPr>
      <w:r>
        <w:rPr>
          <w:rFonts w:hint="eastAsia"/>
          <w:szCs w:val="24"/>
        </w:rPr>
        <w:t>②放牧母驼群，应选择草质最好，水源近，背风，向阳的草场，作为冬春营地，以满足孕驼和带羔母驼需要，有贮备饲草料的社队，则可给带羔母驼补饲干草</w:t>
      </w:r>
      <w:r>
        <w:rPr>
          <w:szCs w:val="24"/>
        </w:rPr>
        <w:t>3-5</w:t>
      </w:r>
      <w:r>
        <w:rPr>
          <w:rFonts w:hint="eastAsia"/>
          <w:szCs w:val="24"/>
        </w:rPr>
        <w:t>公斤、精料</w:t>
      </w:r>
      <w:r>
        <w:rPr>
          <w:szCs w:val="24"/>
        </w:rPr>
        <w:t>1.0-2.0</w:t>
      </w:r>
      <w:r>
        <w:rPr>
          <w:rFonts w:hint="eastAsia"/>
          <w:szCs w:val="24"/>
        </w:rPr>
        <w:t>公斤。</w:t>
      </w:r>
    </w:p>
    <w:p w14:paraId="216ABF6F">
      <w:pPr>
        <w:spacing w:line="480" w:lineRule="exact"/>
        <w:ind w:firstLine="480"/>
        <w:rPr>
          <w:szCs w:val="24"/>
        </w:rPr>
      </w:pPr>
      <w:r>
        <w:rPr>
          <w:rFonts w:hint="eastAsia"/>
          <w:szCs w:val="24"/>
        </w:rPr>
        <w:t>③产羔母驼群，在天气炎热到来之前，即五月份以前，应作好转场，在天气炎热以后，就不能再远距离移牧。否则，会由于母驼留旧草场，采食减少，泌乳量下降，而影响驼羔的生长发育。</w:t>
      </w:r>
    </w:p>
    <w:p w14:paraId="173ECCF5">
      <w:pPr>
        <w:spacing w:line="480" w:lineRule="exact"/>
        <w:ind w:firstLine="480"/>
        <w:rPr>
          <w:szCs w:val="24"/>
        </w:rPr>
      </w:pPr>
      <w:r>
        <w:rPr>
          <w:rFonts w:hint="eastAsia"/>
          <w:szCs w:val="24"/>
        </w:rPr>
        <w:t>④产羔母驼应每日饮水一次，在遇到风雪，雨天时，应将乏弱母驼的背上，搭盖毡片，以防御风寒，可不予饮水。产羔一个月后，除风、雪、雨天外，可让母驼带领驼羔，在附近放牧，归牧后应将驼羔进行系留，以防夜间母驼带领驼羔自行远离。产羔后三至四周，可剪去母驼的嗉毛、毛和肘毛。带羔母驼的被毛脱落，较其它骆驼迟，收毛时应先收四肢，腹下颈部和体侧毛，背部毛待到小暑后收掉。</w:t>
      </w:r>
    </w:p>
    <w:p w14:paraId="5F499F5B">
      <w:pPr>
        <w:spacing w:line="480" w:lineRule="exact"/>
        <w:ind w:firstLine="480"/>
        <w:rPr>
          <w:szCs w:val="24"/>
        </w:rPr>
      </w:pPr>
      <w:r>
        <w:rPr>
          <w:rFonts w:hint="eastAsia"/>
          <w:szCs w:val="24"/>
        </w:rPr>
        <w:t>⑤对泌乳量较高的母驼，则可每天早晨或晚上挤乳</w:t>
      </w:r>
      <w:r>
        <w:rPr>
          <w:szCs w:val="24"/>
        </w:rPr>
        <w:t>1-2</w:t>
      </w:r>
      <w:r>
        <w:rPr>
          <w:rFonts w:hint="eastAsia"/>
          <w:szCs w:val="24"/>
        </w:rPr>
        <w:t>次，或者将驼羔哺乳后剩余的乳汁全部挤净，这样有利于提高泌乳量和防止驼羔过食，而引起消化不良。随着驼羔的生长发育速度的增加，挤乳次数应逐渐减少，甚至停止。但在草质不佳、母驼泌乳量不高时，应先满足驼羔需要，严禁挤乳。</w:t>
      </w:r>
    </w:p>
    <w:p w14:paraId="2673436C">
      <w:pPr>
        <w:spacing w:line="480" w:lineRule="exact"/>
        <w:ind w:firstLine="480"/>
        <w:rPr>
          <w:szCs w:val="24"/>
        </w:rPr>
      </w:pPr>
      <w:r>
        <w:rPr>
          <w:rFonts w:hint="eastAsia"/>
          <w:szCs w:val="24"/>
        </w:rPr>
        <w:t>⑥初产母驼，若母性不强，不让驼羔哺乳时，则可强行保定两后肢，人工辅助驼羔进行哺乳，待习惯</w:t>
      </w:r>
      <w:r>
        <w:rPr>
          <w:szCs w:val="24"/>
        </w:rPr>
        <w:t>3-5</w:t>
      </w:r>
      <w:r>
        <w:rPr>
          <w:rFonts w:hint="eastAsia"/>
          <w:szCs w:val="24"/>
        </w:rPr>
        <w:t>天后即可。产羔母驼在第二年发情、配种、受胎后，随着怀孕月数的增加，泌乳量逐渐减少。一般怀孕三个月后泌乳量就有明显下降，五至六个月时更为显著，有的个体甚至停止泌乳，此期恰是夏末秋初，牧草生长较茂盛，应作好断乳和分群工作，以保证母驼营养和胚胎的发育。</w:t>
      </w:r>
    </w:p>
    <w:p w14:paraId="2EEE4626">
      <w:pPr>
        <w:spacing w:line="480" w:lineRule="exact"/>
        <w:ind w:firstLine="480"/>
        <w:rPr>
          <w:szCs w:val="24"/>
        </w:rPr>
      </w:pPr>
      <w:r>
        <w:rPr>
          <w:szCs w:val="24"/>
        </w:rPr>
        <w:t>3</w:t>
      </w:r>
      <w:r>
        <w:rPr>
          <w:rFonts w:hint="eastAsia"/>
          <w:szCs w:val="24"/>
        </w:rPr>
        <w:t>）种公驼的饲养管理</w:t>
      </w:r>
    </w:p>
    <w:p w14:paraId="0605F753">
      <w:pPr>
        <w:spacing w:line="480" w:lineRule="exact"/>
        <w:ind w:firstLine="480"/>
        <w:rPr>
          <w:szCs w:val="24"/>
        </w:rPr>
      </w:pPr>
      <w:r>
        <w:rPr>
          <w:rFonts w:hint="eastAsia"/>
          <w:szCs w:val="24"/>
        </w:rPr>
        <w:t>骆驼是一种较好利用沙漠环境的牲畜。骆驼生活在严酷，艰苦的环境中，对人类具有极高的应用价值。因此，我们要加强骆驼养殖技术，正确地组织种公驼的饲养管理，使种公驼体质健壮，延长利用年限。</w:t>
      </w:r>
    </w:p>
    <w:p w14:paraId="2DEDE4A0">
      <w:pPr>
        <w:spacing w:line="480" w:lineRule="exact"/>
        <w:ind w:firstLine="480"/>
        <w:rPr>
          <w:szCs w:val="24"/>
        </w:rPr>
      </w:pPr>
      <w:r>
        <w:rPr>
          <w:rFonts w:hint="eastAsia"/>
          <w:szCs w:val="24"/>
        </w:rPr>
        <w:t>在配种季节到来之后，食欲减退，行动反常，体力消耗很大。为了保证种公驼配种任务的完成，应从</w:t>
      </w:r>
      <w:r>
        <w:rPr>
          <w:szCs w:val="24"/>
        </w:rPr>
        <w:t>11</w:t>
      </w:r>
      <w:r>
        <w:rPr>
          <w:rFonts w:hint="eastAsia"/>
          <w:szCs w:val="24"/>
        </w:rPr>
        <w:t>月中旬开始，对种公驼实行逐渐补料。从</w:t>
      </w:r>
      <w:r>
        <w:rPr>
          <w:szCs w:val="24"/>
        </w:rPr>
        <w:t>12</w:t>
      </w:r>
      <w:r>
        <w:rPr>
          <w:rFonts w:hint="eastAsia"/>
          <w:szCs w:val="24"/>
        </w:rPr>
        <w:t>月中旬起，整个配种季节里种公驼的日粮应具有完全的营养价值，力求多样化。由于冬春缺乏青绿饲料，有条件地区，还应加补一定数量的胡萝卜、大麦芽或锁阳等富于维生素的多汁饲料，以便增进种公驼的体质。</w:t>
      </w:r>
    </w:p>
    <w:p w14:paraId="1A688DD1">
      <w:pPr>
        <w:spacing w:line="480" w:lineRule="exact"/>
        <w:ind w:firstLine="480"/>
        <w:rPr>
          <w:szCs w:val="24"/>
        </w:rPr>
      </w:pPr>
      <w:r>
        <w:rPr>
          <w:rFonts w:hint="eastAsia"/>
          <w:szCs w:val="24"/>
        </w:rPr>
        <w:t>我国牧区饲养种公驼，一般在草质好的牧地放牧时不加补饲。但在雨水少的干旱年里，则有的根据草质和种公驼的实际体况，补饲优良干草</w:t>
      </w:r>
      <w:r>
        <w:rPr>
          <w:szCs w:val="24"/>
        </w:rPr>
        <w:t>3-4</w:t>
      </w:r>
      <w:r>
        <w:rPr>
          <w:rFonts w:hint="eastAsia"/>
          <w:szCs w:val="24"/>
        </w:rPr>
        <w:t>公斤，混合精料</w:t>
      </w:r>
      <w:r>
        <w:rPr>
          <w:szCs w:val="24"/>
        </w:rPr>
        <w:t>1-3</w:t>
      </w:r>
      <w:r>
        <w:rPr>
          <w:rFonts w:hint="eastAsia"/>
          <w:szCs w:val="24"/>
        </w:rPr>
        <w:t>公斤，有条件的还加补锁阳</w:t>
      </w:r>
      <w:r>
        <w:rPr>
          <w:szCs w:val="24"/>
        </w:rPr>
        <w:t>2-3</w:t>
      </w:r>
      <w:r>
        <w:rPr>
          <w:rFonts w:hint="eastAsia"/>
          <w:szCs w:val="24"/>
        </w:rPr>
        <w:t>公斤。也有的在种公驼交配多（二次）的日子里，灌服酸奶</w:t>
      </w:r>
      <w:r>
        <w:rPr>
          <w:szCs w:val="24"/>
        </w:rPr>
        <w:t>1-2</w:t>
      </w:r>
      <w:r>
        <w:rPr>
          <w:rFonts w:hint="eastAsia"/>
          <w:szCs w:val="24"/>
        </w:rPr>
        <w:t>公斤，或带汤瘦羊肉</w:t>
      </w:r>
      <w:r>
        <w:rPr>
          <w:szCs w:val="24"/>
        </w:rPr>
        <w:t>2-3</w:t>
      </w:r>
      <w:r>
        <w:rPr>
          <w:rFonts w:hint="eastAsia"/>
          <w:szCs w:val="24"/>
        </w:rPr>
        <w:t>公斤。</w:t>
      </w:r>
    </w:p>
    <w:p w14:paraId="38154D8A">
      <w:pPr>
        <w:spacing w:line="480" w:lineRule="exact"/>
        <w:ind w:firstLine="480"/>
        <w:rPr>
          <w:szCs w:val="24"/>
        </w:rPr>
      </w:pPr>
      <w:r>
        <w:rPr>
          <w:rFonts w:hint="eastAsia"/>
          <w:szCs w:val="24"/>
        </w:rPr>
        <w:t>对于舍饲种公驼，配种期日粮，则接每</w:t>
      </w:r>
      <w:r>
        <w:rPr>
          <w:szCs w:val="24"/>
        </w:rPr>
        <w:t>100</w:t>
      </w:r>
      <w:r>
        <w:rPr>
          <w:rFonts w:hint="eastAsia"/>
          <w:szCs w:val="24"/>
        </w:rPr>
        <w:t>公斤活重，喂饲优良干草</w:t>
      </w:r>
      <w:r>
        <w:rPr>
          <w:szCs w:val="24"/>
        </w:rPr>
        <w:t>0.8-1.2</w:t>
      </w:r>
      <w:r>
        <w:rPr>
          <w:rFonts w:hint="eastAsia"/>
          <w:szCs w:val="24"/>
        </w:rPr>
        <w:t>公斤，多汁饲料</w:t>
      </w:r>
      <w:r>
        <w:rPr>
          <w:szCs w:val="24"/>
        </w:rPr>
        <w:t>1.0-1.5</w:t>
      </w:r>
      <w:r>
        <w:rPr>
          <w:rFonts w:hint="eastAsia"/>
          <w:szCs w:val="24"/>
        </w:rPr>
        <w:t>公斤，混合精料</w:t>
      </w:r>
      <w:r>
        <w:rPr>
          <w:szCs w:val="24"/>
        </w:rPr>
        <w:t>0.5-1.0</w:t>
      </w:r>
      <w:r>
        <w:rPr>
          <w:rFonts w:hint="eastAsia"/>
          <w:szCs w:val="24"/>
        </w:rPr>
        <w:t>公斤，以及相应数量的食盐和钙、磷，进行饲养。</w:t>
      </w:r>
    </w:p>
    <w:p w14:paraId="244C6CF8">
      <w:pPr>
        <w:spacing w:line="480" w:lineRule="exact"/>
        <w:ind w:firstLine="480"/>
        <w:rPr>
          <w:szCs w:val="24"/>
        </w:rPr>
      </w:pPr>
      <w:r>
        <w:rPr>
          <w:rFonts w:hint="eastAsia"/>
          <w:szCs w:val="24"/>
        </w:rPr>
        <w:t>在配种期里，骆驼食欲大为减少，腹部上卷，随着配种日数的增加，体力消耗很大，为了不影响配种受胎，除细心管理外，必须严格控制配种次数，每日不应超过两次，每周应停止配种一天。</w:t>
      </w:r>
    </w:p>
    <w:p w14:paraId="22FD24A9">
      <w:pPr>
        <w:spacing w:line="480" w:lineRule="exact"/>
        <w:ind w:firstLine="480"/>
        <w:rPr>
          <w:szCs w:val="24"/>
        </w:rPr>
      </w:pPr>
      <w:r>
        <w:rPr>
          <w:rFonts w:hint="eastAsia"/>
          <w:szCs w:val="24"/>
        </w:rPr>
        <w:t>骆驼配种应在早晨或白天进行，晚上归牧后，将种公驼分开拴系，距母驼要有一定距离并给予补饲。配种场地不宜人多，应保持安静，一般公驼交配不需要辅助，唯遇到特殊的性情凶暴的公驼时，应有人在旁，以便临时进行辅助。运输途中若发现有发情母驼，卸驮后即行配种，最易受胎。</w:t>
      </w:r>
    </w:p>
    <w:p w14:paraId="64743492">
      <w:pPr>
        <w:spacing w:line="480" w:lineRule="exact"/>
        <w:ind w:firstLine="480"/>
        <w:rPr>
          <w:szCs w:val="24"/>
        </w:rPr>
      </w:pPr>
      <w:r>
        <w:rPr>
          <w:rFonts w:hint="eastAsia"/>
          <w:szCs w:val="24"/>
        </w:rPr>
        <w:t>配种结束后，四月中旬应剪去嗉毛，鬃毛和肘毛，除去笼头并编入骟驼群，进行收毛和夏秋的放牧管理。</w:t>
      </w:r>
    </w:p>
    <w:p w14:paraId="5911A253">
      <w:pPr>
        <w:spacing w:line="480" w:lineRule="exact"/>
        <w:ind w:firstLine="480"/>
        <w:rPr>
          <w:szCs w:val="24"/>
        </w:rPr>
      </w:pPr>
      <w:r>
        <w:rPr>
          <w:szCs w:val="24"/>
        </w:rPr>
        <w:t>4</w:t>
      </w:r>
      <w:r>
        <w:rPr>
          <w:rFonts w:hint="eastAsia"/>
          <w:szCs w:val="24"/>
        </w:rPr>
        <w:t>）初生驼羔的护理技术</w:t>
      </w:r>
    </w:p>
    <w:p w14:paraId="148D2977">
      <w:pPr>
        <w:spacing w:line="480" w:lineRule="exact"/>
        <w:ind w:firstLine="480"/>
        <w:rPr>
          <w:szCs w:val="24"/>
        </w:rPr>
      </w:pPr>
      <w:r>
        <w:rPr>
          <w:rFonts w:hint="eastAsia"/>
          <w:szCs w:val="24"/>
        </w:rPr>
        <w:t>初生驼羔的体重较小，一般只</w:t>
      </w:r>
      <w:r>
        <w:rPr>
          <w:szCs w:val="24"/>
        </w:rPr>
        <w:t>35-45</w:t>
      </w:r>
      <w:r>
        <w:rPr>
          <w:rFonts w:hint="eastAsia"/>
          <w:szCs w:val="24"/>
        </w:rPr>
        <w:t>公斤，个别初生重能达</w:t>
      </w:r>
      <w:r>
        <w:rPr>
          <w:szCs w:val="24"/>
        </w:rPr>
        <w:t>60</w:t>
      </w:r>
      <w:r>
        <w:rPr>
          <w:rFonts w:hint="eastAsia"/>
          <w:szCs w:val="24"/>
        </w:rPr>
        <w:t>公斤。与其母体比较，只占母驼活重的</w:t>
      </w:r>
      <w:r>
        <w:rPr>
          <w:szCs w:val="24"/>
        </w:rPr>
        <w:t>5-7%</w:t>
      </w:r>
      <w:r>
        <w:rPr>
          <w:rFonts w:hint="eastAsia"/>
          <w:szCs w:val="24"/>
        </w:rPr>
        <w:t>，所以初生驼羔一般较弱，往往步态踉跄，不能很好站立，而且生后十天内的体温调节酶的活动以及各组织器官的机能也很不健全。因此，必须加强护理。由于母驼不舐羔，所以接羔员应该用干布将口腔和头部天然孔的粘液擦净，撕去体外的套膜，擦干被毛，消毒脐带，用毡片包着胸腹，并将驼羔放在铺有干粪末的地上，晚上或恶劣天气，可将驼羔放入接羔棚中。</w:t>
      </w:r>
    </w:p>
    <w:p w14:paraId="067C6F82">
      <w:pPr>
        <w:spacing w:line="480" w:lineRule="exact"/>
        <w:ind w:firstLine="480"/>
        <w:rPr>
          <w:szCs w:val="24"/>
        </w:rPr>
      </w:pPr>
      <w:r>
        <w:rPr>
          <w:rFonts w:hint="eastAsia"/>
          <w:szCs w:val="24"/>
        </w:rPr>
        <w:t>第一次哺乳是在出生后</w:t>
      </w:r>
      <w:r>
        <w:rPr>
          <w:szCs w:val="24"/>
        </w:rPr>
        <w:t>2-3</w:t>
      </w:r>
      <w:r>
        <w:rPr>
          <w:rFonts w:hint="eastAsia"/>
          <w:szCs w:val="24"/>
        </w:rPr>
        <w:t>小时进行人工辅助。在哺乳前应洗净母驼乳房，并挤去最初几滴初乳。为了促进胎粪排出，可在哺乳之前给驼羔灌服</w:t>
      </w:r>
      <w:r>
        <w:rPr>
          <w:szCs w:val="24"/>
        </w:rPr>
        <w:t>80-120</w:t>
      </w:r>
      <w:r>
        <w:rPr>
          <w:rFonts w:hint="eastAsia"/>
          <w:szCs w:val="24"/>
        </w:rPr>
        <w:t>克蓖麻油或清油。第二次哺乳是在第一次哺乳后的</w:t>
      </w:r>
      <w:r>
        <w:rPr>
          <w:szCs w:val="24"/>
        </w:rPr>
        <w:t>3-4</w:t>
      </w:r>
      <w:r>
        <w:rPr>
          <w:rFonts w:hint="eastAsia"/>
          <w:szCs w:val="24"/>
        </w:rPr>
        <w:t>小时进行。以后哺乳，不论白天晚上，最好每三小时让母驼授乳一次。对于泌乳量较高的母驼，可每日早晚各挤乳一次，以防止驼羔过食，引起消化失调。</w:t>
      </w:r>
    </w:p>
    <w:p w14:paraId="6ECE8752">
      <w:pPr>
        <w:spacing w:line="480" w:lineRule="exact"/>
        <w:ind w:firstLine="480"/>
        <w:rPr>
          <w:szCs w:val="24"/>
        </w:rPr>
      </w:pPr>
      <w:r>
        <w:rPr>
          <w:rFonts w:hint="eastAsia"/>
          <w:szCs w:val="24"/>
        </w:rPr>
        <w:t>有少数初产母驼不认羔，帮助哺乳的方法是：用绳将它的一条后腿拴在重袋上或桩上，把母驼稍向前牵，这条后腿被拉向后，就可在同侧帮助驼羔吮乳，经过三、四天后，母驼即能认羔。</w:t>
      </w:r>
    </w:p>
    <w:p w14:paraId="042A3E5E">
      <w:pPr>
        <w:spacing w:line="480" w:lineRule="exact"/>
        <w:ind w:firstLine="480"/>
        <w:rPr>
          <w:rFonts w:cs="宋体"/>
          <w:szCs w:val="24"/>
        </w:rPr>
      </w:pPr>
      <w:r>
        <w:rPr>
          <w:szCs w:val="24"/>
        </w:rPr>
        <w:t>2</w:t>
      </w:r>
      <w:r>
        <w:rPr>
          <w:rFonts w:cs="宋体"/>
          <w:szCs w:val="24"/>
        </w:rPr>
        <w:t>、</w:t>
      </w:r>
      <w:r>
        <w:rPr>
          <w:rFonts w:hint="eastAsia" w:cs="宋体"/>
          <w:szCs w:val="24"/>
        </w:rPr>
        <w:t>粪便堆肥工艺流程</w:t>
      </w:r>
    </w:p>
    <w:p w14:paraId="33495DAD">
      <w:pPr>
        <w:spacing w:line="480" w:lineRule="exact"/>
        <w:ind w:firstLine="480"/>
        <w:rPr>
          <w:rFonts w:cs="宋体"/>
          <w:szCs w:val="24"/>
        </w:rPr>
      </w:pPr>
      <w:r>
        <w:rPr>
          <w:rFonts w:hint="eastAsia" w:cs="宋体"/>
          <w:szCs w:val="24"/>
        </w:rPr>
        <w:t>条垛翻堆供氧堆肥工艺</w:t>
      </w:r>
    </w:p>
    <w:p w14:paraId="209B77F0">
      <w:pPr>
        <w:spacing w:line="480" w:lineRule="exact"/>
        <w:ind w:firstLine="480"/>
        <w:rPr>
          <w:rFonts w:cs="宋体"/>
          <w:szCs w:val="24"/>
        </w:rPr>
      </w:pPr>
      <w:r>
        <w:rPr>
          <w:rFonts w:hint="eastAsia" w:cs="宋体"/>
          <w:szCs w:val="24"/>
        </w:rPr>
        <w:t>项目在发酵区的地面进行条堆肥，设置1条发酵条垛，每条规模为60x2m，高1.5m，地面进行硬化、防渗。条垛翻堆供氧堆肥原理:通过喷洒复合发酵菌后，在好氧条件下，好氧细菌对有机物进行吸收、氧化、分解。微生物通过自身的生命活动，把一部分被吸收的有机物氧化成简单的无机物，同时释放出可供微生物生长活动所需的能量，而另一部分有机物则被合成新的细胞质，使微生物不断生长繁殖,产生更多的生物体的过程。在有机物生化降解的同时,伴有热量产生因堆肥工艺中该热能不会全部散发到环境中,就必然造成堆肥物料的温度升高，这样，就会使一些不耐高温的微生物死亡，耐高温的细菌快速繁殖。生态动力学表明，好氧分解中发挥主要作用的是菌体硕大、性能活泼的热细菌群，该菌群在大量氧分子存在下将有机物氧化分解，同时释放出大量的能量</w:t>
      </w:r>
    </w:p>
    <w:p w14:paraId="0754ED9C">
      <w:pPr>
        <w:spacing w:line="480" w:lineRule="exact"/>
        <w:ind w:firstLine="480"/>
        <w:rPr>
          <w:rFonts w:cs="宋体"/>
          <w:szCs w:val="24"/>
        </w:rPr>
      </w:pPr>
      <w:r>
        <w:rPr>
          <w:rFonts w:hint="eastAsia" w:cs="宋体"/>
          <w:szCs w:val="24"/>
        </w:rPr>
        <w:t>据此，好氧堆肥过程应伴随着两次发酵:</w:t>
      </w:r>
    </w:p>
    <w:p w14:paraId="602C2EB8">
      <w:pPr>
        <w:spacing w:line="480" w:lineRule="exact"/>
        <w:ind w:firstLine="480"/>
        <w:rPr>
          <w:rFonts w:cs="宋体"/>
          <w:szCs w:val="24"/>
        </w:rPr>
      </w:pPr>
      <w:r>
        <w:rPr>
          <w:rFonts w:hint="eastAsia" w:cs="宋体"/>
          <w:szCs w:val="24"/>
        </w:rPr>
        <w:t>第一次发酵:持续1~2天。发酵持续几小时后微生物活动能力开始增强，产热量逐渐增加，此阶段微生物以中温、需氧型为主，种类较多，其中最主要的有细菌、真菌和放线菌，它们利用好氧发酵中可溶性有机物进行微生物繁殖，在转换和利用化学能的过程中，有一部分变成热能，使温度不断上升。当堆体温度升至某一温度点后其升温速率明显变大，堆温上升非常迅速，温度可达45℃。</w:t>
      </w:r>
    </w:p>
    <w:p w14:paraId="4726C839">
      <w:pPr>
        <w:spacing w:line="480" w:lineRule="exact"/>
        <w:ind w:firstLine="480"/>
        <w:rPr>
          <w:rFonts w:cs="宋体"/>
          <w:szCs w:val="24"/>
        </w:rPr>
      </w:pPr>
      <w:r>
        <w:rPr>
          <w:rFonts w:hint="eastAsia" w:cs="宋体"/>
          <w:szCs w:val="24"/>
        </w:rPr>
        <w:t>持续6~7天。随着堆体热量的积累，温度逐渐上升到50℃以上，即进入了高温阶段。耐高温细菌迅速繁殖，在有氧条件下，大部分难降解的蛋白质、纤维等继续被氧化分解，同时放出大量热能，使温度上升至60~70℃此时，好热性的微生物如纤维素分解氧化菌逐渐代替了中温微生物的活动，堆体中残留的有机物继续被分解氧化,一些复杂的有机物如纤维素等也开始得到分解，病原菌、寄生虫卵与病毒被杀灭。</w:t>
      </w:r>
    </w:p>
    <w:p w14:paraId="7DE46199">
      <w:pPr>
        <w:spacing w:line="480" w:lineRule="exact"/>
        <w:ind w:firstLine="480"/>
        <w:rPr>
          <w:rFonts w:cs="宋体"/>
          <w:szCs w:val="24"/>
        </w:rPr>
      </w:pPr>
      <w:r>
        <w:rPr>
          <w:rFonts w:hint="eastAsia" w:cs="宋体"/>
          <w:szCs w:val="24"/>
        </w:rPr>
        <w:t>第二次发酵:当温度上升至60~70℃时(约发酵阶段的第四天)，用移动式翻抛机沿堆肥轨道进行一次翻抛工作,翻抛的目的主要为:①排出水分:在温度作用下，水会变成水蒸气，温度越高汽化量越大，通过翻抛，将水分带出，减少堆肥物料中的含水率。否则，水蒸气会变成液态水存在物料中含水率高，密度增加，透气性就差，氧气含量减少，使处理过程变为厌氧状态;②通风供氧:在堆垛的物料中，越疏松空隙越大，含气体的量越大，相应的氧含量也越大，通过翻抛搅拌，加大置换面积，减少置换阻力，可有效的排除硫化氢、氨气等气体，并补入新鲜空气。当有机物基本降解完，热菌因缺乏养料而停止生长，产热随之停止。堆体的温度逐渐下降，当温度稳定在40℃，堆肥基本达到稳定，形成腐植质。持续12~13天。也叫二次堆肥，用翻抛机将温度稳定的污泥推至熟化区进行熟化，熟化区堆肥堆至2~3m高，在内源呼吸后期，只剩下部分较难分解及难分解的有机物和新形成的腐植质，此时，微生物活性下降，产热量减少，温度下降，在此阶段温微生物又占优势，残余较难分解的有机物可进一步分解，腐植质不断增多且趋于稳定，发酵物孔隙增大，二次堆肥12~13天后，完成有机物完全降解工作，转变为稳定的腐植质，异味消失，含水率降为30%，好氧发酵已完全腐熟。</w:t>
      </w:r>
    </w:p>
    <w:p w14:paraId="0EEBD534">
      <w:pPr>
        <w:spacing w:line="480" w:lineRule="exact"/>
        <w:ind w:firstLine="480"/>
        <w:rPr>
          <w:rFonts w:cs="宋体"/>
          <w:szCs w:val="24"/>
        </w:rPr>
      </w:pPr>
      <w:r>
        <w:rPr>
          <w:rFonts w:hint="eastAsia" w:cs="宋体"/>
          <w:szCs w:val="24"/>
        </w:rPr>
        <w:t>根据骆驼生活习性。本项目骆驼粪便含水量极低，在有机肥发酵过程中产生少量的渗滤液，渗滤液经收集管收集后排入防渗化粪池中，同生活污水定期拉运至木垒县污水处理厂处理。</w:t>
      </w:r>
    </w:p>
    <w:p w14:paraId="3F929373">
      <w:pPr>
        <w:spacing w:line="480" w:lineRule="exact"/>
        <w:ind w:firstLine="480"/>
        <w:rPr>
          <w:rFonts w:cs="宋体"/>
          <w:szCs w:val="24"/>
        </w:rPr>
      </w:pPr>
      <w:r>
        <w:rPr>
          <w:rFonts w:hint="eastAsia" w:cs="宋体"/>
          <w:szCs w:val="24"/>
        </w:rPr>
        <w:t>本项目设置堆肥场1座，面积为2000m</w:t>
      </w:r>
      <w:r>
        <w:rPr>
          <w:rFonts w:hint="eastAsia" w:cs="宋体"/>
          <w:szCs w:val="24"/>
          <w:vertAlign w:val="superscript"/>
        </w:rPr>
        <w:t>2</w:t>
      </w:r>
      <w:r>
        <w:rPr>
          <w:rFonts w:hint="eastAsia" w:cs="宋体"/>
          <w:szCs w:val="24"/>
        </w:rPr>
        <w:t>，对堆肥场地面进行硬化防渗处理。</w:t>
      </w:r>
    </w:p>
    <w:p w14:paraId="752F818F">
      <w:pPr>
        <w:spacing w:line="480" w:lineRule="exact"/>
        <w:ind w:firstLine="480"/>
        <w:rPr>
          <w:rFonts w:cs="宋体"/>
          <w:szCs w:val="24"/>
        </w:rPr>
      </w:pPr>
      <w:r>
        <w:rPr>
          <w:rFonts w:hint="eastAsia" w:cs="宋体"/>
          <w:szCs w:val="24"/>
        </w:rPr>
        <w:t>种养结合的养殖场，贮存池的贮存期不得低于当地农作物生产用肥的最大间隔时间和冬季封冻期或雨季最长降雨期，根据本项目堆肥发酵的技术特点及当地情况，本项目发酵后的有机肥在项目区内最大贮存天数为20d。堆肥场的结构应符合《畜禽粪便贮存设施设计要求》（GB/T27622-2011）的有关规定，具有防渗漏功能，不得污染地下水，对易侵蚀的部位，应按照GB50046的规定采取相应的防腐蚀措施。冬季产生的骆驼粪便堆放于堆肥场暂存，等第二年发酵后做为有机肥处理。</w:t>
      </w:r>
    </w:p>
    <w:p w14:paraId="3A8A4289">
      <w:pPr>
        <w:spacing w:line="480" w:lineRule="exact"/>
        <w:ind w:firstLine="480"/>
        <w:rPr>
          <w:rFonts w:cs="宋体"/>
          <w:szCs w:val="24"/>
        </w:rPr>
      </w:pPr>
      <w:r>
        <w:rPr>
          <w:szCs w:val="24"/>
        </w:rPr>
        <w:t>3</w:t>
      </w:r>
      <w:r>
        <w:rPr>
          <w:rFonts w:cs="宋体"/>
          <w:szCs w:val="24"/>
        </w:rPr>
        <w:t>、废水的处理</w:t>
      </w:r>
    </w:p>
    <w:p w14:paraId="652757B6">
      <w:pPr>
        <w:spacing w:line="480" w:lineRule="exact"/>
        <w:ind w:firstLine="480"/>
        <w:rPr>
          <w:rFonts w:cs="宋体"/>
          <w:szCs w:val="24"/>
        </w:rPr>
      </w:pPr>
      <w:r>
        <w:rPr>
          <w:rFonts w:hint="eastAsia" w:cs="宋体"/>
          <w:szCs w:val="24"/>
          <w:lang w:val="en-US" w:eastAsia="zh-CN"/>
        </w:rPr>
        <w:t>渗滤液同</w:t>
      </w:r>
      <w:r>
        <w:rPr>
          <w:rFonts w:cs="宋体"/>
          <w:szCs w:val="24"/>
        </w:rPr>
        <w:t>生活污水</w:t>
      </w:r>
      <w:r>
        <w:rPr>
          <w:rFonts w:hint="eastAsia"/>
        </w:rPr>
        <w:t>排入防渗化粪池，由木垒县污水处理厂处理</w:t>
      </w:r>
      <w:r>
        <w:rPr>
          <w:rFonts w:cs="宋体"/>
          <w:szCs w:val="24"/>
        </w:rPr>
        <w:t>，最终进入</w:t>
      </w:r>
      <w:r>
        <w:rPr>
          <w:rFonts w:hint="eastAsia" w:cs="宋体"/>
          <w:szCs w:val="24"/>
        </w:rPr>
        <w:t>木垒县</w:t>
      </w:r>
      <w:r>
        <w:rPr>
          <w:rFonts w:cs="宋体"/>
          <w:szCs w:val="24"/>
        </w:rPr>
        <w:t>城污水处理厂</w:t>
      </w:r>
      <w:r>
        <w:rPr>
          <w:rFonts w:hint="eastAsia" w:cs="宋体"/>
          <w:szCs w:val="24"/>
        </w:rPr>
        <w:t>。</w:t>
      </w:r>
    </w:p>
    <w:p w14:paraId="315CC812">
      <w:pPr>
        <w:pStyle w:val="6"/>
        <w:ind w:firstLine="482"/>
      </w:pPr>
      <w:r>
        <w:rPr>
          <w:rFonts w:hint="eastAsia"/>
        </w:rPr>
        <w:t>3.2.2.2产物节点分析</w:t>
      </w:r>
    </w:p>
    <w:p w14:paraId="4F74240B">
      <w:pPr>
        <w:ind w:firstLine="480"/>
      </w:pPr>
      <w:r>
        <w:rPr>
          <w:rFonts w:hint="eastAsia"/>
        </w:rPr>
        <w:t>（</w:t>
      </w:r>
      <w:r>
        <w:t>1</w:t>
      </w:r>
      <w:r>
        <w:rPr>
          <w:rFonts w:hint="eastAsia"/>
        </w:rPr>
        <w:t>）</w:t>
      </w:r>
      <w:r>
        <w:t>废气：</w:t>
      </w:r>
      <w:r>
        <w:rPr>
          <w:rFonts w:hint="eastAsia"/>
        </w:rPr>
        <w:t>骆驼圈舍</w:t>
      </w:r>
      <w:r>
        <w:t>养殖</w:t>
      </w:r>
      <w:r>
        <w:rPr>
          <w:rFonts w:hint="eastAsia"/>
        </w:rPr>
        <w:t>和堆肥场</w:t>
      </w:r>
      <w:r>
        <w:t>恶臭；</w:t>
      </w:r>
    </w:p>
    <w:p w14:paraId="35979B1B">
      <w:pPr>
        <w:ind w:firstLine="480"/>
        <w:rPr>
          <w:color w:val="FF0000"/>
        </w:rPr>
      </w:pPr>
      <w:r>
        <w:rPr>
          <w:rFonts w:hint="eastAsia"/>
          <w:color w:val="FF0000"/>
        </w:rPr>
        <w:t>（</w:t>
      </w:r>
      <w:r>
        <w:rPr>
          <w:color w:val="FF0000"/>
        </w:rPr>
        <w:t>2</w:t>
      </w:r>
      <w:r>
        <w:rPr>
          <w:rFonts w:hint="eastAsia"/>
          <w:color w:val="FF0000"/>
        </w:rPr>
        <w:t>）</w:t>
      </w:r>
      <w:r>
        <w:rPr>
          <w:color w:val="FF0000"/>
        </w:rPr>
        <w:t>废水：职工生活污水</w:t>
      </w:r>
      <w:r>
        <w:rPr>
          <w:rFonts w:hint="eastAsia"/>
          <w:color w:val="FF0000"/>
          <w:lang w:eastAsia="zh-CN"/>
        </w:rPr>
        <w:t>、</w:t>
      </w:r>
      <w:r>
        <w:rPr>
          <w:rFonts w:hint="eastAsia"/>
          <w:color w:val="FF0000"/>
          <w:lang w:val="en-US" w:eastAsia="zh-CN"/>
        </w:rPr>
        <w:t>渗滤液</w:t>
      </w:r>
      <w:r>
        <w:rPr>
          <w:color w:val="FF0000"/>
        </w:rPr>
        <w:t>；</w:t>
      </w:r>
    </w:p>
    <w:p w14:paraId="14261DDF">
      <w:pPr>
        <w:ind w:firstLine="480"/>
      </w:pPr>
      <w:r>
        <w:rPr>
          <w:rFonts w:hint="eastAsia"/>
        </w:rPr>
        <w:t>（</w:t>
      </w:r>
      <w:r>
        <w:t>3</w:t>
      </w:r>
      <w:r>
        <w:rPr>
          <w:rFonts w:hint="eastAsia"/>
        </w:rPr>
        <w:t>）</w:t>
      </w:r>
      <w:r>
        <w:t>噪声：设备噪声；</w:t>
      </w:r>
    </w:p>
    <w:p w14:paraId="1554BD4B">
      <w:pPr>
        <w:ind w:firstLine="480"/>
      </w:pPr>
      <w:r>
        <w:rPr>
          <w:rFonts w:hint="eastAsia"/>
        </w:rPr>
        <w:t>（</w:t>
      </w:r>
      <w:r>
        <w:t>4</w:t>
      </w:r>
      <w:r>
        <w:rPr>
          <w:rFonts w:hint="eastAsia"/>
        </w:rPr>
        <w:t>）</w:t>
      </w:r>
      <w:r>
        <w:t>固体废物：</w:t>
      </w:r>
      <w:r>
        <w:rPr>
          <w:rFonts w:hint="eastAsia"/>
        </w:rPr>
        <w:t>粪便</w:t>
      </w:r>
      <w:r>
        <w:t>，</w:t>
      </w:r>
      <w:r>
        <w:rPr>
          <w:rFonts w:hint="eastAsia"/>
        </w:rPr>
        <w:t>病死骆驼</w:t>
      </w:r>
      <w:r>
        <w:t>，废弃包装物、生活垃圾、医疗废物</w:t>
      </w:r>
      <w:r>
        <w:rPr>
          <w:rFonts w:hint="eastAsia"/>
        </w:rPr>
        <w:t>。</w:t>
      </w:r>
    </w:p>
    <w:p w14:paraId="6EEEB272">
      <w:pPr>
        <w:pStyle w:val="4"/>
      </w:pPr>
      <w:bookmarkStart w:id="92" w:name="_Toc30834"/>
      <w:bookmarkStart w:id="93" w:name="_Toc414533970"/>
      <w:bookmarkStart w:id="94" w:name="_Toc428807952"/>
      <w:bookmarkStart w:id="95" w:name="_Toc394331577"/>
      <w:bookmarkStart w:id="96" w:name="_Toc89619335"/>
      <w:bookmarkStart w:id="97" w:name="_Toc17579"/>
      <w:r>
        <w:t>3.</w:t>
      </w:r>
      <w:bookmarkEnd w:id="92"/>
      <w:bookmarkEnd w:id="93"/>
      <w:bookmarkEnd w:id="94"/>
      <w:bookmarkEnd w:id="95"/>
      <w:r>
        <w:rPr>
          <w:rFonts w:hint="eastAsia"/>
        </w:rPr>
        <w:t>3污染源源强分析</w:t>
      </w:r>
      <w:bookmarkEnd w:id="96"/>
      <w:bookmarkEnd w:id="97"/>
    </w:p>
    <w:p w14:paraId="5640B533">
      <w:pPr>
        <w:pStyle w:val="5"/>
      </w:pPr>
      <w:bookmarkStart w:id="98" w:name="_Toc106663471"/>
      <w:r>
        <w:t>3.</w:t>
      </w:r>
      <w:r>
        <w:rPr>
          <w:rFonts w:hint="eastAsia"/>
        </w:rPr>
        <w:t>3</w:t>
      </w:r>
      <w:r>
        <w:t>.1施工期</w:t>
      </w:r>
      <w:r>
        <w:rPr>
          <w:rFonts w:hint="eastAsia"/>
        </w:rPr>
        <w:t>污染源强</w:t>
      </w:r>
      <w:r>
        <w:t>分析</w:t>
      </w:r>
      <w:bookmarkEnd w:id="98"/>
    </w:p>
    <w:p w14:paraId="0B74540D">
      <w:pPr>
        <w:pStyle w:val="6"/>
        <w:ind w:firstLine="482"/>
      </w:pPr>
      <w:r>
        <w:rPr>
          <w:rFonts w:hint="eastAsia"/>
        </w:rPr>
        <w:t>3.3.1.1施工期大气污染源</w:t>
      </w:r>
    </w:p>
    <w:p w14:paraId="08C92721">
      <w:pPr>
        <w:ind w:firstLine="480"/>
      </w:pPr>
      <w:r>
        <w:rPr>
          <w:rFonts w:hint="eastAsia"/>
        </w:rPr>
        <w:t>施工期间影响环境空气质量的主要污染物是施工扬尘、运送施工材料、设施的车辆，施工机械运行时排产生的废气。</w:t>
      </w:r>
    </w:p>
    <w:p w14:paraId="27EEDD81">
      <w:pPr>
        <w:ind w:firstLine="480"/>
      </w:pPr>
      <w:r>
        <w:rPr>
          <w:rFonts w:hint="eastAsia"/>
        </w:rPr>
        <w:t>（1）施工扬尘</w:t>
      </w:r>
    </w:p>
    <w:p w14:paraId="11B46067">
      <w:pPr>
        <w:ind w:firstLine="480"/>
      </w:pPr>
      <w:r>
        <w:rPr>
          <w:rFonts w:hint="eastAsia"/>
        </w:rPr>
        <w:t>主体工程、辅助工程、公用工程基础施工、环保工程等的土建挖取土（石）、推土、场地平整、施工沙石材料等的装卸、运输过程中有扬尘产生，另外土石方的临时堆放过程中也将有扬尘产生。扬尘产生的大小与施工管理、气象（特别是风速）条件等密切相关，也与扬尘本身沉降速度有关。</w:t>
      </w:r>
    </w:p>
    <w:p w14:paraId="4FE30E48">
      <w:pPr>
        <w:ind w:firstLine="480"/>
      </w:pPr>
      <w:r>
        <w:rPr>
          <w:rFonts w:hint="eastAsia"/>
        </w:rPr>
        <w:t>①土石方施工及堆放扬尘</w:t>
      </w:r>
    </w:p>
    <w:p w14:paraId="54A7C934">
      <w:pPr>
        <w:ind w:firstLine="480"/>
      </w:pPr>
      <w:r>
        <w:rPr>
          <w:rFonts w:hint="eastAsia"/>
        </w:rPr>
        <w:t>项目施工期间静态起尘主要是土石方施工及堆放过程中土方开挖、回填过程中产生的扬尘以及临时土石方、建筑垃圾等堆放过程中因风力作用引起的扬尘，另外，在施工时地表清理、施工后临时土石方、弃方清理后将造成地表裸露，在风力作用下，亦可产生扬尘。由前述可知，此类扬尘产生量与气象风速、扬尘沉降速度有关，不同粒径扬尘的沉降速度见表3.3-1。</w:t>
      </w:r>
    </w:p>
    <w:p w14:paraId="43DEC30E">
      <w:pPr>
        <w:pStyle w:val="11"/>
        <w:spacing w:before="0" w:after="0"/>
      </w:pPr>
      <w:r>
        <w:rPr>
          <w:rFonts w:hint="eastAsia"/>
        </w:rPr>
        <w:t>表3.3-1不同粒径扬尘沉降速度一览表</w:t>
      </w:r>
    </w:p>
    <w:tbl>
      <w:tblPr>
        <w:tblStyle w:val="6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986"/>
        <w:gridCol w:w="921"/>
        <w:gridCol w:w="857"/>
        <w:gridCol w:w="863"/>
        <w:gridCol w:w="1066"/>
        <w:gridCol w:w="1066"/>
        <w:gridCol w:w="1066"/>
      </w:tblGrid>
      <w:tr w14:paraId="191B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53EDD0E4">
            <w:pPr>
              <w:widowControl/>
              <w:snapToGrid w:val="0"/>
              <w:spacing w:line="240" w:lineRule="auto"/>
              <w:ind w:firstLine="0" w:firstLineChars="0"/>
              <w:jc w:val="center"/>
              <w:rPr>
                <w:sz w:val="21"/>
                <w:szCs w:val="21"/>
                <w:lang w:bidi="en-US"/>
              </w:rPr>
            </w:pPr>
            <w:r>
              <w:rPr>
                <w:rFonts w:hint="eastAsia"/>
                <w:sz w:val="21"/>
                <w:szCs w:val="21"/>
                <w:lang w:bidi="en-US"/>
              </w:rPr>
              <w:t>粉尘粒径（</w:t>
            </w:r>
            <w:r>
              <w:rPr>
                <w:rFonts w:hint="eastAsia"/>
                <w:sz w:val="21"/>
                <w:szCs w:val="21"/>
                <w:lang w:eastAsia="en-US" w:bidi="en-US"/>
              </w:rPr>
              <w:t>μm</w:t>
            </w:r>
            <w:r>
              <w:rPr>
                <w:rFonts w:hint="eastAsia"/>
                <w:sz w:val="21"/>
                <w:szCs w:val="21"/>
                <w:lang w:bidi="en-US"/>
              </w:rPr>
              <w:t>）</w:t>
            </w:r>
          </w:p>
        </w:tc>
        <w:tc>
          <w:tcPr>
            <w:tcW w:w="986" w:type="dxa"/>
            <w:vAlign w:val="center"/>
          </w:tcPr>
          <w:p w14:paraId="6573AEBD">
            <w:pPr>
              <w:widowControl/>
              <w:snapToGrid w:val="0"/>
              <w:spacing w:line="240" w:lineRule="auto"/>
              <w:ind w:firstLine="0" w:firstLineChars="0"/>
              <w:jc w:val="center"/>
              <w:rPr>
                <w:sz w:val="21"/>
                <w:szCs w:val="21"/>
                <w:lang w:bidi="en-US"/>
              </w:rPr>
            </w:pPr>
            <w:r>
              <w:rPr>
                <w:rFonts w:hint="eastAsia"/>
                <w:sz w:val="21"/>
                <w:szCs w:val="21"/>
                <w:lang w:bidi="en-US"/>
              </w:rPr>
              <w:t>10</w:t>
            </w:r>
          </w:p>
        </w:tc>
        <w:tc>
          <w:tcPr>
            <w:tcW w:w="921" w:type="dxa"/>
            <w:vAlign w:val="center"/>
          </w:tcPr>
          <w:p w14:paraId="220388CA">
            <w:pPr>
              <w:widowControl/>
              <w:snapToGrid w:val="0"/>
              <w:spacing w:line="240" w:lineRule="auto"/>
              <w:ind w:firstLine="0" w:firstLineChars="0"/>
              <w:jc w:val="center"/>
              <w:rPr>
                <w:sz w:val="21"/>
                <w:szCs w:val="21"/>
                <w:lang w:bidi="en-US"/>
              </w:rPr>
            </w:pPr>
            <w:r>
              <w:rPr>
                <w:rFonts w:hint="eastAsia"/>
                <w:sz w:val="21"/>
                <w:szCs w:val="21"/>
                <w:lang w:bidi="en-US"/>
              </w:rPr>
              <w:t>20</w:t>
            </w:r>
          </w:p>
        </w:tc>
        <w:tc>
          <w:tcPr>
            <w:tcW w:w="857" w:type="dxa"/>
            <w:vAlign w:val="center"/>
          </w:tcPr>
          <w:p w14:paraId="7CA37815">
            <w:pPr>
              <w:widowControl/>
              <w:snapToGrid w:val="0"/>
              <w:spacing w:line="240" w:lineRule="auto"/>
              <w:ind w:firstLine="0" w:firstLineChars="0"/>
              <w:jc w:val="center"/>
              <w:rPr>
                <w:sz w:val="21"/>
                <w:szCs w:val="21"/>
                <w:lang w:bidi="en-US"/>
              </w:rPr>
            </w:pPr>
            <w:r>
              <w:rPr>
                <w:rFonts w:hint="eastAsia"/>
                <w:sz w:val="21"/>
                <w:szCs w:val="21"/>
                <w:lang w:bidi="en-US"/>
              </w:rPr>
              <w:t>30</w:t>
            </w:r>
          </w:p>
        </w:tc>
        <w:tc>
          <w:tcPr>
            <w:tcW w:w="863" w:type="dxa"/>
            <w:vAlign w:val="center"/>
          </w:tcPr>
          <w:p w14:paraId="2642C181">
            <w:pPr>
              <w:widowControl/>
              <w:snapToGrid w:val="0"/>
              <w:spacing w:line="240" w:lineRule="auto"/>
              <w:ind w:firstLine="0" w:firstLineChars="0"/>
              <w:jc w:val="center"/>
              <w:rPr>
                <w:sz w:val="21"/>
                <w:szCs w:val="21"/>
                <w:lang w:bidi="en-US"/>
              </w:rPr>
            </w:pPr>
            <w:r>
              <w:rPr>
                <w:rFonts w:hint="eastAsia"/>
                <w:sz w:val="21"/>
                <w:szCs w:val="21"/>
                <w:lang w:bidi="en-US"/>
              </w:rPr>
              <w:t>40</w:t>
            </w:r>
          </w:p>
        </w:tc>
        <w:tc>
          <w:tcPr>
            <w:tcW w:w="1066" w:type="dxa"/>
            <w:vAlign w:val="center"/>
          </w:tcPr>
          <w:p w14:paraId="6A063FB6">
            <w:pPr>
              <w:widowControl/>
              <w:snapToGrid w:val="0"/>
              <w:spacing w:line="240" w:lineRule="auto"/>
              <w:ind w:firstLine="0" w:firstLineChars="0"/>
              <w:jc w:val="center"/>
              <w:rPr>
                <w:sz w:val="21"/>
                <w:szCs w:val="21"/>
                <w:lang w:bidi="en-US"/>
              </w:rPr>
            </w:pPr>
            <w:r>
              <w:rPr>
                <w:rFonts w:hint="eastAsia"/>
                <w:sz w:val="21"/>
                <w:szCs w:val="21"/>
                <w:lang w:bidi="en-US"/>
              </w:rPr>
              <w:t>50</w:t>
            </w:r>
          </w:p>
        </w:tc>
        <w:tc>
          <w:tcPr>
            <w:tcW w:w="1066" w:type="dxa"/>
            <w:vAlign w:val="center"/>
          </w:tcPr>
          <w:p w14:paraId="0CC71EC2">
            <w:pPr>
              <w:widowControl/>
              <w:snapToGrid w:val="0"/>
              <w:spacing w:line="240" w:lineRule="auto"/>
              <w:ind w:firstLine="0" w:firstLineChars="0"/>
              <w:jc w:val="center"/>
              <w:rPr>
                <w:sz w:val="21"/>
                <w:szCs w:val="21"/>
                <w:lang w:bidi="en-US"/>
              </w:rPr>
            </w:pPr>
            <w:r>
              <w:rPr>
                <w:rFonts w:hint="eastAsia"/>
                <w:sz w:val="21"/>
                <w:szCs w:val="21"/>
                <w:lang w:bidi="en-US"/>
              </w:rPr>
              <w:t>60</w:t>
            </w:r>
          </w:p>
        </w:tc>
        <w:tc>
          <w:tcPr>
            <w:tcW w:w="1066" w:type="dxa"/>
            <w:vAlign w:val="center"/>
          </w:tcPr>
          <w:p w14:paraId="4DF3B2B2">
            <w:pPr>
              <w:widowControl/>
              <w:snapToGrid w:val="0"/>
              <w:spacing w:line="240" w:lineRule="auto"/>
              <w:ind w:firstLine="0" w:firstLineChars="0"/>
              <w:jc w:val="center"/>
              <w:rPr>
                <w:sz w:val="21"/>
                <w:szCs w:val="21"/>
                <w:lang w:bidi="en-US"/>
              </w:rPr>
            </w:pPr>
            <w:r>
              <w:rPr>
                <w:rFonts w:hint="eastAsia"/>
                <w:sz w:val="21"/>
                <w:szCs w:val="21"/>
                <w:lang w:bidi="en-US"/>
              </w:rPr>
              <w:t>70</w:t>
            </w:r>
          </w:p>
        </w:tc>
      </w:tr>
      <w:tr w14:paraId="6EBA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43E6ED9D">
            <w:pPr>
              <w:widowControl/>
              <w:snapToGrid w:val="0"/>
              <w:spacing w:line="240" w:lineRule="auto"/>
              <w:ind w:firstLine="0" w:firstLineChars="0"/>
              <w:jc w:val="center"/>
              <w:rPr>
                <w:sz w:val="21"/>
                <w:szCs w:val="21"/>
                <w:lang w:bidi="en-US"/>
              </w:rPr>
            </w:pPr>
            <w:r>
              <w:rPr>
                <w:rFonts w:hint="eastAsia"/>
                <w:sz w:val="21"/>
                <w:szCs w:val="21"/>
                <w:lang w:bidi="en-US"/>
              </w:rPr>
              <w:t>沉降速度（m/s）</w:t>
            </w:r>
          </w:p>
        </w:tc>
        <w:tc>
          <w:tcPr>
            <w:tcW w:w="986" w:type="dxa"/>
            <w:vAlign w:val="center"/>
          </w:tcPr>
          <w:p w14:paraId="0D36699E">
            <w:pPr>
              <w:widowControl/>
              <w:snapToGrid w:val="0"/>
              <w:spacing w:line="240" w:lineRule="auto"/>
              <w:ind w:firstLine="0" w:firstLineChars="0"/>
              <w:jc w:val="center"/>
              <w:rPr>
                <w:sz w:val="21"/>
                <w:szCs w:val="21"/>
                <w:lang w:bidi="en-US"/>
              </w:rPr>
            </w:pPr>
            <w:r>
              <w:rPr>
                <w:rFonts w:hint="eastAsia"/>
                <w:sz w:val="21"/>
                <w:szCs w:val="21"/>
                <w:lang w:bidi="en-US"/>
              </w:rPr>
              <w:t>0.003</w:t>
            </w:r>
          </w:p>
        </w:tc>
        <w:tc>
          <w:tcPr>
            <w:tcW w:w="921" w:type="dxa"/>
            <w:vAlign w:val="center"/>
          </w:tcPr>
          <w:p w14:paraId="7B7E941B">
            <w:pPr>
              <w:widowControl/>
              <w:snapToGrid w:val="0"/>
              <w:spacing w:line="240" w:lineRule="auto"/>
              <w:ind w:firstLine="0" w:firstLineChars="0"/>
              <w:jc w:val="center"/>
              <w:rPr>
                <w:sz w:val="21"/>
                <w:szCs w:val="21"/>
                <w:lang w:bidi="en-US"/>
              </w:rPr>
            </w:pPr>
            <w:r>
              <w:rPr>
                <w:rFonts w:hint="eastAsia"/>
                <w:sz w:val="21"/>
                <w:szCs w:val="21"/>
                <w:lang w:bidi="en-US"/>
              </w:rPr>
              <w:t>0.012</w:t>
            </w:r>
          </w:p>
        </w:tc>
        <w:tc>
          <w:tcPr>
            <w:tcW w:w="857" w:type="dxa"/>
            <w:vAlign w:val="center"/>
          </w:tcPr>
          <w:p w14:paraId="4204DB7A">
            <w:pPr>
              <w:widowControl/>
              <w:snapToGrid w:val="0"/>
              <w:spacing w:line="240" w:lineRule="auto"/>
              <w:ind w:firstLine="0" w:firstLineChars="0"/>
              <w:jc w:val="center"/>
              <w:rPr>
                <w:sz w:val="21"/>
                <w:szCs w:val="21"/>
                <w:lang w:bidi="en-US"/>
              </w:rPr>
            </w:pPr>
            <w:r>
              <w:rPr>
                <w:rFonts w:hint="eastAsia"/>
                <w:sz w:val="21"/>
                <w:szCs w:val="21"/>
                <w:lang w:bidi="en-US"/>
              </w:rPr>
              <w:t>0.027</w:t>
            </w:r>
          </w:p>
        </w:tc>
        <w:tc>
          <w:tcPr>
            <w:tcW w:w="863" w:type="dxa"/>
            <w:vAlign w:val="center"/>
          </w:tcPr>
          <w:p w14:paraId="4F64A0F9">
            <w:pPr>
              <w:widowControl/>
              <w:snapToGrid w:val="0"/>
              <w:spacing w:line="240" w:lineRule="auto"/>
              <w:ind w:firstLine="0" w:firstLineChars="0"/>
              <w:jc w:val="center"/>
              <w:rPr>
                <w:sz w:val="21"/>
                <w:szCs w:val="21"/>
                <w:lang w:bidi="en-US"/>
              </w:rPr>
            </w:pPr>
            <w:r>
              <w:rPr>
                <w:rFonts w:hint="eastAsia"/>
                <w:sz w:val="21"/>
                <w:szCs w:val="21"/>
                <w:lang w:bidi="en-US"/>
              </w:rPr>
              <w:t>0.048</w:t>
            </w:r>
          </w:p>
        </w:tc>
        <w:tc>
          <w:tcPr>
            <w:tcW w:w="1066" w:type="dxa"/>
            <w:vAlign w:val="center"/>
          </w:tcPr>
          <w:p w14:paraId="62805F80">
            <w:pPr>
              <w:widowControl/>
              <w:snapToGrid w:val="0"/>
              <w:spacing w:line="240" w:lineRule="auto"/>
              <w:ind w:firstLine="0" w:firstLineChars="0"/>
              <w:jc w:val="center"/>
              <w:rPr>
                <w:sz w:val="21"/>
                <w:szCs w:val="21"/>
                <w:lang w:bidi="en-US"/>
              </w:rPr>
            </w:pPr>
            <w:r>
              <w:rPr>
                <w:rFonts w:hint="eastAsia"/>
                <w:sz w:val="21"/>
                <w:szCs w:val="21"/>
                <w:lang w:bidi="en-US"/>
              </w:rPr>
              <w:t>0.075</w:t>
            </w:r>
          </w:p>
        </w:tc>
        <w:tc>
          <w:tcPr>
            <w:tcW w:w="1066" w:type="dxa"/>
            <w:vAlign w:val="center"/>
          </w:tcPr>
          <w:p w14:paraId="71DC92AE">
            <w:pPr>
              <w:widowControl/>
              <w:snapToGrid w:val="0"/>
              <w:spacing w:line="240" w:lineRule="auto"/>
              <w:ind w:firstLine="0" w:firstLineChars="0"/>
              <w:jc w:val="center"/>
              <w:rPr>
                <w:sz w:val="21"/>
                <w:szCs w:val="21"/>
                <w:lang w:bidi="en-US"/>
              </w:rPr>
            </w:pPr>
            <w:r>
              <w:rPr>
                <w:rFonts w:hint="eastAsia"/>
                <w:sz w:val="21"/>
                <w:szCs w:val="21"/>
                <w:lang w:bidi="en-US"/>
              </w:rPr>
              <w:t>0.108</w:t>
            </w:r>
          </w:p>
        </w:tc>
        <w:tc>
          <w:tcPr>
            <w:tcW w:w="1066" w:type="dxa"/>
            <w:vAlign w:val="center"/>
          </w:tcPr>
          <w:p w14:paraId="35F40D9B">
            <w:pPr>
              <w:widowControl/>
              <w:snapToGrid w:val="0"/>
              <w:spacing w:line="240" w:lineRule="auto"/>
              <w:ind w:firstLine="0" w:firstLineChars="0"/>
              <w:jc w:val="center"/>
              <w:rPr>
                <w:sz w:val="21"/>
                <w:szCs w:val="21"/>
                <w:lang w:bidi="en-US"/>
              </w:rPr>
            </w:pPr>
            <w:r>
              <w:rPr>
                <w:rFonts w:hint="eastAsia"/>
                <w:sz w:val="21"/>
                <w:szCs w:val="21"/>
                <w:lang w:bidi="en-US"/>
              </w:rPr>
              <w:t>0.147</w:t>
            </w:r>
          </w:p>
        </w:tc>
      </w:tr>
      <w:tr w14:paraId="3971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0C43A02D">
            <w:pPr>
              <w:widowControl/>
              <w:snapToGrid w:val="0"/>
              <w:spacing w:line="240" w:lineRule="auto"/>
              <w:ind w:firstLine="0" w:firstLineChars="0"/>
              <w:jc w:val="center"/>
              <w:rPr>
                <w:sz w:val="21"/>
                <w:szCs w:val="21"/>
                <w:lang w:bidi="en-US"/>
              </w:rPr>
            </w:pPr>
            <w:r>
              <w:rPr>
                <w:rFonts w:hint="eastAsia"/>
                <w:sz w:val="21"/>
                <w:szCs w:val="21"/>
                <w:lang w:bidi="en-US"/>
              </w:rPr>
              <w:t>粉尘粒径（</w:t>
            </w:r>
            <w:r>
              <w:rPr>
                <w:rFonts w:hint="eastAsia"/>
                <w:sz w:val="21"/>
                <w:szCs w:val="21"/>
                <w:lang w:eastAsia="en-US" w:bidi="en-US"/>
              </w:rPr>
              <w:t>μm</w:t>
            </w:r>
            <w:r>
              <w:rPr>
                <w:rFonts w:hint="eastAsia"/>
                <w:sz w:val="21"/>
                <w:szCs w:val="21"/>
                <w:lang w:bidi="en-US"/>
              </w:rPr>
              <w:t>）</w:t>
            </w:r>
          </w:p>
        </w:tc>
        <w:tc>
          <w:tcPr>
            <w:tcW w:w="986" w:type="dxa"/>
            <w:vAlign w:val="center"/>
          </w:tcPr>
          <w:p w14:paraId="1964840A">
            <w:pPr>
              <w:widowControl/>
              <w:snapToGrid w:val="0"/>
              <w:spacing w:line="240" w:lineRule="auto"/>
              <w:ind w:firstLine="0" w:firstLineChars="0"/>
              <w:jc w:val="center"/>
              <w:rPr>
                <w:sz w:val="21"/>
                <w:szCs w:val="21"/>
                <w:lang w:bidi="en-US"/>
              </w:rPr>
            </w:pPr>
            <w:r>
              <w:rPr>
                <w:rFonts w:hint="eastAsia"/>
                <w:sz w:val="21"/>
                <w:szCs w:val="21"/>
                <w:lang w:bidi="en-US"/>
              </w:rPr>
              <w:t>80</w:t>
            </w:r>
          </w:p>
        </w:tc>
        <w:tc>
          <w:tcPr>
            <w:tcW w:w="921" w:type="dxa"/>
            <w:vAlign w:val="center"/>
          </w:tcPr>
          <w:p w14:paraId="402A351F">
            <w:pPr>
              <w:widowControl/>
              <w:snapToGrid w:val="0"/>
              <w:spacing w:line="240" w:lineRule="auto"/>
              <w:ind w:firstLine="0" w:firstLineChars="0"/>
              <w:jc w:val="center"/>
              <w:rPr>
                <w:sz w:val="21"/>
                <w:szCs w:val="21"/>
                <w:lang w:bidi="en-US"/>
              </w:rPr>
            </w:pPr>
            <w:r>
              <w:rPr>
                <w:rFonts w:hint="eastAsia"/>
                <w:sz w:val="21"/>
                <w:szCs w:val="21"/>
                <w:lang w:bidi="en-US"/>
              </w:rPr>
              <w:t>90</w:t>
            </w:r>
          </w:p>
        </w:tc>
        <w:tc>
          <w:tcPr>
            <w:tcW w:w="857" w:type="dxa"/>
            <w:vAlign w:val="center"/>
          </w:tcPr>
          <w:p w14:paraId="2E44B6A9">
            <w:pPr>
              <w:widowControl/>
              <w:snapToGrid w:val="0"/>
              <w:spacing w:line="240" w:lineRule="auto"/>
              <w:ind w:firstLine="0" w:firstLineChars="0"/>
              <w:jc w:val="center"/>
              <w:rPr>
                <w:sz w:val="21"/>
                <w:szCs w:val="21"/>
                <w:lang w:bidi="en-US"/>
              </w:rPr>
            </w:pPr>
            <w:r>
              <w:rPr>
                <w:rFonts w:hint="eastAsia"/>
                <w:sz w:val="21"/>
                <w:szCs w:val="21"/>
                <w:lang w:bidi="en-US"/>
              </w:rPr>
              <w:t>100</w:t>
            </w:r>
          </w:p>
        </w:tc>
        <w:tc>
          <w:tcPr>
            <w:tcW w:w="863" w:type="dxa"/>
            <w:vAlign w:val="center"/>
          </w:tcPr>
          <w:p w14:paraId="1D20476A">
            <w:pPr>
              <w:widowControl/>
              <w:snapToGrid w:val="0"/>
              <w:spacing w:line="240" w:lineRule="auto"/>
              <w:ind w:firstLine="0" w:firstLineChars="0"/>
              <w:jc w:val="center"/>
              <w:rPr>
                <w:sz w:val="21"/>
                <w:szCs w:val="21"/>
                <w:lang w:bidi="en-US"/>
              </w:rPr>
            </w:pPr>
            <w:r>
              <w:rPr>
                <w:rFonts w:hint="eastAsia"/>
                <w:sz w:val="21"/>
                <w:szCs w:val="21"/>
                <w:lang w:bidi="en-US"/>
              </w:rPr>
              <w:t>150</w:t>
            </w:r>
          </w:p>
        </w:tc>
        <w:tc>
          <w:tcPr>
            <w:tcW w:w="1066" w:type="dxa"/>
            <w:vAlign w:val="center"/>
          </w:tcPr>
          <w:p w14:paraId="7A607510">
            <w:pPr>
              <w:widowControl/>
              <w:snapToGrid w:val="0"/>
              <w:spacing w:line="240" w:lineRule="auto"/>
              <w:ind w:firstLine="0" w:firstLineChars="0"/>
              <w:jc w:val="center"/>
              <w:rPr>
                <w:sz w:val="21"/>
                <w:szCs w:val="21"/>
                <w:lang w:bidi="en-US"/>
              </w:rPr>
            </w:pPr>
            <w:r>
              <w:rPr>
                <w:rFonts w:hint="eastAsia"/>
                <w:sz w:val="21"/>
                <w:szCs w:val="21"/>
                <w:lang w:bidi="en-US"/>
              </w:rPr>
              <w:t>200</w:t>
            </w:r>
          </w:p>
        </w:tc>
        <w:tc>
          <w:tcPr>
            <w:tcW w:w="1066" w:type="dxa"/>
            <w:vAlign w:val="center"/>
          </w:tcPr>
          <w:p w14:paraId="6177D28F">
            <w:pPr>
              <w:widowControl/>
              <w:snapToGrid w:val="0"/>
              <w:spacing w:line="240" w:lineRule="auto"/>
              <w:ind w:firstLine="0" w:firstLineChars="0"/>
              <w:jc w:val="center"/>
              <w:rPr>
                <w:sz w:val="21"/>
                <w:szCs w:val="21"/>
                <w:lang w:bidi="en-US"/>
              </w:rPr>
            </w:pPr>
            <w:r>
              <w:rPr>
                <w:rFonts w:hint="eastAsia"/>
                <w:sz w:val="21"/>
                <w:szCs w:val="21"/>
                <w:lang w:bidi="en-US"/>
              </w:rPr>
              <w:t>250</w:t>
            </w:r>
          </w:p>
        </w:tc>
        <w:tc>
          <w:tcPr>
            <w:tcW w:w="1066" w:type="dxa"/>
            <w:vAlign w:val="center"/>
          </w:tcPr>
          <w:p w14:paraId="4CD59995">
            <w:pPr>
              <w:widowControl/>
              <w:snapToGrid w:val="0"/>
              <w:spacing w:line="240" w:lineRule="auto"/>
              <w:ind w:firstLine="0" w:firstLineChars="0"/>
              <w:jc w:val="center"/>
              <w:rPr>
                <w:sz w:val="21"/>
                <w:szCs w:val="21"/>
                <w:lang w:bidi="en-US"/>
              </w:rPr>
            </w:pPr>
            <w:r>
              <w:rPr>
                <w:rFonts w:hint="eastAsia"/>
                <w:sz w:val="21"/>
                <w:szCs w:val="21"/>
                <w:lang w:bidi="en-US"/>
              </w:rPr>
              <w:t>350</w:t>
            </w:r>
          </w:p>
        </w:tc>
      </w:tr>
      <w:tr w14:paraId="7C6A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5A772B1A">
            <w:pPr>
              <w:widowControl/>
              <w:snapToGrid w:val="0"/>
              <w:spacing w:line="240" w:lineRule="auto"/>
              <w:ind w:firstLine="0" w:firstLineChars="0"/>
              <w:jc w:val="center"/>
              <w:rPr>
                <w:sz w:val="21"/>
                <w:szCs w:val="21"/>
                <w:lang w:bidi="en-US"/>
              </w:rPr>
            </w:pPr>
            <w:r>
              <w:rPr>
                <w:rFonts w:hint="eastAsia"/>
                <w:sz w:val="21"/>
                <w:szCs w:val="21"/>
                <w:lang w:bidi="en-US"/>
              </w:rPr>
              <w:t>沉降速度（m/s）</w:t>
            </w:r>
          </w:p>
        </w:tc>
        <w:tc>
          <w:tcPr>
            <w:tcW w:w="986" w:type="dxa"/>
            <w:vAlign w:val="center"/>
          </w:tcPr>
          <w:p w14:paraId="28BD79A3">
            <w:pPr>
              <w:widowControl/>
              <w:snapToGrid w:val="0"/>
              <w:spacing w:line="240" w:lineRule="auto"/>
              <w:ind w:firstLine="0" w:firstLineChars="0"/>
              <w:jc w:val="center"/>
              <w:rPr>
                <w:sz w:val="21"/>
                <w:szCs w:val="21"/>
                <w:lang w:bidi="en-US"/>
              </w:rPr>
            </w:pPr>
            <w:r>
              <w:rPr>
                <w:rFonts w:hint="eastAsia"/>
                <w:sz w:val="21"/>
                <w:szCs w:val="21"/>
                <w:lang w:bidi="en-US"/>
              </w:rPr>
              <w:t>0.158</w:t>
            </w:r>
          </w:p>
        </w:tc>
        <w:tc>
          <w:tcPr>
            <w:tcW w:w="921" w:type="dxa"/>
            <w:vAlign w:val="center"/>
          </w:tcPr>
          <w:p w14:paraId="07F018FE">
            <w:pPr>
              <w:widowControl/>
              <w:snapToGrid w:val="0"/>
              <w:spacing w:line="240" w:lineRule="auto"/>
              <w:ind w:firstLine="0" w:firstLineChars="0"/>
              <w:jc w:val="center"/>
              <w:rPr>
                <w:sz w:val="21"/>
                <w:szCs w:val="21"/>
                <w:lang w:bidi="en-US"/>
              </w:rPr>
            </w:pPr>
            <w:r>
              <w:rPr>
                <w:rFonts w:hint="eastAsia"/>
                <w:sz w:val="21"/>
                <w:szCs w:val="21"/>
                <w:lang w:bidi="en-US"/>
              </w:rPr>
              <w:t>0.170</w:t>
            </w:r>
          </w:p>
        </w:tc>
        <w:tc>
          <w:tcPr>
            <w:tcW w:w="857" w:type="dxa"/>
            <w:vAlign w:val="center"/>
          </w:tcPr>
          <w:p w14:paraId="20FB7349">
            <w:pPr>
              <w:widowControl/>
              <w:snapToGrid w:val="0"/>
              <w:spacing w:line="240" w:lineRule="auto"/>
              <w:ind w:firstLine="0" w:firstLineChars="0"/>
              <w:jc w:val="center"/>
              <w:rPr>
                <w:sz w:val="21"/>
                <w:szCs w:val="21"/>
                <w:lang w:bidi="en-US"/>
              </w:rPr>
            </w:pPr>
            <w:r>
              <w:rPr>
                <w:rFonts w:hint="eastAsia"/>
                <w:sz w:val="21"/>
                <w:szCs w:val="21"/>
                <w:lang w:bidi="en-US"/>
              </w:rPr>
              <w:t>0.182</w:t>
            </w:r>
          </w:p>
        </w:tc>
        <w:tc>
          <w:tcPr>
            <w:tcW w:w="863" w:type="dxa"/>
            <w:vAlign w:val="center"/>
          </w:tcPr>
          <w:p w14:paraId="69827509">
            <w:pPr>
              <w:widowControl/>
              <w:snapToGrid w:val="0"/>
              <w:spacing w:line="240" w:lineRule="auto"/>
              <w:ind w:firstLine="0" w:firstLineChars="0"/>
              <w:jc w:val="center"/>
              <w:rPr>
                <w:sz w:val="21"/>
                <w:szCs w:val="21"/>
                <w:lang w:bidi="en-US"/>
              </w:rPr>
            </w:pPr>
            <w:r>
              <w:rPr>
                <w:rFonts w:hint="eastAsia"/>
                <w:sz w:val="21"/>
                <w:szCs w:val="21"/>
                <w:lang w:bidi="en-US"/>
              </w:rPr>
              <w:t>0.239</w:t>
            </w:r>
          </w:p>
        </w:tc>
        <w:tc>
          <w:tcPr>
            <w:tcW w:w="1066" w:type="dxa"/>
            <w:vAlign w:val="center"/>
          </w:tcPr>
          <w:p w14:paraId="4CD0B8FA">
            <w:pPr>
              <w:widowControl/>
              <w:snapToGrid w:val="0"/>
              <w:spacing w:line="240" w:lineRule="auto"/>
              <w:ind w:firstLine="0" w:firstLineChars="0"/>
              <w:jc w:val="center"/>
              <w:rPr>
                <w:sz w:val="21"/>
                <w:szCs w:val="21"/>
                <w:lang w:bidi="en-US"/>
              </w:rPr>
            </w:pPr>
            <w:r>
              <w:rPr>
                <w:rFonts w:hint="eastAsia"/>
                <w:sz w:val="21"/>
                <w:szCs w:val="21"/>
                <w:lang w:bidi="en-US"/>
              </w:rPr>
              <w:t>0.804</w:t>
            </w:r>
          </w:p>
        </w:tc>
        <w:tc>
          <w:tcPr>
            <w:tcW w:w="1066" w:type="dxa"/>
            <w:vAlign w:val="center"/>
          </w:tcPr>
          <w:p w14:paraId="7E553F6F">
            <w:pPr>
              <w:widowControl/>
              <w:snapToGrid w:val="0"/>
              <w:spacing w:line="240" w:lineRule="auto"/>
              <w:ind w:firstLine="0" w:firstLineChars="0"/>
              <w:jc w:val="center"/>
              <w:rPr>
                <w:sz w:val="21"/>
                <w:szCs w:val="21"/>
                <w:lang w:bidi="en-US"/>
              </w:rPr>
            </w:pPr>
            <w:r>
              <w:rPr>
                <w:rFonts w:hint="eastAsia"/>
                <w:sz w:val="21"/>
                <w:szCs w:val="21"/>
                <w:lang w:bidi="en-US"/>
              </w:rPr>
              <w:t>1.005</w:t>
            </w:r>
          </w:p>
        </w:tc>
        <w:tc>
          <w:tcPr>
            <w:tcW w:w="1066" w:type="dxa"/>
            <w:vAlign w:val="center"/>
          </w:tcPr>
          <w:p w14:paraId="276F85C1">
            <w:pPr>
              <w:widowControl/>
              <w:snapToGrid w:val="0"/>
              <w:spacing w:line="240" w:lineRule="auto"/>
              <w:ind w:firstLine="0" w:firstLineChars="0"/>
              <w:jc w:val="center"/>
              <w:rPr>
                <w:sz w:val="21"/>
                <w:szCs w:val="21"/>
                <w:lang w:bidi="en-US"/>
              </w:rPr>
            </w:pPr>
            <w:r>
              <w:rPr>
                <w:rFonts w:hint="eastAsia"/>
                <w:sz w:val="21"/>
                <w:szCs w:val="21"/>
                <w:lang w:bidi="en-US"/>
              </w:rPr>
              <w:t>1.829</w:t>
            </w:r>
          </w:p>
        </w:tc>
      </w:tr>
      <w:tr w14:paraId="01B9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2F8B0C49">
            <w:pPr>
              <w:widowControl/>
              <w:snapToGrid w:val="0"/>
              <w:spacing w:line="240" w:lineRule="auto"/>
              <w:ind w:firstLine="0" w:firstLineChars="0"/>
              <w:jc w:val="center"/>
              <w:rPr>
                <w:sz w:val="21"/>
                <w:szCs w:val="21"/>
                <w:lang w:bidi="en-US"/>
              </w:rPr>
            </w:pPr>
            <w:r>
              <w:rPr>
                <w:rFonts w:hint="eastAsia"/>
                <w:sz w:val="21"/>
                <w:szCs w:val="21"/>
                <w:lang w:bidi="en-US"/>
              </w:rPr>
              <w:t>粉尘粒径（</w:t>
            </w:r>
            <w:r>
              <w:rPr>
                <w:rFonts w:hint="eastAsia"/>
                <w:sz w:val="21"/>
                <w:szCs w:val="21"/>
                <w:lang w:eastAsia="en-US" w:bidi="en-US"/>
              </w:rPr>
              <w:t>μm</w:t>
            </w:r>
            <w:r>
              <w:rPr>
                <w:rFonts w:hint="eastAsia"/>
                <w:sz w:val="21"/>
                <w:szCs w:val="21"/>
                <w:lang w:bidi="en-US"/>
              </w:rPr>
              <w:t>）</w:t>
            </w:r>
          </w:p>
        </w:tc>
        <w:tc>
          <w:tcPr>
            <w:tcW w:w="986" w:type="dxa"/>
            <w:vAlign w:val="center"/>
          </w:tcPr>
          <w:p w14:paraId="046313C8">
            <w:pPr>
              <w:widowControl/>
              <w:snapToGrid w:val="0"/>
              <w:spacing w:line="240" w:lineRule="auto"/>
              <w:ind w:firstLine="0" w:firstLineChars="0"/>
              <w:jc w:val="center"/>
              <w:rPr>
                <w:sz w:val="21"/>
                <w:szCs w:val="21"/>
                <w:lang w:bidi="en-US"/>
              </w:rPr>
            </w:pPr>
            <w:r>
              <w:rPr>
                <w:rFonts w:hint="eastAsia"/>
                <w:sz w:val="21"/>
                <w:szCs w:val="21"/>
                <w:lang w:bidi="en-US"/>
              </w:rPr>
              <w:t>450</w:t>
            </w:r>
          </w:p>
        </w:tc>
        <w:tc>
          <w:tcPr>
            <w:tcW w:w="921" w:type="dxa"/>
            <w:vAlign w:val="center"/>
          </w:tcPr>
          <w:p w14:paraId="67FA892A">
            <w:pPr>
              <w:widowControl/>
              <w:snapToGrid w:val="0"/>
              <w:spacing w:line="240" w:lineRule="auto"/>
              <w:ind w:firstLine="0" w:firstLineChars="0"/>
              <w:jc w:val="center"/>
              <w:rPr>
                <w:sz w:val="21"/>
                <w:szCs w:val="21"/>
                <w:lang w:bidi="en-US"/>
              </w:rPr>
            </w:pPr>
            <w:r>
              <w:rPr>
                <w:rFonts w:hint="eastAsia"/>
                <w:sz w:val="21"/>
                <w:szCs w:val="21"/>
                <w:lang w:bidi="en-US"/>
              </w:rPr>
              <w:t>550</w:t>
            </w:r>
          </w:p>
        </w:tc>
        <w:tc>
          <w:tcPr>
            <w:tcW w:w="857" w:type="dxa"/>
            <w:vAlign w:val="center"/>
          </w:tcPr>
          <w:p w14:paraId="116D023A">
            <w:pPr>
              <w:widowControl/>
              <w:snapToGrid w:val="0"/>
              <w:spacing w:line="240" w:lineRule="auto"/>
              <w:ind w:firstLine="0" w:firstLineChars="0"/>
              <w:jc w:val="center"/>
              <w:rPr>
                <w:sz w:val="21"/>
                <w:szCs w:val="21"/>
                <w:lang w:bidi="en-US"/>
              </w:rPr>
            </w:pPr>
            <w:r>
              <w:rPr>
                <w:rFonts w:hint="eastAsia"/>
                <w:sz w:val="21"/>
                <w:szCs w:val="21"/>
                <w:lang w:bidi="en-US"/>
              </w:rPr>
              <w:t>650</w:t>
            </w:r>
          </w:p>
        </w:tc>
        <w:tc>
          <w:tcPr>
            <w:tcW w:w="863" w:type="dxa"/>
            <w:vAlign w:val="center"/>
          </w:tcPr>
          <w:p w14:paraId="1DFB291D">
            <w:pPr>
              <w:widowControl/>
              <w:snapToGrid w:val="0"/>
              <w:spacing w:line="240" w:lineRule="auto"/>
              <w:ind w:firstLine="0" w:firstLineChars="0"/>
              <w:jc w:val="center"/>
              <w:rPr>
                <w:sz w:val="21"/>
                <w:szCs w:val="21"/>
                <w:lang w:bidi="en-US"/>
              </w:rPr>
            </w:pPr>
            <w:r>
              <w:rPr>
                <w:rFonts w:hint="eastAsia"/>
                <w:sz w:val="21"/>
                <w:szCs w:val="21"/>
                <w:lang w:bidi="en-US"/>
              </w:rPr>
              <w:t>750</w:t>
            </w:r>
          </w:p>
        </w:tc>
        <w:tc>
          <w:tcPr>
            <w:tcW w:w="1066" w:type="dxa"/>
            <w:vAlign w:val="center"/>
          </w:tcPr>
          <w:p w14:paraId="4765004C">
            <w:pPr>
              <w:widowControl/>
              <w:snapToGrid w:val="0"/>
              <w:spacing w:line="240" w:lineRule="auto"/>
              <w:ind w:firstLine="0" w:firstLineChars="0"/>
              <w:jc w:val="center"/>
              <w:rPr>
                <w:sz w:val="21"/>
                <w:szCs w:val="21"/>
                <w:lang w:bidi="en-US"/>
              </w:rPr>
            </w:pPr>
            <w:r>
              <w:rPr>
                <w:rFonts w:hint="eastAsia"/>
                <w:sz w:val="21"/>
                <w:szCs w:val="21"/>
                <w:lang w:bidi="en-US"/>
              </w:rPr>
              <w:t>850</w:t>
            </w:r>
          </w:p>
        </w:tc>
        <w:tc>
          <w:tcPr>
            <w:tcW w:w="1066" w:type="dxa"/>
            <w:vAlign w:val="center"/>
          </w:tcPr>
          <w:p w14:paraId="08C93762">
            <w:pPr>
              <w:widowControl/>
              <w:snapToGrid w:val="0"/>
              <w:spacing w:line="240" w:lineRule="auto"/>
              <w:ind w:firstLine="0" w:firstLineChars="0"/>
              <w:jc w:val="center"/>
              <w:rPr>
                <w:sz w:val="21"/>
                <w:szCs w:val="21"/>
                <w:lang w:bidi="en-US"/>
              </w:rPr>
            </w:pPr>
            <w:r>
              <w:rPr>
                <w:rFonts w:hint="eastAsia"/>
                <w:sz w:val="21"/>
                <w:szCs w:val="21"/>
                <w:lang w:bidi="en-US"/>
              </w:rPr>
              <w:t>950</w:t>
            </w:r>
          </w:p>
        </w:tc>
        <w:tc>
          <w:tcPr>
            <w:tcW w:w="1066" w:type="dxa"/>
            <w:vAlign w:val="center"/>
          </w:tcPr>
          <w:p w14:paraId="2A5E60ED">
            <w:pPr>
              <w:widowControl/>
              <w:snapToGrid w:val="0"/>
              <w:spacing w:line="240" w:lineRule="auto"/>
              <w:ind w:firstLine="0" w:firstLineChars="0"/>
              <w:jc w:val="center"/>
              <w:rPr>
                <w:sz w:val="21"/>
                <w:szCs w:val="21"/>
                <w:lang w:bidi="en-US"/>
              </w:rPr>
            </w:pPr>
            <w:r>
              <w:rPr>
                <w:rFonts w:hint="eastAsia"/>
                <w:sz w:val="21"/>
                <w:szCs w:val="21"/>
                <w:lang w:bidi="en-US"/>
              </w:rPr>
              <w:t>1050</w:t>
            </w:r>
          </w:p>
        </w:tc>
      </w:tr>
      <w:tr w14:paraId="6406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38C0E66C">
            <w:pPr>
              <w:widowControl/>
              <w:snapToGrid w:val="0"/>
              <w:spacing w:line="240" w:lineRule="auto"/>
              <w:ind w:firstLine="0" w:firstLineChars="0"/>
              <w:jc w:val="center"/>
              <w:rPr>
                <w:sz w:val="21"/>
                <w:szCs w:val="21"/>
                <w:lang w:bidi="en-US"/>
              </w:rPr>
            </w:pPr>
            <w:r>
              <w:rPr>
                <w:rFonts w:hint="eastAsia"/>
                <w:sz w:val="21"/>
                <w:szCs w:val="21"/>
                <w:lang w:bidi="en-US"/>
              </w:rPr>
              <w:t>沉降速度（m/s）</w:t>
            </w:r>
          </w:p>
        </w:tc>
        <w:tc>
          <w:tcPr>
            <w:tcW w:w="986" w:type="dxa"/>
            <w:vAlign w:val="center"/>
          </w:tcPr>
          <w:p w14:paraId="5B5499B2">
            <w:pPr>
              <w:widowControl/>
              <w:snapToGrid w:val="0"/>
              <w:spacing w:line="240" w:lineRule="auto"/>
              <w:ind w:firstLine="0" w:firstLineChars="0"/>
              <w:jc w:val="center"/>
              <w:rPr>
                <w:sz w:val="21"/>
                <w:szCs w:val="21"/>
                <w:lang w:bidi="en-US"/>
              </w:rPr>
            </w:pPr>
            <w:r>
              <w:rPr>
                <w:rFonts w:hint="eastAsia"/>
                <w:sz w:val="21"/>
                <w:szCs w:val="21"/>
                <w:lang w:bidi="en-US"/>
              </w:rPr>
              <w:t>2.211</w:t>
            </w:r>
          </w:p>
        </w:tc>
        <w:tc>
          <w:tcPr>
            <w:tcW w:w="921" w:type="dxa"/>
            <w:vAlign w:val="center"/>
          </w:tcPr>
          <w:p w14:paraId="5799380D">
            <w:pPr>
              <w:widowControl/>
              <w:snapToGrid w:val="0"/>
              <w:spacing w:line="240" w:lineRule="auto"/>
              <w:ind w:firstLine="0" w:firstLineChars="0"/>
              <w:jc w:val="center"/>
              <w:rPr>
                <w:sz w:val="21"/>
                <w:szCs w:val="21"/>
                <w:lang w:bidi="en-US"/>
              </w:rPr>
            </w:pPr>
            <w:r>
              <w:rPr>
                <w:rFonts w:hint="eastAsia"/>
                <w:sz w:val="21"/>
                <w:szCs w:val="21"/>
                <w:lang w:bidi="en-US"/>
              </w:rPr>
              <w:t>2.614</w:t>
            </w:r>
          </w:p>
        </w:tc>
        <w:tc>
          <w:tcPr>
            <w:tcW w:w="857" w:type="dxa"/>
            <w:vAlign w:val="center"/>
          </w:tcPr>
          <w:p w14:paraId="2C082443">
            <w:pPr>
              <w:widowControl/>
              <w:snapToGrid w:val="0"/>
              <w:spacing w:line="240" w:lineRule="auto"/>
              <w:ind w:firstLine="0" w:firstLineChars="0"/>
              <w:jc w:val="center"/>
              <w:rPr>
                <w:sz w:val="21"/>
                <w:szCs w:val="21"/>
                <w:lang w:bidi="en-US"/>
              </w:rPr>
            </w:pPr>
            <w:r>
              <w:rPr>
                <w:rFonts w:hint="eastAsia"/>
                <w:sz w:val="21"/>
                <w:szCs w:val="21"/>
                <w:lang w:bidi="en-US"/>
              </w:rPr>
              <w:t>3.016</w:t>
            </w:r>
          </w:p>
        </w:tc>
        <w:tc>
          <w:tcPr>
            <w:tcW w:w="863" w:type="dxa"/>
            <w:vAlign w:val="center"/>
          </w:tcPr>
          <w:p w14:paraId="4F63FA80">
            <w:pPr>
              <w:widowControl/>
              <w:snapToGrid w:val="0"/>
              <w:spacing w:line="240" w:lineRule="auto"/>
              <w:ind w:firstLine="0" w:firstLineChars="0"/>
              <w:jc w:val="center"/>
              <w:rPr>
                <w:sz w:val="21"/>
                <w:szCs w:val="21"/>
                <w:lang w:bidi="en-US"/>
              </w:rPr>
            </w:pPr>
            <w:r>
              <w:rPr>
                <w:rFonts w:hint="eastAsia"/>
                <w:sz w:val="21"/>
                <w:szCs w:val="21"/>
                <w:lang w:bidi="en-US"/>
              </w:rPr>
              <w:t>3.418</w:t>
            </w:r>
          </w:p>
        </w:tc>
        <w:tc>
          <w:tcPr>
            <w:tcW w:w="1066" w:type="dxa"/>
            <w:vAlign w:val="center"/>
          </w:tcPr>
          <w:p w14:paraId="498DEA60">
            <w:pPr>
              <w:widowControl/>
              <w:snapToGrid w:val="0"/>
              <w:spacing w:line="240" w:lineRule="auto"/>
              <w:ind w:firstLine="0" w:firstLineChars="0"/>
              <w:jc w:val="center"/>
              <w:rPr>
                <w:sz w:val="21"/>
                <w:szCs w:val="21"/>
                <w:lang w:bidi="en-US"/>
              </w:rPr>
            </w:pPr>
            <w:r>
              <w:rPr>
                <w:rFonts w:hint="eastAsia"/>
                <w:sz w:val="21"/>
                <w:szCs w:val="21"/>
                <w:lang w:bidi="en-US"/>
              </w:rPr>
              <w:t>3.820</w:t>
            </w:r>
          </w:p>
        </w:tc>
        <w:tc>
          <w:tcPr>
            <w:tcW w:w="1066" w:type="dxa"/>
            <w:vAlign w:val="center"/>
          </w:tcPr>
          <w:p w14:paraId="6465319A">
            <w:pPr>
              <w:widowControl/>
              <w:snapToGrid w:val="0"/>
              <w:spacing w:line="240" w:lineRule="auto"/>
              <w:ind w:firstLine="0" w:firstLineChars="0"/>
              <w:jc w:val="center"/>
              <w:rPr>
                <w:sz w:val="21"/>
                <w:szCs w:val="21"/>
                <w:lang w:bidi="en-US"/>
              </w:rPr>
            </w:pPr>
            <w:r>
              <w:rPr>
                <w:rFonts w:hint="eastAsia"/>
                <w:sz w:val="21"/>
                <w:szCs w:val="21"/>
                <w:lang w:bidi="en-US"/>
              </w:rPr>
              <w:t>4.222</w:t>
            </w:r>
          </w:p>
        </w:tc>
        <w:tc>
          <w:tcPr>
            <w:tcW w:w="1066" w:type="dxa"/>
            <w:vAlign w:val="center"/>
          </w:tcPr>
          <w:p w14:paraId="192CBAC9">
            <w:pPr>
              <w:widowControl/>
              <w:snapToGrid w:val="0"/>
              <w:spacing w:line="240" w:lineRule="auto"/>
              <w:ind w:firstLine="0" w:firstLineChars="0"/>
              <w:jc w:val="center"/>
              <w:rPr>
                <w:sz w:val="21"/>
                <w:szCs w:val="21"/>
                <w:lang w:bidi="en-US"/>
              </w:rPr>
            </w:pPr>
            <w:r>
              <w:rPr>
                <w:rFonts w:hint="eastAsia"/>
                <w:sz w:val="21"/>
                <w:szCs w:val="21"/>
                <w:lang w:bidi="en-US"/>
              </w:rPr>
              <w:t>4.624</w:t>
            </w:r>
          </w:p>
        </w:tc>
      </w:tr>
    </w:tbl>
    <w:p w14:paraId="68D099B0">
      <w:pPr>
        <w:ind w:firstLine="480"/>
      </w:pPr>
      <w:r>
        <w:rPr>
          <w:rFonts w:hint="eastAsia"/>
        </w:rPr>
        <w:t>由表3.3-1可知，粉尘的沉降速度随粒径的增大而迅速增大。当粒径为250</w:t>
      </w:r>
      <w:r>
        <w:t>μm</w:t>
      </w:r>
      <w:r>
        <w:rPr>
          <w:rFonts w:hint="eastAsia"/>
        </w:rPr>
        <w:t>时，沉降速度为1.005m/s，因此可以认为当粒径大于250</w:t>
      </w:r>
      <w:r>
        <w:t>μm</w:t>
      </w:r>
      <w:r>
        <w:rPr>
          <w:rFonts w:hint="eastAsia"/>
        </w:rPr>
        <w:t>时，主要影响范围在扬尘点下风向近距离范围内，本项目评价范围内无大气环境敏感点，因此，此类扬尘可造成施工区域附近TSP浓度暂时升高，对项目区周边评价范围内大气环境敏感点影响不大。</w:t>
      </w:r>
    </w:p>
    <w:p w14:paraId="25A4E987">
      <w:pPr>
        <w:ind w:firstLine="480"/>
      </w:pPr>
      <w:r>
        <w:rPr>
          <w:rFonts w:hint="eastAsia"/>
        </w:rPr>
        <w:t>②车辆运输扬尘</w:t>
      </w:r>
    </w:p>
    <w:p w14:paraId="429FABCC">
      <w:pPr>
        <w:ind w:firstLine="480"/>
      </w:pPr>
      <w:r>
        <w:rPr>
          <w:rFonts w:hint="eastAsia"/>
        </w:rPr>
        <w:t>本项目动态起尘主要是各类施工机械、运输车辆在项目区内外来往形成的地面扬尘，据有关文献资料显示，在施工过程中，运输车辆行驶扬尘与车辆行驶速度、风速、气象条件、路面积尘量和积尘湿度等因素有关。</w:t>
      </w:r>
    </w:p>
    <w:p w14:paraId="028E7D17">
      <w:pPr>
        <w:ind w:firstLine="480"/>
      </w:pPr>
      <w:r>
        <w:rPr>
          <w:rFonts w:hint="eastAsia"/>
        </w:rPr>
        <w:t>（2）燃油机械及机动车废气</w:t>
      </w:r>
    </w:p>
    <w:p w14:paraId="2F6195E0">
      <w:pPr>
        <w:ind w:firstLine="480"/>
      </w:pPr>
      <w:r>
        <w:rPr>
          <w:rFonts w:hint="eastAsia"/>
        </w:rPr>
        <w:t>施工燃油机械和运输车辆运作过程中将产生含SO</w:t>
      </w:r>
      <w:r>
        <w:rPr>
          <w:rFonts w:hint="eastAsia"/>
          <w:vertAlign w:val="subscript"/>
        </w:rPr>
        <w:t>2</w:t>
      </w:r>
      <w:r>
        <w:rPr>
          <w:rFonts w:hint="eastAsia"/>
        </w:rPr>
        <w:t>、NO</w:t>
      </w:r>
      <w:r>
        <w:rPr>
          <w:rFonts w:hint="eastAsia"/>
          <w:vertAlign w:val="subscript"/>
        </w:rPr>
        <w:t>x</w:t>
      </w:r>
      <w:r>
        <w:rPr>
          <w:rFonts w:hint="eastAsia"/>
        </w:rPr>
        <w:t>、CO等气体。根据相关资料，每耗1升油料，排放空气污染物NO</w:t>
      </w:r>
      <w:r>
        <w:rPr>
          <w:rFonts w:hint="eastAsia"/>
          <w:vertAlign w:val="subscript"/>
        </w:rPr>
        <w:t>x</w:t>
      </w:r>
      <w:r>
        <w:rPr>
          <w:rFonts w:hint="eastAsia"/>
        </w:rPr>
        <w:t>9g，SO</w:t>
      </w:r>
      <w:r>
        <w:rPr>
          <w:rFonts w:hint="eastAsia"/>
          <w:vertAlign w:val="subscript"/>
        </w:rPr>
        <w:t>2</w:t>
      </w:r>
      <w:r>
        <w:rPr>
          <w:rFonts w:hint="eastAsia"/>
        </w:rPr>
        <w:t>3.24g，CO27g。本项目建设期消耗油料约2033</w:t>
      </w:r>
      <w:r>
        <w:t>.</w:t>
      </w:r>
      <w:r>
        <w:rPr>
          <w:rFonts w:hint="eastAsia"/>
        </w:rPr>
        <w:t>9升，污染物排放量为NO</w:t>
      </w:r>
      <w:r>
        <w:rPr>
          <w:rFonts w:hint="eastAsia"/>
          <w:vertAlign w:val="subscript"/>
        </w:rPr>
        <w:t>x</w:t>
      </w:r>
      <w:r>
        <w:rPr>
          <w:rFonts w:hint="eastAsia"/>
        </w:rPr>
        <w:t>0.</w:t>
      </w:r>
      <w:r>
        <w:t>0</w:t>
      </w:r>
      <w:r>
        <w:rPr>
          <w:rFonts w:hint="eastAsia"/>
        </w:rPr>
        <w:t>183t，SO</w:t>
      </w:r>
      <w:r>
        <w:rPr>
          <w:rFonts w:hint="eastAsia"/>
          <w:vertAlign w:val="subscript"/>
        </w:rPr>
        <w:t>2</w:t>
      </w:r>
      <w:r>
        <w:rPr>
          <w:rFonts w:hint="eastAsia"/>
        </w:rPr>
        <w:t>0.0</w:t>
      </w:r>
      <w:r>
        <w:t>0</w:t>
      </w:r>
      <w:r>
        <w:rPr>
          <w:rFonts w:hint="eastAsia"/>
        </w:rPr>
        <w:t>7t，CO0.</w:t>
      </w:r>
      <w:r>
        <w:t>0</w:t>
      </w:r>
      <w:r>
        <w:rPr>
          <w:rFonts w:hint="eastAsia"/>
        </w:rPr>
        <w:t>549t。由于此类废气系无组织流动性排放，废气经稀释扩散后不会对周边空气环境产生明显影响。</w:t>
      </w:r>
    </w:p>
    <w:p w14:paraId="4DBF86E5">
      <w:pPr>
        <w:pStyle w:val="6"/>
        <w:ind w:firstLine="482"/>
      </w:pPr>
      <w:r>
        <w:rPr>
          <w:rFonts w:hint="eastAsia"/>
        </w:rPr>
        <w:t>3.3.1.2施工期水污染源</w:t>
      </w:r>
    </w:p>
    <w:p w14:paraId="47A6EBD6">
      <w:pPr>
        <w:ind w:firstLine="480"/>
      </w:pPr>
      <w:r>
        <w:t>本项目施工期排放废水主要是施工废水和施工人员的日常生活废水</w:t>
      </w:r>
      <w:r>
        <w:rPr>
          <w:rFonts w:hint="eastAsia"/>
        </w:rPr>
        <w:t>。</w:t>
      </w:r>
    </w:p>
    <w:p w14:paraId="69B2591D">
      <w:pPr>
        <w:ind w:firstLine="480"/>
      </w:pPr>
      <w:r>
        <w:t>（</w:t>
      </w:r>
      <w:r>
        <w:rPr>
          <w:rFonts w:hint="eastAsia"/>
        </w:rPr>
        <w:t>1</w:t>
      </w:r>
      <w:r>
        <w:t>）施工废水</w:t>
      </w:r>
    </w:p>
    <w:p w14:paraId="7A11AEB5">
      <w:pPr>
        <w:ind w:firstLine="480"/>
      </w:pPr>
      <w:r>
        <w:t>本项目不在施工区内洗车，施工废水主要包括混凝土废水、泥浆废水、混凝土保养时排放的废水，主要污染因子为SS，含一定量的泥沙和砾石碎屑等悬浮物，因施工场地分散工程进度不同，废水的产生量与排放量较难估算，在施工现场设置不小于3m</w:t>
      </w:r>
      <w:r>
        <w:rPr>
          <w:vertAlign w:val="superscript"/>
        </w:rPr>
        <w:t>3</w:t>
      </w:r>
      <w:r>
        <w:t>的简易防渗沉淀池沉淀后回用于生产，项目产生的施工废水作到零排放，不会恶化地下水水质</w:t>
      </w:r>
      <w:r>
        <w:rPr>
          <w:rFonts w:hint="eastAsia"/>
        </w:rPr>
        <w:t>。</w:t>
      </w:r>
    </w:p>
    <w:p w14:paraId="13685BA7">
      <w:pPr>
        <w:ind w:firstLine="480"/>
      </w:pPr>
      <w:r>
        <w:t>（</w:t>
      </w:r>
      <w:r>
        <w:rPr>
          <w:rFonts w:hint="eastAsia"/>
        </w:rPr>
        <w:t>2</w:t>
      </w:r>
      <w:r>
        <w:t>）生活污水</w:t>
      </w:r>
    </w:p>
    <w:p w14:paraId="2590DFED">
      <w:pPr>
        <w:ind w:firstLine="480"/>
      </w:pPr>
      <w:r>
        <w:t>本项目施工人员高峰时约</w:t>
      </w:r>
      <w:r>
        <w:rPr>
          <w:rFonts w:hint="eastAsia"/>
        </w:rPr>
        <w:t>30</w:t>
      </w:r>
      <w:r>
        <w:t>人，按平均每人每天用水量为</w:t>
      </w:r>
      <w:r>
        <w:rPr>
          <w:rFonts w:hint="eastAsia"/>
        </w:rPr>
        <w:t>4</w:t>
      </w:r>
      <w:r>
        <w:t>0L计，污水排放量按用水量的80%计，则现场施工人员生活污水产生量约为</w:t>
      </w:r>
      <w:r>
        <w:rPr>
          <w:rFonts w:hint="eastAsia"/>
        </w:rPr>
        <w:t>0.96</w:t>
      </w:r>
      <w:r>
        <w:t>m</w:t>
      </w:r>
      <w:r>
        <w:rPr>
          <w:vertAlign w:val="superscript"/>
        </w:rPr>
        <w:t>3</w:t>
      </w:r>
      <w:r>
        <w:t>/d</w:t>
      </w:r>
      <w:r>
        <w:rPr>
          <w:rFonts w:hint="eastAsia"/>
        </w:rPr>
        <w:t>。</w:t>
      </w:r>
      <w:r>
        <w:t>生活污水主要污染因子为SS、COD、BOD</w:t>
      </w:r>
      <w:r>
        <w:rPr>
          <w:vertAlign w:val="subscript"/>
        </w:rPr>
        <w:t>5</w:t>
      </w:r>
      <w:r>
        <w:t>、氨氮</w:t>
      </w:r>
      <w:r>
        <w:rPr>
          <w:rFonts w:hint="eastAsia"/>
        </w:rPr>
        <w:t>。</w:t>
      </w:r>
    </w:p>
    <w:p w14:paraId="41EB3ACC">
      <w:pPr>
        <w:pStyle w:val="6"/>
        <w:ind w:firstLine="482"/>
      </w:pPr>
      <w:r>
        <w:rPr>
          <w:rFonts w:hint="eastAsia"/>
        </w:rPr>
        <w:t>3.3.1.3施工期</w:t>
      </w:r>
      <w:r>
        <w:t>噪声</w:t>
      </w:r>
      <w:r>
        <w:rPr>
          <w:rFonts w:hint="eastAsia"/>
        </w:rPr>
        <w:t>污染源</w:t>
      </w:r>
    </w:p>
    <w:p w14:paraId="783B8AAF">
      <w:pPr>
        <w:ind w:firstLine="480"/>
      </w:pPr>
      <w:r>
        <w:t>施工期噪声主要来自施工机械噪声、施工作业噪声和运输车辆噪声</w:t>
      </w:r>
      <w:r>
        <w:rPr>
          <w:rFonts w:hint="eastAsia"/>
        </w:rPr>
        <w:t>。</w:t>
      </w:r>
      <w:r>
        <w:t>施工机械噪声由施工机械所造成，如挖土机、打桩机、混凝土搅拌机、升降机等，多为点声源；施工作业噪声主要指一些零星的敲打声、装卸建材的撞击声、施工人员的吆喝声、拆装模板的撞击声等，多为瞬间噪声；运输车辆的噪声属于交通噪声</w:t>
      </w:r>
      <w:r>
        <w:rPr>
          <w:rFonts w:hint="eastAsia"/>
        </w:rPr>
        <w:t>。</w:t>
      </w:r>
    </w:p>
    <w:p w14:paraId="1F444EF7">
      <w:pPr>
        <w:ind w:firstLine="480"/>
      </w:pPr>
      <w:r>
        <w:t>各施工阶段的主要产噪机械设备、运输车辆及其声级值见表3.</w:t>
      </w:r>
      <w:r>
        <w:rPr>
          <w:rFonts w:hint="eastAsia"/>
        </w:rPr>
        <w:t>3</w:t>
      </w:r>
      <w:r>
        <w:t>-2和表3.</w:t>
      </w:r>
      <w:r>
        <w:rPr>
          <w:rFonts w:hint="eastAsia"/>
        </w:rPr>
        <w:t>3</w:t>
      </w:r>
      <w:r>
        <w:t>-3</w:t>
      </w:r>
      <w:r>
        <w:rPr>
          <w:rFonts w:hint="eastAsia"/>
        </w:rPr>
        <w:t>。</w:t>
      </w:r>
    </w:p>
    <w:p w14:paraId="1A962915">
      <w:pPr>
        <w:pStyle w:val="11"/>
      </w:pPr>
      <w:r>
        <w:rPr>
          <w:rFonts w:hint="eastAsia"/>
        </w:rPr>
        <w:t>表3.3-2施工噪声源强声级统计表单位：dB（A）</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0"/>
        <w:gridCol w:w="2131"/>
        <w:gridCol w:w="2130"/>
      </w:tblGrid>
      <w:tr w14:paraId="4F98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Align w:val="center"/>
          </w:tcPr>
          <w:p w14:paraId="0DB2CBD2">
            <w:pPr>
              <w:snapToGrid w:val="0"/>
              <w:spacing w:line="240" w:lineRule="auto"/>
              <w:ind w:firstLine="0" w:firstLineChars="0"/>
              <w:jc w:val="center"/>
              <w:rPr>
                <w:kern w:val="2"/>
                <w:sz w:val="21"/>
                <w:szCs w:val="21"/>
              </w:rPr>
            </w:pPr>
            <w:r>
              <w:rPr>
                <w:rFonts w:hint="eastAsia"/>
                <w:kern w:val="2"/>
                <w:sz w:val="21"/>
                <w:szCs w:val="21"/>
              </w:rPr>
              <w:t>施工阶段</w:t>
            </w:r>
          </w:p>
        </w:tc>
        <w:tc>
          <w:tcPr>
            <w:tcW w:w="2130" w:type="dxa"/>
            <w:vAlign w:val="center"/>
          </w:tcPr>
          <w:p w14:paraId="1F41EBD1">
            <w:pPr>
              <w:snapToGrid w:val="0"/>
              <w:spacing w:line="240" w:lineRule="auto"/>
              <w:ind w:firstLine="0" w:firstLineChars="0"/>
              <w:jc w:val="center"/>
              <w:rPr>
                <w:kern w:val="2"/>
                <w:sz w:val="21"/>
                <w:szCs w:val="21"/>
              </w:rPr>
            </w:pPr>
            <w:r>
              <w:rPr>
                <w:rFonts w:hint="eastAsia"/>
                <w:kern w:val="2"/>
                <w:sz w:val="21"/>
                <w:szCs w:val="21"/>
              </w:rPr>
              <w:t>声源</w:t>
            </w:r>
          </w:p>
        </w:tc>
        <w:tc>
          <w:tcPr>
            <w:tcW w:w="2131" w:type="dxa"/>
            <w:vAlign w:val="center"/>
          </w:tcPr>
          <w:p w14:paraId="3F007111">
            <w:pPr>
              <w:snapToGrid w:val="0"/>
              <w:spacing w:line="240" w:lineRule="auto"/>
              <w:ind w:firstLine="0" w:firstLineChars="0"/>
              <w:jc w:val="center"/>
              <w:rPr>
                <w:kern w:val="2"/>
                <w:sz w:val="21"/>
                <w:szCs w:val="21"/>
              </w:rPr>
            </w:pPr>
            <w:r>
              <w:rPr>
                <w:rFonts w:hint="eastAsia"/>
                <w:kern w:val="2"/>
                <w:sz w:val="21"/>
                <w:szCs w:val="21"/>
              </w:rPr>
              <w:t>声源强度</w:t>
            </w:r>
          </w:p>
        </w:tc>
        <w:tc>
          <w:tcPr>
            <w:tcW w:w="2130" w:type="dxa"/>
            <w:vAlign w:val="center"/>
          </w:tcPr>
          <w:p w14:paraId="0EFE5F3D">
            <w:pPr>
              <w:snapToGrid w:val="0"/>
              <w:spacing w:line="240" w:lineRule="auto"/>
              <w:ind w:firstLine="0" w:firstLineChars="0"/>
              <w:jc w:val="center"/>
              <w:rPr>
                <w:kern w:val="2"/>
                <w:sz w:val="21"/>
                <w:szCs w:val="21"/>
              </w:rPr>
            </w:pPr>
            <w:r>
              <w:rPr>
                <w:rFonts w:hint="eastAsia"/>
                <w:kern w:val="2"/>
                <w:sz w:val="21"/>
                <w:szCs w:val="21"/>
              </w:rPr>
              <w:t>声源性质</w:t>
            </w:r>
          </w:p>
        </w:tc>
      </w:tr>
      <w:tr w14:paraId="63CD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14:paraId="21E59BE2">
            <w:pPr>
              <w:snapToGrid w:val="0"/>
              <w:spacing w:line="240" w:lineRule="auto"/>
              <w:ind w:firstLine="0" w:firstLineChars="0"/>
              <w:jc w:val="center"/>
              <w:rPr>
                <w:kern w:val="2"/>
                <w:sz w:val="21"/>
                <w:szCs w:val="21"/>
              </w:rPr>
            </w:pPr>
            <w:r>
              <w:rPr>
                <w:rFonts w:hint="eastAsia"/>
                <w:kern w:val="2"/>
                <w:sz w:val="21"/>
                <w:szCs w:val="21"/>
              </w:rPr>
              <w:t>土石方阶段</w:t>
            </w:r>
          </w:p>
        </w:tc>
        <w:tc>
          <w:tcPr>
            <w:tcW w:w="2130" w:type="dxa"/>
            <w:vAlign w:val="center"/>
          </w:tcPr>
          <w:p w14:paraId="0099E527">
            <w:pPr>
              <w:snapToGrid w:val="0"/>
              <w:spacing w:line="240" w:lineRule="auto"/>
              <w:ind w:firstLine="0" w:firstLineChars="0"/>
              <w:jc w:val="center"/>
              <w:rPr>
                <w:kern w:val="2"/>
                <w:sz w:val="21"/>
                <w:szCs w:val="21"/>
              </w:rPr>
            </w:pPr>
            <w:r>
              <w:rPr>
                <w:rFonts w:hint="eastAsia"/>
                <w:kern w:val="2"/>
                <w:sz w:val="21"/>
                <w:szCs w:val="21"/>
              </w:rPr>
              <w:t>挖掘机</w:t>
            </w:r>
          </w:p>
        </w:tc>
        <w:tc>
          <w:tcPr>
            <w:tcW w:w="2131" w:type="dxa"/>
            <w:vAlign w:val="center"/>
          </w:tcPr>
          <w:p w14:paraId="2AF8B78D">
            <w:pPr>
              <w:snapToGrid w:val="0"/>
              <w:spacing w:line="240" w:lineRule="auto"/>
              <w:ind w:firstLine="0" w:firstLineChars="0"/>
              <w:jc w:val="center"/>
              <w:rPr>
                <w:kern w:val="2"/>
                <w:sz w:val="21"/>
                <w:szCs w:val="21"/>
              </w:rPr>
            </w:pPr>
            <w:r>
              <w:rPr>
                <w:rFonts w:hint="eastAsia"/>
                <w:kern w:val="2"/>
                <w:sz w:val="21"/>
                <w:szCs w:val="21"/>
              </w:rPr>
              <w:t>78-96</w:t>
            </w:r>
          </w:p>
        </w:tc>
        <w:tc>
          <w:tcPr>
            <w:tcW w:w="2130" w:type="dxa"/>
            <w:vMerge w:val="restart"/>
            <w:vAlign w:val="center"/>
          </w:tcPr>
          <w:p w14:paraId="22A66069">
            <w:pPr>
              <w:snapToGrid w:val="0"/>
              <w:spacing w:line="240" w:lineRule="auto"/>
              <w:ind w:firstLine="0" w:firstLineChars="0"/>
              <w:jc w:val="center"/>
              <w:rPr>
                <w:kern w:val="2"/>
                <w:sz w:val="21"/>
                <w:szCs w:val="21"/>
              </w:rPr>
            </w:pPr>
            <w:r>
              <w:rPr>
                <w:rFonts w:hint="eastAsia"/>
                <w:kern w:val="2"/>
                <w:sz w:val="21"/>
                <w:szCs w:val="21"/>
              </w:rPr>
              <w:t>间歇性声源</w:t>
            </w:r>
          </w:p>
        </w:tc>
      </w:tr>
      <w:tr w14:paraId="198F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59DCC12F">
            <w:pPr>
              <w:snapToGrid w:val="0"/>
              <w:spacing w:line="240" w:lineRule="auto"/>
              <w:ind w:firstLine="0" w:firstLineChars="0"/>
              <w:jc w:val="center"/>
              <w:rPr>
                <w:kern w:val="2"/>
                <w:sz w:val="21"/>
                <w:szCs w:val="21"/>
              </w:rPr>
            </w:pPr>
          </w:p>
        </w:tc>
        <w:tc>
          <w:tcPr>
            <w:tcW w:w="2130" w:type="dxa"/>
            <w:vAlign w:val="center"/>
          </w:tcPr>
          <w:p w14:paraId="04EBFD7F">
            <w:pPr>
              <w:snapToGrid w:val="0"/>
              <w:spacing w:line="240" w:lineRule="auto"/>
              <w:ind w:firstLine="0" w:firstLineChars="0"/>
              <w:jc w:val="center"/>
              <w:rPr>
                <w:kern w:val="2"/>
                <w:sz w:val="21"/>
                <w:szCs w:val="21"/>
              </w:rPr>
            </w:pPr>
            <w:r>
              <w:rPr>
                <w:rFonts w:hint="eastAsia"/>
                <w:kern w:val="2"/>
                <w:sz w:val="21"/>
                <w:szCs w:val="21"/>
              </w:rPr>
              <w:t>推土机</w:t>
            </w:r>
          </w:p>
        </w:tc>
        <w:tc>
          <w:tcPr>
            <w:tcW w:w="2131" w:type="dxa"/>
            <w:vAlign w:val="center"/>
          </w:tcPr>
          <w:p w14:paraId="6C68A74F">
            <w:pPr>
              <w:snapToGrid w:val="0"/>
              <w:spacing w:line="240" w:lineRule="auto"/>
              <w:ind w:firstLine="0" w:firstLineChars="0"/>
              <w:jc w:val="center"/>
              <w:rPr>
                <w:kern w:val="2"/>
                <w:sz w:val="21"/>
                <w:szCs w:val="21"/>
              </w:rPr>
            </w:pPr>
            <w:r>
              <w:rPr>
                <w:rFonts w:hint="eastAsia"/>
                <w:kern w:val="2"/>
                <w:sz w:val="21"/>
                <w:szCs w:val="21"/>
              </w:rPr>
              <w:t>75-95</w:t>
            </w:r>
          </w:p>
        </w:tc>
        <w:tc>
          <w:tcPr>
            <w:tcW w:w="2130" w:type="dxa"/>
            <w:vMerge w:val="continue"/>
            <w:vAlign w:val="center"/>
          </w:tcPr>
          <w:p w14:paraId="05E7680E">
            <w:pPr>
              <w:snapToGrid w:val="0"/>
              <w:spacing w:line="240" w:lineRule="auto"/>
              <w:ind w:firstLine="0" w:firstLineChars="0"/>
              <w:jc w:val="center"/>
              <w:rPr>
                <w:kern w:val="2"/>
                <w:sz w:val="21"/>
                <w:szCs w:val="21"/>
              </w:rPr>
            </w:pPr>
          </w:p>
        </w:tc>
      </w:tr>
      <w:tr w14:paraId="1BD2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34FB21B5">
            <w:pPr>
              <w:snapToGrid w:val="0"/>
              <w:spacing w:line="240" w:lineRule="auto"/>
              <w:ind w:firstLine="0" w:firstLineChars="0"/>
              <w:jc w:val="center"/>
              <w:rPr>
                <w:kern w:val="2"/>
                <w:sz w:val="21"/>
                <w:szCs w:val="21"/>
              </w:rPr>
            </w:pPr>
          </w:p>
        </w:tc>
        <w:tc>
          <w:tcPr>
            <w:tcW w:w="2130" w:type="dxa"/>
            <w:vAlign w:val="center"/>
          </w:tcPr>
          <w:p w14:paraId="2148FAF1">
            <w:pPr>
              <w:snapToGrid w:val="0"/>
              <w:spacing w:line="240" w:lineRule="auto"/>
              <w:ind w:firstLine="0" w:firstLineChars="0"/>
              <w:jc w:val="center"/>
              <w:rPr>
                <w:kern w:val="2"/>
                <w:sz w:val="21"/>
                <w:szCs w:val="21"/>
              </w:rPr>
            </w:pPr>
            <w:r>
              <w:rPr>
                <w:rFonts w:hint="eastAsia"/>
                <w:kern w:val="2"/>
                <w:sz w:val="21"/>
                <w:szCs w:val="21"/>
              </w:rPr>
              <w:t>装载机</w:t>
            </w:r>
          </w:p>
        </w:tc>
        <w:tc>
          <w:tcPr>
            <w:tcW w:w="2131" w:type="dxa"/>
            <w:vAlign w:val="center"/>
          </w:tcPr>
          <w:p w14:paraId="07CFAF65">
            <w:pPr>
              <w:snapToGrid w:val="0"/>
              <w:spacing w:line="240" w:lineRule="auto"/>
              <w:ind w:firstLine="0" w:firstLineChars="0"/>
              <w:jc w:val="center"/>
              <w:rPr>
                <w:kern w:val="2"/>
                <w:sz w:val="21"/>
                <w:szCs w:val="21"/>
              </w:rPr>
            </w:pPr>
            <w:r>
              <w:rPr>
                <w:rFonts w:hint="eastAsia"/>
                <w:kern w:val="2"/>
                <w:sz w:val="21"/>
                <w:szCs w:val="21"/>
              </w:rPr>
              <w:t>75-95</w:t>
            </w:r>
          </w:p>
        </w:tc>
        <w:tc>
          <w:tcPr>
            <w:tcW w:w="2130" w:type="dxa"/>
            <w:vMerge w:val="continue"/>
            <w:vAlign w:val="center"/>
          </w:tcPr>
          <w:p w14:paraId="45885FE0">
            <w:pPr>
              <w:snapToGrid w:val="0"/>
              <w:spacing w:line="240" w:lineRule="auto"/>
              <w:ind w:firstLine="0" w:firstLineChars="0"/>
              <w:jc w:val="center"/>
              <w:rPr>
                <w:kern w:val="2"/>
                <w:sz w:val="21"/>
                <w:szCs w:val="21"/>
              </w:rPr>
            </w:pPr>
          </w:p>
        </w:tc>
      </w:tr>
      <w:tr w14:paraId="14E2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078D9432">
            <w:pPr>
              <w:snapToGrid w:val="0"/>
              <w:spacing w:line="240" w:lineRule="auto"/>
              <w:ind w:firstLine="0" w:firstLineChars="0"/>
              <w:jc w:val="center"/>
              <w:rPr>
                <w:kern w:val="2"/>
                <w:sz w:val="21"/>
                <w:szCs w:val="21"/>
              </w:rPr>
            </w:pPr>
          </w:p>
        </w:tc>
        <w:tc>
          <w:tcPr>
            <w:tcW w:w="2130" w:type="dxa"/>
            <w:vAlign w:val="center"/>
          </w:tcPr>
          <w:p w14:paraId="5D7B084C">
            <w:pPr>
              <w:snapToGrid w:val="0"/>
              <w:spacing w:line="240" w:lineRule="auto"/>
              <w:ind w:firstLine="0" w:firstLineChars="0"/>
              <w:jc w:val="center"/>
              <w:rPr>
                <w:kern w:val="2"/>
                <w:sz w:val="21"/>
                <w:szCs w:val="21"/>
              </w:rPr>
            </w:pPr>
            <w:r>
              <w:rPr>
                <w:rFonts w:hint="eastAsia"/>
                <w:kern w:val="2"/>
                <w:sz w:val="21"/>
                <w:szCs w:val="21"/>
              </w:rPr>
              <w:t>卷扬机</w:t>
            </w:r>
          </w:p>
        </w:tc>
        <w:tc>
          <w:tcPr>
            <w:tcW w:w="2131" w:type="dxa"/>
            <w:vAlign w:val="center"/>
          </w:tcPr>
          <w:p w14:paraId="53FA260C">
            <w:pPr>
              <w:snapToGrid w:val="0"/>
              <w:spacing w:line="240" w:lineRule="auto"/>
              <w:ind w:firstLine="0" w:firstLineChars="0"/>
              <w:jc w:val="center"/>
              <w:rPr>
                <w:kern w:val="2"/>
                <w:sz w:val="21"/>
                <w:szCs w:val="21"/>
              </w:rPr>
            </w:pPr>
            <w:r>
              <w:rPr>
                <w:rFonts w:hint="eastAsia"/>
                <w:kern w:val="2"/>
                <w:sz w:val="21"/>
                <w:szCs w:val="21"/>
              </w:rPr>
              <w:t>90-105</w:t>
            </w:r>
          </w:p>
        </w:tc>
        <w:tc>
          <w:tcPr>
            <w:tcW w:w="2130" w:type="dxa"/>
            <w:vMerge w:val="continue"/>
            <w:vAlign w:val="center"/>
          </w:tcPr>
          <w:p w14:paraId="3E927D6A">
            <w:pPr>
              <w:snapToGrid w:val="0"/>
              <w:spacing w:line="240" w:lineRule="auto"/>
              <w:ind w:firstLine="0" w:firstLineChars="0"/>
              <w:jc w:val="center"/>
              <w:rPr>
                <w:kern w:val="2"/>
                <w:sz w:val="21"/>
                <w:szCs w:val="21"/>
              </w:rPr>
            </w:pPr>
          </w:p>
        </w:tc>
      </w:tr>
      <w:tr w14:paraId="6C01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14:paraId="437D5078">
            <w:pPr>
              <w:snapToGrid w:val="0"/>
              <w:spacing w:line="240" w:lineRule="auto"/>
              <w:ind w:firstLine="0" w:firstLineChars="0"/>
              <w:jc w:val="center"/>
              <w:rPr>
                <w:kern w:val="2"/>
                <w:sz w:val="21"/>
                <w:szCs w:val="21"/>
              </w:rPr>
            </w:pPr>
            <w:r>
              <w:rPr>
                <w:rFonts w:hint="eastAsia"/>
                <w:kern w:val="2"/>
                <w:sz w:val="21"/>
                <w:szCs w:val="21"/>
              </w:rPr>
              <w:t>底板与结构阶段</w:t>
            </w:r>
          </w:p>
        </w:tc>
        <w:tc>
          <w:tcPr>
            <w:tcW w:w="2130" w:type="dxa"/>
            <w:vAlign w:val="center"/>
          </w:tcPr>
          <w:p w14:paraId="3984E18A">
            <w:pPr>
              <w:snapToGrid w:val="0"/>
              <w:spacing w:line="240" w:lineRule="auto"/>
              <w:ind w:firstLine="0" w:firstLineChars="0"/>
              <w:jc w:val="center"/>
              <w:rPr>
                <w:kern w:val="2"/>
                <w:sz w:val="21"/>
                <w:szCs w:val="21"/>
              </w:rPr>
            </w:pPr>
            <w:r>
              <w:rPr>
                <w:rFonts w:hint="eastAsia"/>
                <w:kern w:val="2"/>
                <w:sz w:val="21"/>
                <w:szCs w:val="21"/>
              </w:rPr>
              <w:t>混凝土输送泵</w:t>
            </w:r>
          </w:p>
        </w:tc>
        <w:tc>
          <w:tcPr>
            <w:tcW w:w="2131" w:type="dxa"/>
            <w:vAlign w:val="center"/>
          </w:tcPr>
          <w:p w14:paraId="39CD2BB9">
            <w:pPr>
              <w:snapToGrid w:val="0"/>
              <w:spacing w:line="240" w:lineRule="auto"/>
              <w:ind w:firstLine="0" w:firstLineChars="0"/>
              <w:jc w:val="center"/>
              <w:rPr>
                <w:kern w:val="2"/>
                <w:sz w:val="21"/>
                <w:szCs w:val="21"/>
              </w:rPr>
            </w:pPr>
            <w:r>
              <w:rPr>
                <w:rFonts w:hint="eastAsia"/>
                <w:kern w:val="2"/>
                <w:sz w:val="21"/>
                <w:szCs w:val="21"/>
              </w:rPr>
              <w:t>90-100</w:t>
            </w:r>
          </w:p>
        </w:tc>
        <w:tc>
          <w:tcPr>
            <w:tcW w:w="2130" w:type="dxa"/>
            <w:vMerge w:val="continue"/>
            <w:vAlign w:val="center"/>
          </w:tcPr>
          <w:p w14:paraId="0F1321B7">
            <w:pPr>
              <w:snapToGrid w:val="0"/>
              <w:spacing w:line="240" w:lineRule="auto"/>
              <w:ind w:firstLine="0" w:firstLineChars="0"/>
              <w:jc w:val="center"/>
              <w:rPr>
                <w:kern w:val="2"/>
                <w:sz w:val="21"/>
                <w:szCs w:val="21"/>
              </w:rPr>
            </w:pPr>
          </w:p>
        </w:tc>
      </w:tr>
      <w:tr w14:paraId="04AB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02D78823">
            <w:pPr>
              <w:snapToGrid w:val="0"/>
              <w:spacing w:line="240" w:lineRule="auto"/>
              <w:ind w:firstLine="0" w:firstLineChars="0"/>
              <w:jc w:val="center"/>
              <w:rPr>
                <w:kern w:val="2"/>
                <w:sz w:val="21"/>
                <w:szCs w:val="21"/>
              </w:rPr>
            </w:pPr>
          </w:p>
        </w:tc>
        <w:tc>
          <w:tcPr>
            <w:tcW w:w="2130" w:type="dxa"/>
            <w:vAlign w:val="center"/>
          </w:tcPr>
          <w:p w14:paraId="218E49B5">
            <w:pPr>
              <w:snapToGrid w:val="0"/>
              <w:spacing w:line="240" w:lineRule="auto"/>
              <w:ind w:firstLine="0" w:firstLineChars="0"/>
              <w:jc w:val="center"/>
              <w:rPr>
                <w:kern w:val="2"/>
                <w:sz w:val="21"/>
                <w:szCs w:val="21"/>
              </w:rPr>
            </w:pPr>
            <w:r>
              <w:rPr>
                <w:rFonts w:hint="eastAsia"/>
                <w:kern w:val="2"/>
                <w:sz w:val="21"/>
                <w:szCs w:val="21"/>
              </w:rPr>
              <w:t>振捣器</w:t>
            </w:r>
          </w:p>
        </w:tc>
        <w:tc>
          <w:tcPr>
            <w:tcW w:w="2131" w:type="dxa"/>
            <w:vAlign w:val="center"/>
          </w:tcPr>
          <w:p w14:paraId="6AAE77ED">
            <w:pPr>
              <w:snapToGrid w:val="0"/>
              <w:spacing w:line="240" w:lineRule="auto"/>
              <w:ind w:firstLine="0" w:firstLineChars="0"/>
              <w:jc w:val="center"/>
              <w:rPr>
                <w:kern w:val="2"/>
                <w:sz w:val="21"/>
                <w:szCs w:val="21"/>
              </w:rPr>
            </w:pPr>
            <w:r>
              <w:rPr>
                <w:rFonts w:hint="eastAsia"/>
                <w:kern w:val="2"/>
                <w:sz w:val="21"/>
                <w:szCs w:val="21"/>
              </w:rPr>
              <w:t>100-105</w:t>
            </w:r>
          </w:p>
        </w:tc>
        <w:tc>
          <w:tcPr>
            <w:tcW w:w="2130" w:type="dxa"/>
            <w:vMerge w:val="continue"/>
            <w:vAlign w:val="center"/>
          </w:tcPr>
          <w:p w14:paraId="423BA167">
            <w:pPr>
              <w:snapToGrid w:val="0"/>
              <w:spacing w:line="240" w:lineRule="auto"/>
              <w:ind w:firstLine="0" w:firstLineChars="0"/>
              <w:jc w:val="center"/>
              <w:rPr>
                <w:kern w:val="2"/>
                <w:sz w:val="21"/>
                <w:szCs w:val="21"/>
              </w:rPr>
            </w:pPr>
          </w:p>
        </w:tc>
      </w:tr>
      <w:tr w14:paraId="18C0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4EAD8EF5">
            <w:pPr>
              <w:snapToGrid w:val="0"/>
              <w:spacing w:line="240" w:lineRule="auto"/>
              <w:ind w:firstLine="0" w:firstLineChars="0"/>
              <w:jc w:val="center"/>
              <w:rPr>
                <w:kern w:val="2"/>
                <w:sz w:val="21"/>
                <w:szCs w:val="21"/>
              </w:rPr>
            </w:pPr>
          </w:p>
        </w:tc>
        <w:tc>
          <w:tcPr>
            <w:tcW w:w="2130" w:type="dxa"/>
            <w:vAlign w:val="center"/>
          </w:tcPr>
          <w:p w14:paraId="73521F33">
            <w:pPr>
              <w:snapToGrid w:val="0"/>
              <w:spacing w:line="240" w:lineRule="auto"/>
              <w:ind w:firstLine="0" w:firstLineChars="0"/>
              <w:jc w:val="center"/>
              <w:rPr>
                <w:kern w:val="2"/>
                <w:sz w:val="21"/>
                <w:szCs w:val="21"/>
              </w:rPr>
            </w:pPr>
            <w:r>
              <w:rPr>
                <w:rFonts w:hint="eastAsia"/>
                <w:kern w:val="2"/>
                <w:sz w:val="21"/>
                <w:szCs w:val="21"/>
              </w:rPr>
              <w:t>电焊机</w:t>
            </w:r>
          </w:p>
        </w:tc>
        <w:tc>
          <w:tcPr>
            <w:tcW w:w="2131" w:type="dxa"/>
            <w:vAlign w:val="center"/>
          </w:tcPr>
          <w:p w14:paraId="3083CB55">
            <w:pPr>
              <w:snapToGrid w:val="0"/>
              <w:spacing w:line="240" w:lineRule="auto"/>
              <w:ind w:firstLine="0" w:firstLineChars="0"/>
              <w:jc w:val="center"/>
              <w:rPr>
                <w:kern w:val="2"/>
                <w:sz w:val="21"/>
                <w:szCs w:val="21"/>
              </w:rPr>
            </w:pPr>
            <w:r>
              <w:rPr>
                <w:rFonts w:hint="eastAsia"/>
                <w:kern w:val="2"/>
                <w:sz w:val="21"/>
                <w:szCs w:val="21"/>
              </w:rPr>
              <w:t>90-95</w:t>
            </w:r>
          </w:p>
        </w:tc>
        <w:tc>
          <w:tcPr>
            <w:tcW w:w="2130" w:type="dxa"/>
            <w:vMerge w:val="continue"/>
            <w:vAlign w:val="center"/>
          </w:tcPr>
          <w:p w14:paraId="4B1C539F">
            <w:pPr>
              <w:snapToGrid w:val="0"/>
              <w:spacing w:line="240" w:lineRule="auto"/>
              <w:ind w:firstLine="0" w:firstLineChars="0"/>
              <w:jc w:val="center"/>
              <w:rPr>
                <w:kern w:val="2"/>
                <w:sz w:val="21"/>
                <w:szCs w:val="21"/>
              </w:rPr>
            </w:pPr>
          </w:p>
        </w:tc>
      </w:tr>
      <w:tr w14:paraId="398F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36F11D68">
            <w:pPr>
              <w:snapToGrid w:val="0"/>
              <w:spacing w:line="240" w:lineRule="auto"/>
              <w:ind w:firstLine="0" w:firstLineChars="0"/>
              <w:jc w:val="center"/>
              <w:rPr>
                <w:kern w:val="2"/>
                <w:sz w:val="21"/>
                <w:szCs w:val="21"/>
              </w:rPr>
            </w:pPr>
          </w:p>
        </w:tc>
        <w:tc>
          <w:tcPr>
            <w:tcW w:w="2130" w:type="dxa"/>
            <w:vAlign w:val="center"/>
          </w:tcPr>
          <w:p w14:paraId="5B01E284">
            <w:pPr>
              <w:snapToGrid w:val="0"/>
              <w:spacing w:line="240" w:lineRule="auto"/>
              <w:ind w:firstLine="0" w:firstLineChars="0"/>
              <w:jc w:val="center"/>
              <w:rPr>
                <w:kern w:val="2"/>
                <w:sz w:val="21"/>
                <w:szCs w:val="21"/>
              </w:rPr>
            </w:pPr>
            <w:r>
              <w:rPr>
                <w:rFonts w:hint="eastAsia"/>
                <w:kern w:val="2"/>
                <w:sz w:val="21"/>
                <w:szCs w:val="21"/>
              </w:rPr>
              <w:t>空压机</w:t>
            </w:r>
          </w:p>
        </w:tc>
        <w:tc>
          <w:tcPr>
            <w:tcW w:w="2131" w:type="dxa"/>
            <w:vAlign w:val="center"/>
          </w:tcPr>
          <w:p w14:paraId="725BC395">
            <w:pPr>
              <w:snapToGrid w:val="0"/>
              <w:spacing w:line="240" w:lineRule="auto"/>
              <w:ind w:firstLine="0" w:firstLineChars="0"/>
              <w:jc w:val="center"/>
              <w:rPr>
                <w:kern w:val="2"/>
                <w:sz w:val="21"/>
                <w:szCs w:val="21"/>
              </w:rPr>
            </w:pPr>
            <w:r>
              <w:rPr>
                <w:rFonts w:hint="eastAsia"/>
                <w:kern w:val="2"/>
                <w:sz w:val="21"/>
                <w:szCs w:val="21"/>
              </w:rPr>
              <w:t>110</w:t>
            </w:r>
          </w:p>
        </w:tc>
        <w:tc>
          <w:tcPr>
            <w:tcW w:w="2130" w:type="dxa"/>
            <w:vMerge w:val="continue"/>
            <w:vAlign w:val="center"/>
          </w:tcPr>
          <w:p w14:paraId="456B1EF8">
            <w:pPr>
              <w:snapToGrid w:val="0"/>
              <w:spacing w:line="240" w:lineRule="auto"/>
              <w:ind w:firstLine="0" w:firstLineChars="0"/>
              <w:jc w:val="center"/>
              <w:rPr>
                <w:kern w:val="2"/>
                <w:sz w:val="21"/>
                <w:szCs w:val="21"/>
              </w:rPr>
            </w:pPr>
          </w:p>
        </w:tc>
      </w:tr>
      <w:tr w14:paraId="0214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6005D364">
            <w:pPr>
              <w:snapToGrid w:val="0"/>
              <w:spacing w:line="240" w:lineRule="auto"/>
              <w:ind w:firstLine="0" w:firstLineChars="0"/>
              <w:jc w:val="center"/>
              <w:rPr>
                <w:kern w:val="2"/>
                <w:sz w:val="21"/>
                <w:szCs w:val="21"/>
              </w:rPr>
            </w:pPr>
          </w:p>
        </w:tc>
        <w:tc>
          <w:tcPr>
            <w:tcW w:w="2130" w:type="dxa"/>
            <w:vAlign w:val="center"/>
          </w:tcPr>
          <w:p w14:paraId="5A8B9E95">
            <w:pPr>
              <w:snapToGrid w:val="0"/>
              <w:spacing w:line="240" w:lineRule="auto"/>
              <w:ind w:firstLine="0" w:firstLineChars="0"/>
              <w:jc w:val="center"/>
              <w:rPr>
                <w:kern w:val="2"/>
                <w:sz w:val="21"/>
                <w:szCs w:val="21"/>
              </w:rPr>
            </w:pPr>
            <w:r>
              <w:rPr>
                <w:rFonts w:hint="eastAsia"/>
                <w:kern w:val="2"/>
                <w:sz w:val="21"/>
                <w:szCs w:val="21"/>
              </w:rPr>
              <w:t>夯土机</w:t>
            </w:r>
          </w:p>
        </w:tc>
        <w:tc>
          <w:tcPr>
            <w:tcW w:w="2131" w:type="dxa"/>
            <w:vAlign w:val="center"/>
          </w:tcPr>
          <w:p w14:paraId="394FB29D">
            <w:pPr>
              <w:snapToGrid w:val="0"/>
              <w:spacing w:line="240" w:lineRule="auto"/>
              <w:ind w:firstLine="0" w:firstLineChars="0"/>
              <w:jc w:val="center"/>
              <w:rPr>
                <w:kern w:val="2"/>
                <w:sz w:val="21"/>
                <w:szCs w:val="21"/>
              </w:rPr>
            </w:pPr>
            <w:r>
              <w:rPr>
                <w:rFonts w:hint="eastAsia"/>
                <w:kern w:val="2"/>
                <w:sz w:val="21"/>
                <w:szCs w:val="21"/>
              </w:rPr>
              <w:t>110</w:t>
            </w:r>
          </w:p>
        </w:tc>
        <w:tc>
          <w:tcPr>
            <w:tcW w:w="2130" w:type="dxa"/>
            <w:vMerge w:val="continue"/>
            <w:vAlign w:val="center"/>
          </w:tcPr>
          <w:p w14:paraId="41840DDF">
            <w:pPr>
              <w:snapToGrid w:val="0"/>
              <w:spacing w:line="240" w:lineRule="auto"/>
              <w:ind w:firstLine="0" w:firstLineChars="0"/>
              <w:jc w:val="center"/>
              <w:rPr>
                <w:kern w:val="2"/>
                <w:sz w:val="21"/>
                <w:szCs w:val="21"/>
              </w:rPr>
            </w:pPr>
          </w:p>
        </w:tc>
      </w:tr>
      <w:tr w14:paraId="68E3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14:paraId="7AA9025F">
            <w:pPr>
              <w:snapToGrid w:val="0"/>
              <w:spacing w:line="240" w:lineRule="auto"/>
              <w:ind w:firstLine="0" w:firstLineChars="0"/>
              <w:jc w:val="center"/>
              <w:rPr>
                <w:kern w:val="2"/>
                <w:sz w:val="21"/>
                <w:szCs w:val="21"/>
              </w:rPr>
            </w:pPr>
            <w:r>
              <w:rPr>
                <w:rFonts w:hint="eastAsia"/>
                <w:kern w:val="2"/>
                <w:sz w:val="21"/>
                <w:szCs w:val="21"/>
              </w:rPr>
              <w:t>装修、安装阶段</w:t>
            </w:r>
          </w:p>
        </w:tc>
        <w:tc>
          <w:tcPr>
            <w:tcW w:w="2130" w:type="dxa"/>
            <w:vAlign w:val="center"/>
          </w:tcPr>
          <w:p w14:paraId="40CCFA17">
            <w:pPr>
              <w:snapToGrid w:val="0"/>
              <w:spacing w:line="240" w:lineRule="auto"/>
              <w:ind w:firstLine="0" w:firstLineChars="0"/>
              <w:jc w:val="center"/>
              <w:rPr>
                <w:kern w:val="2"/>
                <w:sz w:val="21"/>
                <w:szCs w:val="21"/>
              </w:rPr>
            </w:pPr>
            <w:r>
              <w:rPr>
                <w:rFonts w:hint="eastAsia"/>
                <w:kern w:val="2"/>
                <w:sz w:val="21"/>
                <w:szCs w:val="21"/>
              </w:rPr>
              <w:t>电钻</w:t>
            </w:r>
          </w:p>
        </w:tc>
        <w:tc>
          <w:tcPr>
            <w:tcW w:w="2131" w:type="dxa"/>
            <w:vAlign w:val="center"/>
          </w:tcPr>
          <w:p w14:paraId="12A30D6A">
            <w:pPr>
              <w:snapToGrid w:val="0"/>
              <w:spacing w:line="240" w:lineRule="auto"/>
              <w:ind w:firstLine="0" w:firstLineChars="0"/>
              <w:jc w:val="center"/>
              <w:rPr>
                <w:kern w:val="2"/>
                <w:sz w:val="21"/>
                <w:szCs w:val="21"/>
              </w:rPr>
            </w:pPr>
            <w:r>
              <w:rPr>
                <w:rFonts w:hint="eastAsia"/>
                <w:kern w:val="2"/>
                <w:sz w:val="21"/>
                <w:szCs w:val="21"/>
              </w:rPr>
              <w:t>100-105</w:t>
            </w:r>
          </w:p>
        </w:tc>
        <w:tc>
          <w:tcPr>
            <w:tcW w:w="2130" w:type="dxa"/>
            <w:vMerge w:val="continue"/>
            <w:vAlign w:val="center"/>
          </w:tcPr>
          <w:p w14:paraId="144652CF">
            <w:pPr>
              <w:snapToGrid w:val="0"/>
              <w:spacing w:line="240" w:lineRule="auto"/>
              <w:ind w:firstLine="0" w:firstLineChars="0"/>
              <w:jc w:val="center"/>
              <w:rPr>
                <w:kern w:val="2"/>
                <w:sz w:val="21"/>
                <w:szCs w:val="21"/>
              </w:rPr>
            </w:pPr>
          </w:p>
        </w:tc>
      </w:tr>
      <w:tr w14:paraId="1332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7B63B527">
            <w:pPr>
              <w:snapToGrid w:val="0"/>
              <w:spacing w:line="240" w:lineRule="auto"/>
              <w:ind w:firstLine="0" w:firstLineChars="0"/>
              <w:jc w:val="center"/>
              <w:rPr>
                <w:kern w:val="2"/>
                <w:sz w:val="21"/>
                <w:szCs w:val="21"/>
              </w:rPr>
            </w:pPr>
          </w:p>
        </w:tc>
        <w:tc>
          <w:tcPr>
            <w:tcW w:w="2130" w:type="dxa"/>
            <w:vAlign w:val="center"/>
          </w:tcPr>
          <w:p w14:paraId="3B29A0DD">
            <w:pPr>
              <w:snapToGrid w:val="0"/>
              <w:spacing w:line="240" w:lineRule="auto"/>
              <w:ind w:firstLine="0" w:firstLineChars="0"/>
              <w:jc w:val="center"/>
              <w:rPr>
                <w:kern w:val="2"/>
                <w:sz w:val="21"/>
                <w:szCs w:val="21"/>
              </w:rPr>
            </w:pPr>
            <w:r>
              <w:rPr>
                <w:rFonts w:hint="eastAsia"/>
                <w:kern w:val="2"/>
                <w:sz w:val="21"/>
                <w:szCs w:val="21"/>
              </w:rPr>
              <w:t>多功能木工刨</w:t>
            </w:r>
          </w:p>
        </w:tc>
        <w:tc>
          <w:tcPr>
            <w:tcW w:w="2131" w:type="dxa"/>
            <w:vAlign w:val="center"/>
          </w:tcPr>
          <w:p w14:paraId="470D1653">
            <w:pPr>
              <w:snapToGrid w:val="0"/>
              <w:spacing w:line="240" w:lineRule="auto"/>
              <w:ind w:firstLine="0" w:firstLineChars="0"/>
              <w:jc w:val="center"/>
              <w:rPr>
                <w:kern w:val="2"/>
                <w:sz w:val="21"/>
                <w:szCs w:val="21"/>
              </w:rPr>
            </w:pPr>
            <w:r>
              <w:rPr>
                <w:rFonts w:hint="eastAsia"/>
                <w:kern w:val="2"/>
                <w:sz w:val="21"/>
                <w:szCs w:val="21"/>
              </w:rPr>
              <w:t>90-100</w:t>
            </w:r>
          </w:p>
        </w:tc>
        <w:tc>
          <w:tcPr>
            <w:tcW w:w="2130" w:type="dxa"/>
            <w:vMerge w:val="continue"/>
            <w:vAlign w:val="center"/>
          </w:tcPr>
          <w:p w14:paraId="5C1E5866">
            <w:pPr>
              <w:snapToGrid w:val="0"/>
              <w:spacing w:line="240" w:lineRule="auto"/>
              <w:ind w:firstLine="0" w:firstLineChars="0"/>
              <w:jc w:val="center"/>
              <w:rPr>
                <w:kern w:val="2"/>
                <w:sz w:val="21"/>
                <w:szCs w:val="21"/>
              </w:rPr>
            </w:pPr>
          </w:p>
        </w:tc>
      </w:tr>
      <w:tr w14:paraId="5EFC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07802F5D">
            <w:pPr>
              <w:snapToGrid w:val="0"/>
              <w:spacing w:line="240" w:lineRule="auto"/>
              <w:ind w:firstLine="0" w:firstLineChars="0"/>
              <w:jc w:val="center"/>
              <w:rPr>
                <w:kern w:val="2"/>
                <w:sz w:val="21"/>
                <w:szCs w:val="21"/>
              </w:rPr>
            </w:pPr>
          </w:p>
        </w:tc>
        <w:tc>
          <w:tcPr>
            <w:tcW w:w="2130" w:type="dxa"/>
            <w:vAlign w:val="center"/>
          </w:tcPr>
          <w:p w14:paraId="5BA5AFF7">
            <w:pPr>
              <w:snapToGrid w:val="0"/>
              <w:spacing w:line="240" w:lineRule="auto"/>
              <w:ind w:firstLine="0" w:firstLineChars="0"/>
              <w:jc w:val="center"/>
              <w:rPr>
                <w:kern w:val="2"/>
                <w:sz w:val="21"/>
                <w:szCs w:val="21"/>
              </w:rPr>
            </w:pPr>
            <w:r>
              <w:rPr>
                <w:rFonts w:hint="eastAsia"/>
                <w:kern w:val="2"/>
                <w:sz w:val="21"/>
                <w:szCs w:val="21"/>
              </w:rPr>
              <w:t>角向磨光机</w:t>
            </w:r>
          </w:p>
        </w:tc>
        <w:tc>
          <w:tcPr>
            <w:tcW w:w="2131" w:type="dxa"/>
            <w:vAlign w:val="center"/>
          </w:tcPr>
          <w:p w14:paraId="7E5C84DF">
            <w:pPr>
              <w:snapToGrid w:val="0"/>
              <w:spacing w:line="240" w:lineRule="auto"/>
              <w:ind w:firstLine="0" w:firstLineChars="0"/>
              <w:jc w:val="center"/>
              <w:rPr>
                <w:kern w:val="2"/>
                <w:sz w:val="21"/>
                <w:szCs w:val="21"/>
              </w:rPr>
            </w:pPr>
            <w:r>
              <w:rPr>
                <w:rFonts w:hint="eastAsia"/>
                <w:kern w:val="2"/>
                <w:sz w:val="21"/>
                <w:szCs w:val="21"/>
              </w:rPr>
              <w:t>100-115</w:t>
            </w:r>
          </w:p>
        </w:tc>
        <w:tc>
          <w:tcPr>
            <w:tcW w:w="2130" w:type="dxa"/>
            <w:vMerge w:val="continue"/>
            <w:vAlign w:val="center"/>
          </w:tcPr>
          <w:p w14:paraId="3E625FAA">
            <w:pPr>
              <w:snapToGrid w:val="0"/>
              <w:spacing w:line="240" w:lineRule="auto"/>
              <w:ind w:firstLine="0" w:firstLineChars="0"/>
              <w:jc w:val="center"/>
              <w:rPr>
                <w:kern w:val="2"/>
                <w:sz w:val="21"/>
                <w:szCs w:val="21"/>
              </w:rPr>
            </w:pPr>
          </w:p>
        </w:tc>
      </w:tr>
      <w:tr w14:paraId="2746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240F4546">
            <w:pPr>
              <w:snapToGrid w:val="0"/>
              <w:spacing w:line="240" w:lineRule="auto"/>
              <w:ind w:firstLine="0" w:firstLineChars="0"/>
              <w:jc w:val="center"/>
              <w:rPr>
                <w:kern w:val="2"/>
                <w:sz w:val="21"/>
                <w:szCs w:val="21"/>
              </w:rPr>
            </w:pPr>
          </w:p>
        </w:tc>
        <w:tc>
          <w:tcPr>
            <w:tcW w:w="2130" w:type="dxa"/>
            <w:vAlign w:val="center"/>
          </w:tcPr>
          <w:p w14:paraId="78E15AC7">
            <w:pPr>
              <w:snapToGrid w:val="0"/>
              <w:spacing w:line="240" w:lineRule="auto"/>
              <w:ind w:firstLine="0" w:firstLineChars="0"/>
              <w:jc w:val="center"/>
              <w:rPr>
                <w:kern w:val="2"/>
                <w:sz w:val="21"/>
                <w:szCs w:val="21"/>
              </w:rPr>
            </w:pPr>
            <w:r>
              <w:rPr>
                <w:rFonts w:hint="eastAsia"/>
                <w:kern w:val="2"/>
                <w:sz w:val="21"/>
                <w:szCs w:val="21"/>
              </w:rPr>
              <w:t>手工钻</w:t>
            </w:r>
          </w:p>
        </w:tc>
        <w:tc>
          <w:tcPr>
            <w:tcW w:w="2131" w:type="dxa"/>
            <w:vAlign w:val="center"/>
          </w:tcPr>
          <w:p w14:paraId="78648804">
            <w:pPr>
              <w:snapToGrid w:val="0"/>
              <w:spacing w:line="240" w:lineRule="auto"/>
              <w:ind w:firstLine="0" w:firstLineChars="0"/>
              <w:jc w:val="center"/>
              <w:rPr>
                <w:kern w:val="2"/>
                <w:sz w:val="21"/>
                <w:szCs w:val="21"/>
              </w:rPr>
            </w:pPr>
            <w:r>
              <w:rPr>
                <w:rFonts w:hint="eastAsia"/>
                <w:kern w:val="2"/>
                <w:sz w:val="21"/>
                <w:szCs w:val="21"/>
              </w:rPr>
              <w:t>100-105</w:t>
            </w:r>
          </w:p>
        </w:tc>
        <w:tc>
          <w:tcPr>
            <w:tcW w:w="2130" w:type="dxa"/>
            <w:vMerge w:val="continue"/>
            <w:vAlign w:val="center"/>
          </w:tcPr>
          <w:p w14:paraId="43C2E7E1">
            <w:pPr>
              <w:snapToGrid w:val="0"/>
              <w:spacing w:line="240" w:lineRule="auto"/>
              <w:ind w:firstLine="0" w:firstLineChars="0"/>
              <w:jc w:val="center"/>
              <w:rPr>
                <w:kern w:val="2"/>
                <w:sz w:val="21"/>
                <w:szCs w:val="21"/>
              </w:rPr>
            </w:pPr>
          </w:p>
        </w:tc>
      </w:tr>
    </w:tbl>
    <w:p w14:paraId="57E67743">
      <w:pPr>
        <w:pStyle w:val="11"/>
      </w:pPr>
      <w:r>
        <w:rPr>
          <w:rFonts w:hint="eastAsia"/>
        </w:rPr>
        <w:t>表3.3-3运输车辆交通噪声源强统计表单位：dB（A）</w:t>
      </w:r>
    </w:p>
    <w:tbl>
      <w:tblPr>
        <w:tblStyle w:val="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2666"/>
        <w:gridCol w:w="2131"/>
        <w:gridCol w:w="2131"/>
      </w:tblGrid>
      <w:tr w14:paraId="7076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4" w:type="dxa"/>
            <w:vAlign w:val="center"/>
          </w:tcPr>
          <w:p w14:paraId="3F7A2805">
            <w:pPr>
              <w:snapToGrid w:val="0"/>
              <w:spacing w:line="240" w:lineRule="auto"/>
              <w:ind w:firstLine="0" w:firstLineChars="0"/>
              <w:jc w:val="center"/>
              <w:rPr>
                <w:kern w:val="2"/>
                <w:sz w:val="21"/>
                <w:szCs w:val="21"/>
              </w:rPr>
            </w:pPr>
            <w:r>
              <w:rPr>
                <w:rFonts w:hint="eastAsia"/>
                <w:kern w:val="2"/>
                <w:sz w:val="21"/>
                <w:szCs w:val="21"/>
              </w:rPr>
              <w:t>施工阶段</w:t>
            </w:r>
          </w:p>
        </w:tc>
        <w:tc>
          <w:tcPr>
            <w:tcW w:w="2666" w:type="dxa"/>
            <w:vAlign w:val="center"/>
          </w:tcPr>
          <w:p w14:paraId="4C5E2A1F">
            <w:pPr>
              <w:snapToGrid w:val="0"/>
              <w:spacing w:line="240" w:lineRule="auto"/>
              <w:ind w:firstLine="0" w:firstLineChars="0"/>
              <w:jc w:val="center"/>
              <w:rPr>
                <w:kern w:val="2"/>
                <w:sz w:val="21"/>
                <w:szCs w:val="21"/>
              </w:rPr>
            </w:pPr>
            <w:r>
              <w:rPr>
                <w:rFonts w:hint="eastAsia"/>
                <w:kern w:val="2"/>
                <w:sz w:val="21"/>
                <w:szCs w:val="21"/>
              </w:rPr>
              <w:t>运输内容</w:t>
            </w:r>
          </w:p>
        </w:tc>
        <w:tc>
          <w:tcPr>
            <w:tcW w:w="2131" w:type="dxa"/>
            <w:vAlign w:val="center"/>
          </w:tcPr>
          <w:p w14:paraId="5382CD17">
            <w:pPr>
              <w:snapToGrid w:val="0"/>
              <w:spacing w:line="240" w:lineRule="auto"/>
              <w:ind w:firstLine="0" w:firstLineChars="0"/>
              <w:jc w:val="center"/>
              <w:rPr>
                <w:kern w:val="2"/>
                <w:sz w:val="21"/>
                <w:szCs w:val="21"/>
              </w:rPr>
            </w:pPr>
            <w:r>
              <w:rPr>
                <w:rFonts w:hint="eastAsia"/>
                <w:kern w:val="2"/>
                <w:sz w:val="21"/>
                <w:szCs w:val="21"/>
              </w:rPr>
              <w:t>车辆类型</w:t>
            </w:r>
          </w:p>
        </w:tc>
        <w:tc>
          <w:tcPr>
            <w:tcW w:w="2131" w:type="dxa"/>
            <w:vAlign w:val="center"/>
          </w:tcPr>
          <w:p w14:paraId="5C02BF6C">
            <w:pPr>
              <w:snapToGrid w:val="0"/>
              <w:spacing w:line="240" w:lineRule="auto"/>
              <w:ind w:firstLine="0" w:firstLineChars="0"/>
              <w:jc w:val="center"/>
              <w:rPr>
                <w:kern w:val="2"/>
                <w:sz w:val="21"/>
                <w:szCs w:val="21"/>
              </w:rPr>
            </w:pPr>
            <w:r>
              <w:rPr>
                <w:rFonts w:hint="eastAsia"/>
                <w:kern w:val="2"/>
                <w:sz w:val="21"/>
                <w:szCs w:val="21"/>
              </w:rPr>
              <w:t>声源强度</w:t>
            </w:r>
          </w:p>
        </w:tc>
      </w:tr>
      <w:tr w14:paraId="2E0D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14:paraId="0EB7718E">
            <w:pPr>
              <w:snapToGrid w:val="0"/>
              <w:spacing w:line="240" w:lineRule="auto"/>
              <w:ind w:firstLine="0" w:firstLineChars="0"/>
              <w:jc w:val="center"/>
              <w:rPr>
                <w:kern w:val="2"/>
                <w:sz w:val="21"/>
                <w:szCs w:val="21"/>
              </w:rPr>
            </w:pPr>
            <w:r>
              <w:rPr>
                <w:rFonts w:hint="eastAsia"/>
                <w:kern w:val="2"/>
                <w:sz w:val="21"/>
                <w:szCs w:val="21"/>
              </w:rPr>
              <w:t>基础工程</w:t>
            </w:r>
          </w:p>
        </w:tc>
        <w:tc>
          <w:tcPr>
            <w:tcW w:w="2666" w:type="dxa"/>
            <w:vAlign w:val="center"/>
          </w:tcPr>
          <w:p w14:paraId="2E8C05F7">
            <w:pPr>
              <w:snapToGrid w:val="0"/>
              <w:spacing w:line="240" w:lineRule="auto"/>
              <w:ind w:firstLine="0" w:firstLineChars="0"/>
              <w:jc w:val="center"/>
              <w:rPr>
                <w:kern w:val="2"/>
                <w:sz w:val="21"/>
                <w:szCs w:val="21"/>
              </w:rPr>
            </w:pPr>
            <w:r>
              <w:rPr>
                <w:kern w:val="2"/>
                <w:sz w:val="21"/>
                <w:szCs w:val="21"/>
              </w:rPr>
              <w:t>弃土外运</w:t>
            </w:r>
          </w:p>
        </w:tc>
        <w:tc>
          <w:tcPr>
            <w:tcW w:w="2131" w:type="dxa"/>
            <w:vAlign w:val="center"/>
          </w:tcPr>
          <w:p w14:paraId="4CCDA31B">
            <w:pPr>
              <w:snapToGrid w:val="0"/>
              <w:spacing w:line="240" w:lineRule="auto"/>
              <w:ind w:firstLine="0" w:firstLineChars="0"/>
              <w:jc w:val="center"/>
              <w:rPr>
                <w:kern w:val="2"/>
                <w:sz w:val="21"/>
                <w:szCs w:val="21"/>
              </w:rPr>
            </w:pPr>
            <w:r>
              <w:rPr>
                <w:kern w:val="2"/>
                <w:sz w:val="21"/>
                <w:szCs w:val="21"/>
              </w:rPr>
              <w:t>大型载重车</w:t>
            </w:r>
          </w:p>
        </w:tc>
        <w:tc>
          <w:tcPr>
            <w:tcW w:w="2131" w:type="dxa"/>
            <w:vAlign w:val="center"/>
          </w:tcPr>
          <w:p w14:paraId="07F71C80">
            <w:pPr>
              <w:snapToGrid w:val="0"/>
              <w:spacing w:line="240" w:lineRule="auto"/>
              <w:ind w:firstLine="0" w:firstLineChars="0"/>
              <w:jc w:val="center"/>
              <w:rPr>
                <w:kern w:val="2"/>
                <w:sz w:val="21"/>
                <w:szCs w:val="21"/>
              </w:rPr>
            </w:pPr>
            <w:r>
              <w:rPr>
                <w:rFonts w:hint="eastAsia"/>
                <w:kern w:val="2"/>
                <w:sz w:val="21"/>
                <w:szCs w:val="21"/>
              </w:rPr>
              <w:t>84-89</w:t>
            </w:r>
          </w:p>
        </w:tc>
      </w:tr>
      <w:tr w14:paraId="6E50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14:paraId="484DC56E">
            <w:pPr>
              <w:snapToGrid w:val="0"/>
              <w:spacing w:line="240" w:lineRule="auto"/>
              <w:ind w:firstLine="0" w:firstLineChars="0"/>
              <w:jc w:val="center"/>
              <w:rPr>
                <w:kern w:val="2"/>
                <w:sz w:val="21"/>
                <w:szCs w:val="21"/>
              </w:rPr>
            </w:pPr>
            <w:r>
              <w:rPr>
                <w:rFonts w:hint="eastAsia"/>
                <w:kern w:val="2"/>
                <w:sz w:val="21"/>
                <w:szCs w:val="21"/>
              </w:rPr>
              <w:t>主体工程</w:t>
            </w:r>
          </w:p>
        </w:tc>
        <w:tc>
          <w:tcPr>
            <w:tcW w:w="2666" w:type="dxa"/>
            <w:vAlign w:val="center"/>
          </w:tcPr>
          <w:p w14:paraId="6A9BDA6F">
            <w:pPr>
              <w:snapToGrid w:val="0"/>
              <w:spacing w:line="240" w:lineRule="auto"/>
              <w:ind w:firstLine="0" w:firstLineChars="0"/>
              <w:jc w:val="center"/>
              <w:rPr>
                <w:kern w:val="2"/>
                <w:sz w:val="21"/>
                <w:szCs w:val="21"/>
              </w:rPr>
            </w:pPr>
            <w:r>
              <w:rPr>
                <w:kern w:val="2"/>
                <w:sz w:val="21"/>
                <w:szCs w:val="21"/>
              </w:rPr>
              <w:t>钢筋、商品混凝土</w:t>
            </w:r>
          </w:p>
        </w:tc>
        <w:tc>
          <w:tcPr>
            <w:tcW w:w="2131" w:type="dxa"/>
            <w:vAlign w:val="center"/>
          </w:tcPr>
          <w:p w14:paraId="7817CD7B">
            <w:pPr>
              <w:snapToGrid w:val="0"/>
              <w:spacing w:line="240" w:lineRule="auto"/>
              <w:ind w:firstLine="0" w:firstLineChars="0"/>
              <w:jc w:val="center"/>
              <w:rPr>
                <w:kern w:val="2"/>
                <w:sz w:val="21"/>
                <w:szCs w:val="21"/>
              </w:rPr>
            </w:pPr>
            <w:r>
              <w:rPr>
                <w:kern w:val="2"/>
                <w:sz w:val="21"/>
                <w:szCs w:val="21"/>
              </w:rPr>
              <w:t>混凝土罐车、载重车</w:t>
            </w:r>
          </w:p>
        </w:tc>
        <w:tc>
          <w:tcPr>
            <w:tcW w:w="2131" w:type="dxa"/>
            <w:vAlign w:val="center"/>
          </w:tcPr>
          <w:p w14:paraId="4432DCDF">
            <w:pPr>
              <w:snapToGrid w:val="0"/>
              <w:spacing w:line="240" w:lineRule="auto"/>
              <w:ind w:firstLine="0" w:firstLineChars="0"/>
              <w:jc w:val="center"/>
              <w:rPr>
                <w:kern w:val="2"/>
                <w:sz w:val="21"/>
                <w:szCs w:val="21"/>
              </w:rPr>
            </w:pPr>
            <w:r>
              <w:rPr>
                <w:rFonts w:hint="eastAsia"/>
                <w:kern w:val="2"/>
                <w:sz w:val="21"/>
                <w:szCs w:val="21"/>
              </w:rPr>
              <w:t>80-85</w:t>
            </w:r>
          </w:p>
        </w:tc>
      </w:tr>
      <w:tr w14:paraId="67D1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14:paraId="15ED672E">
            <w:pPr>
              <w:snapToGrid w:val="0"/>
              <w:spacing w:line="240" w:lineRule="auto"/>
              <w:ind w:firstLine="0" w:firstLineChars="0"/>
              <w:jc w:val="center"/>
              <w:rPr>
                <w:kern w:val="2"/>
                <w:sz w:val="21"/>
                <w:szCs w:val="21"/>
              </w:rPr>
            </w:pPr>
            <w:r>
              <w:rPr>
                <w:rFonts w:hint="eastAsia"/>
                <w:kern w:val="2"/>
                <w:sz w:val="21"/>
                <w:szCs w:val="21"/>
              </w:rPr>
              <w:t>装饰工程</w:t>
            </w:r>
          </w:p>
        </w:tc>
        <w:tc>
          <w:tcPr>
            <w:tcW w:w="2666" w:type="dxa"/>
            <w:vAlign w:val="center"/>
          </w:tcPr>
          <w:p w14:paraId="4F9C0D60">
            <w:pPr>
              <w:snapToGrid w:val="0"/>
              <w:spacing w:line="240" w:lineRule="auto"/>
              <w:ind w:firstLine="0" w:firstLineChars="0"/>
              <w:jc w:val="center"/>
              <w:rPr>
                <w:kern w:val="2"/>
                <w:sz w:val="21"/>
                <w:szCs w:val="21"/>
              </w:rPr>
            </w:pPr>
            <w:r>
              <w:rPr>
                <w:kern w:val="2"/>
                <w:sz w:val="21"/>
                <w:szCs w:val="21"/>
              </w:rPr>
              <w:t>各种装修材料及必备设备</w:t>
            </w:r>
          </w:p>
        </w:tc>
        <w:tc>
          <w:tcPr>
            <w:tcW w:w="2131" w:type="dxa"/>
            <w:vAlign w:val="center"/>
          </w:tcPr>
          <w:p w14:paraId="30BA0886">
            <w:pPr>
              <w:snapToGrid w:val="0"/>
              <w:spacing w:line="240" w:lineRule="auto"/>
              <w:ind w:firstLine="0" w:firstLineChars="0"/>
              <w:jc w:val="center"/>
              <w:rPr>
                <w:kern w:val="2"/>
                <w:sz w:val="21"/>
                <w:szCs w:val="21"/>
              </w:rPr>
            </w:pPr>
            <w:r>
              <w:rPr>
                <w:kern w:val="2"/>
                <w:sz w:val="21"/>
                <w:szCs w:val="21"/>
              </w:rPr>
              <w:t>轻型载重卡车</w:t>
            </w:r>
          </w:p>
        </w:tc>
        <w:tc>
          <w:tcPr>
            <w:tcW w:w="2131" w:type="dxa"/>
            <w:vAlign w:val="center"/>
          </w:tcPr>
          <w:p w14:paraId="6BE5BEB0">
            <w:pPr>
              <w:snapToGrid w:val="0"/>
              <w:spacing w:line="240" w:lineRule="auto"/>
              <w:ind w:firstLine="0" w:firstLineChars="0"/>
              <w:jc w:val="center"/>
              <w:rPr>
                <w:kern w:val="2"/>
                <w:sz w:val="21"/>
                <w:szCs w:val="21"/>
              </w:rPr>
            </w:pPr>
            <w:r>
              <w:rPr>
                <w:rFonts w:hint="eastAsia"/>
                <w:kern w:val="2"/>
                <w:sz w:val="21"/>
                <w:szCs w:val="21"/>
              </w:rPr>
              <w:t>75-80</w:t>
            </w:r>
          </w:p>
        </w:tc>
      </w:tr>
    </w:tbl>
    <w:p w14:paraId="676DA311">
      <w:pPr>
        <w:pStyle w:val="6"/>
        <w:ind w:firstLine="482"/>
      </w:pPr>
      <w:r>
        <w:rPr>
          <w:rFonts w:hint="eastAsia"/>
        </w:rPr>
        <w:t>3.3.1.4施工期</w:t>
      </w:r>
      <w:r>
        <w:t>固体废物</w:t>
      </w:r>
    </w:p>
    <w:p w14:paraId="7415B3B7">
      <w:pPr>
        <w:ind w:firstLine="480"/>
      </w:pPr>
      <w:r>
        <w:t>施工期间固体废物主要源于施工人员生活垃圾和施工场地产生的建筑垃圾（废弃砖块、废钢筋等）</w:t>
      </w:r>
      <w:r>
        <w:rPr>
          <w:rFonts w:hint="eastAsia"/>
        </w:rPr>
        <w:t>。</w:t>
      </w:r>
    </w:p>
    <w:p w14:paraId="7F9C6CF0">
      <w:pPr>
        <w:ind w:firstLine="480"/>
      </w:pPr>
      <w:r>
        <w:t>本项目主要建筑物为</w:t>
      </w:r>
      <w:r>
        <w:rPr>
          <w:rFonts w:hint="eastAsia"/>
        </w:rPr>
        <w:t>标准化骆驼圈舍</w:t>
      </w:r>
      <w:r>
        <w:t>及相应的配套设施，在建设过程中会产生碎砖块、砂浆、桩头、水泥、钢筋、涂料和包装材料等建筑垃圾</w:t>
      </w:r>
      <w:r>
        <w:rPr>
          <w:rFonts w:hint="eastAsia"/>
        </w:rPr>
        <w:t>。</w:t>
      </w:r>
      <w:r>
        <w:t>此类固体废物应按相关环境保护要求及时清运至</w:t>
      </w:r>
      <w:r>
        <w:rPr>
          <w:rFonts w:hint="eastAsia"/>
        </w:rPr>
        <w:t>木垒县</w:t>
      </w:r>
      <w:r>
        <w:t>建筑垃圾填埋场填埋，建筑垃圾使用加盖篷布的车辆运输</w:t>
      </w:r>
      <w:r>
        <w:rPr>
          <w:rFonts w:hint="eastAsia"/>
        </w:rPr>
        <w:t>。</w:t>
      </w:r>
      <w:r>
        <w:t>施工产生的固体废物中遗留在现场的建筑废物要及时清运或回填，将建筑垃圾运至指定地点</w:t>
      </w:r>
      <w:r>
        <w:rPr>
          <w:rFonts w:hint="eastAsia"/>
        </w:rPr>
        <w:t>。</w:t>
      </w:r>
      <w:r>
        <w:t>各施工单位要加强施工管理，对施工产生的生活垃圾和建筑垃圾不得随意倾倒</w:t>
      </w:r>
      <w:r>
        <w:rPr>
          <w:rFonts w:hint="eastAsia"/>
        </w:rPr>
        <w:t>。</w:t>
      </w:r>
    </w:p>
    <w:p w14:paraId="2F0C1DF6">
      <w:pPr>
        <w:ind w:firstLine="480"/>
      </w:pPr>
      <w:r>
        <w:t>生活垃圾按</w:t>
      </w:r>
      <w:r>
        <w:rPr>
          <w:rFonts w:hint="eastAsia"/>
        </w:rPr>
        <w:t>0.5</w:t>
      </w:r>
      <w:r>
        <w:t>kg/人·d计，则施工期生活垃圾产生量为</w:t>
      </w:r>
      <w:r>
        <w:rPr>
          <w:rFonts w:hint="eastAsia"/>
        </w:rPr>
        <w:t>15</w:t>
      </w:r>
      <w:r>
        <w:t>kg/d</w:t>
      </w:r>
      <w:r>
        <w:rPr>
          <w:rFonts w:hint="eastAsia"/>
        </w:rPr>
        <w:t>。</w:t>
      </w:r>
      <w:r>
        <w:t>对施工人员产生的生活垃圾，设置垃圾箱，集中收集后交由环卫部门统一处置</w:t>
      </w:r>
      <w:r>
        <w:rPr>
          <w:rFonts w:hint="eastAsia"/>
        </w:rPr>
        <w:t>。</w:t>
      </w:r>
    </w:p>
    <w:p w14:paraId="7EE63A0F">
      <w:pPr>
        <w:ind w:firstLine="480"/>
      </w:pPr>
      <w:r>
        <w:t>施工期项目的固体废弃物排放是暂时的，随着施工的结束而减小，通过积极有效的施工管理，施工期固体废弃物对环境造成的影响不大</w:t>
      </w:r>
      <w:r>
        <w:rPr>
          <w:rFonts w:hint="eastAsia"/>
        </w:rPr>
        <w:t>。</w:t>
      </w:r>
    </w:p>
    <w:p w14:paraId="614E4D87">
      <w:pPr>
        <w:pStyle w:val="5"/>
      </w:pPr>
      <w:bookmarkStart w:id="99" w:name="_Toc106663472"/>
      <w:r>
        <w:t>3.</w:t>
      </w:r>
      <w:r>
        <w:rPr>
          <w:rFonts w:hint="eastAsia"/>
        </w:rPr>
        <w:t>3</w:t>
      </w:r>
      <w:r>
        <w:t>.2运营期</w:t>
      </w:r>
      <w:r>
        <w:rPr>
          <w:rFonts w:hint="eastAsia"/>
        </w:rPr>
        <w:t>污染源强</w:t>
      </w:r>
      <w:r>
        <w:t>分析</w:t>
      </w:r>
      <w:bookmarkEnd w:id="99"/>
    </w:p>
    <w:p w14:paraId="14012C75">
      <w:pPr>
        <w:pStyle w:val="6"/>
        <w:ind w:firstLine="482"/>
      </w:pPr>
      <w:r>
        <w:t>3.</w:t>
      </w:r>
      <w:r>
        <w:rPr>
          <w:rFonts w:hint="eastAsia"/>
        </w:rPr>
        <w:t>3</w:t>
      </w:r>
      <w:r>
        <w:t>.2.1</w:t>
      </w:r>
      <w:r>
        <w:rPr>
          <w:rFonts w:hint="eastAsia"/>
        </w:rPr>
        <w:t>运营期大气污染源</w:t>
      </w:r>
    </w:p>
    <w:p w14:paraId="0C133403">
      <w:pPr>
        <w:spacing w:line="480" w:lineRule="exact"/>
        <w:ind w:firstLine="480"/>
      </w:pPr>
      <w:r>
        <w:rPr>
          <w:rFonts w:hint="eastAsia"/>
        </w:rPr>
        <w:t>本项目冬季供暖采用电锅炉供暖，不使用天然气和燃煤锅炉，因此，本项目废气主要是恶臭气体。</w:t>
      </w:r>
    </w:p>
    <w:p w14:paraId="57BF10B5">
      <w:pPr>
        <w:spacing w:line="480" w:lineRule="exact"/>
        <w:ind w:firstLine="480"/>
      </w:pPr>
      <w:r>
        <w:rPr>
          <w:rFonts w:hint="eastAsia"/>
        </w:rPr>
        <w:t>1、恶臭气体</w:t>
      </w:r>
    </w:p>
    <w:p w14:paraId="57F0E3BE">
      <w:pPr>
        <w:spacing w:line="480" w:lineRule="exact"/>
        <w:ind w:firstLine="480"/>
      </w:pPr>
      <w:r>
        <w:rPr>
          <w:rFonts w:hint="eastAsia"/>
        </w:rPr>
        <w:t>（1）恶臭</w:t>
      </w:r>
    </w:p>
    <w:p w14:paraId="4F5DD0C1">
      <w:pPr>
        <w:spacing w:line="480" w:lineRule="exact"/>
        <w:ind w:firstLine="480"/>
      </w:pPr>
      <w:r>
        <w:rPr>
          <w:rFonts w:hint="eastAsia"/>
        </w:rPr>
        <w:t>①来源及组成</w:t>
      </w:r>
    </w:p>
    <w:p w14:paraId="5D1E690F">
      <w:pPr>
        <w:spacing w:line="480" w:lineRule="exact"/>
        <w:ind w:firstLine="480"/>
      </w:pPr>
      <w:r>
        <w:rPr>
          <w:rFonts w:hint="eastAsia"/>
        </w:rPr>
        <w:t>本项目骆驼养殖过程中恶臭气体主要来源于圈舍。</w:t>
      </w:r>
    </w:p>
    <w:p w14:paraId="72B14255">
      <w:pPr>
        <w:spacing w:line="480" w:lineRule="exact"/>
        <w:ind w:firstLine="480"/>
      </w:pPr>
      <w:r>
        <w:rPr>
          <w:rFonts w:hint="eastAsia"/>
        </w:rPr>
        <w:t>恶臭主要由骆驼排泄物引发，骆驼排泄物组成主要包括碳水化合物和含氮化合物，它们在有氧条件下会彻底氧化，不会产生恶臭，绝大部分恶臭均是这些有机物在合适的条件下经过慢性好氧发酵而形成的。研究表明，排泄物有24%的植物纤维片段和43%的粗蛋白发生降解，碳水化合物会转化成挥发性脂肪酸、醇类及二氧化碳等，这些物质略带臭味和酸味。含氮化合物会转化成氨、硫酸、乙烯醇、二甲基硫醚、硫化氢、三甲胺等，这些气体有的具有腐败洋葱臭，有的具有腐败的蛋臭、鱼臭等。各种具有不同的气味的气体混合在一起，也即人们常说的恶臭。</w:t>
      </w:r>
    </w:p>
    <w:p w14:paraId="154AA793">
      <w:pPr>
        <w:spacing w:line="480" w:lineRule="exact"/>
        <w:ind w:firstLine="480"/>
      </w:pPr>
      <w:r>
        <w:rPr>
          <w:rFonts w:hint="eastAsia"/>
        </w:rPr>
        <w:t>几种主要恶臭物质的理化性质见下表：</w:t>
      </w:r>
    </w:p>
    <w:p w14:paraId="6C0B6D12">
      <w:pPr>
        <w:spacing w:line="480" w:lineRule="exact"/>
        <w:ind w:firstLine="482"/>
        <w:jc w:val="center"/>
        <w:rPr>
          <w:b/>
          <w:bCs/>
        </w:rPr>
      </w:pPr>
      <w:r>
        <w:rPr>
          <w:rFonts w:hint="eastAsia"/>
          <w:b/>
          <w:bCs/>
        </w:rPr>
        <w:t>表3.3-4恶臭物质理化性质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F9A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D642E00">
            <w:pPr>
              <w:spacing w:line="480" w:lineRule="exact"/>
              <w:ind w:firstLine="0" w:firstLineChars="0"/>
              <w:jc w:val="center"/>
              <w:rPr>
                <w:sz w:val="21"/>
              </w:rPr>
            </w:pPr>
            <w:r>
              <w:rPr>
                <w:rFonts w:hint="eastAsia"/>
                <w:sz w:val="21"/>
              </w:rPr>
              <w:t>恶臭物质</w:t>
            </w:r>
          </w:p>
        </w:tc>
        <w:tc>
          <w:tcPr>
            <w:tcW w:w="2130" w:type="dxa"/>
          </w:tcPr>
          <w:p w14:paraId="57455D30">
            <w:pPr>
              <w:spacing w:line="480" w:lineRule="exact"/>
              <w:ind w:firstLine="0" w:firstLineChars="0"/>
              <w:jc w:val="center"/>
              <w:rPr>
                <w:sz w:val="21"/>
              </w:rPr>
            </w:pPr>
            <w:r>
              <w:rPr>
                <w:rFonts w:hint="eastAsia"/>
                <w:sz w:val="21"/>
              </w:rPr>
              <w:t>分子式</w:t>
            </w:r>
          </w:p>
        </w:tc>
        <w:tc>
          <w:tcPr>
            <w:tcW w:w="2131" w:type="dxa"/>
          </w:tcPr>
          <w:p w14:paraId="1B14D434">
            <w:pPr>
              <w:spacing w:line="480" w:lineRule="exact"/>
              <w:ind w:firstLine="0" w:firstLineChars="0"/>
              <w:jc w:val="center"/>
              <w:rPr>
                <w:sz w:val="21"/>
              </w:rPr>
            </w:pPr>
            <w:r>
              <w:rPr>
                <w:rFonts w:hint="eastAsia"/>
                <w:sz w:val="21"/>
              </w:rPr>
              <w:t>嗅阀值（ppm）</w:t>
            </w:r>
          </w:p>
        </w:tc>
        <w:tc>
          <w:tcPr>
            <w:tcW w:w="2131" w:type="dxa"/>
          </w:tcPr>
          <w:p w14:paraId="091D9999">
            <w:pPr>
              <w:spacing w:line="480" w:lineRule="exact"/>
              <w:ind w:firstLine="0" w:firstLineChars="0"/>
              <w:jc w:val="center"/>
              <w:rPr>
                <w:sz w:val="21"/>
              </w:rPr>
            </w:pPr>
            <w:r>
              <w:rPr>
                <w:rFonts w:hint="eastAsia"/>
                <w:sz w:val="21"/>
              </w:rPr>
              <w:t>臭气特征</w:t>
            </w:r>
          </w:p>
        </w:tc>
      </w:tr>
      <w:tr w14:paraId="379A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AA588C8">
            <w:pPr>
              <w:spacing w:line="480" w:lineRule="exact"/>
              <w:ind w:firstLine="0" w:firstLineChars="0"/>
              <w:jc w:val="center"/>
              <w:rPr>
                <w:sz w:val="21"/>
              </w:rPr>
            </w:pPr>
            <w:r>
              <w:rPr>
                <w:rFonts w:hint="eastAsia"/>
                <w:sz w:val="21"/>
              </w:rPr>
              <w:t>氨</w:t>
            </w:r>
          </w:p>
        </w:tc>
        <w:tc>
          <w:tcPr>
            <w:tcW w:w="2130" w:type="dxa"/>
          </w:tcPr>
          <w:p w14:paraId="6B7D564B">
            <w:pPr>
              <w:spacing w:line="480" w:lineRule="exact"/>
              <w:ind w:firstLine="0" w:firstLineChars="0"/>
              <w:jc w:val="center"/>
              <w:rPr>
                <w:sz w:val="21"/>
                <w:vertAlign w:val="subscript"/>
              </w:rPr>
            </w:pPr>
            <w:r>
              <w:rPr>
                <w:rFonts w:hint="eastAsia"/>
                <w:sz w:val="21"/>
              </w:rPr>
              <w:t>NH</w:t>
            </w:r>
            <w:r>
              <w:rPr>
                <w:rFonts w:hint="eastAsia"/>
                <w:sz w:val="21"/>
                <w:vertAlign w:val="subscript"/>
              </w:rPr>
              <w:t>3</w:t>
            </w:r>
          </w:p>
        </w:tc>
        <w:tc>
          <w:tcPr>
            <w:tcW w:w="2131" w:type="dxa"/>
          </w:tcPr>
          <w:p w14:paraId="42645BD4">
            <w:pPr>
              <w:spacing w:line="480" w:lineRule="exact"/>
              <w:ind w:firstLine="0" w:firstLineChars="0"/>
              <w:jc w:val="center"/>
              <w:rPr>
                <w:sz w:val="21"/>
              </w:rPr>
            </w:pPr>
            <w:r>
              <w:rPr>
                <w:rFonts w:hint="eastAsia"/>
                <w:sz w:val="21"/>
              </w:rPr>
              <w:t>1.54</w:t>
            </w:r>
          </w:p>
        </w:tc>
        <w:tc>
          <w:tcPr>
            <w:tcW w:w="2131" w:type="dxa"/>
          </w:tcPr>
          <w:p w14:paraId="1F23B31A">
            <w:pPr>
              <w:spacing w:line="480" w:lineRule="exact"/>
              <w:ind w:firstLine="0" w:firstLineChars="0"/>
              <w:jc w:val="center"/>
              <w:rPr>
                <w:sz w:val="21"/>
              </w:rPr>
            </w:pPr>
            <w:r>
              <w:rPr>
                <w:rFonts w:hint="eastAsia"/>
                <w:sz w:val="21"/>
              </w:rPr>
              <w:t>刺激味</w:t>
            </w:r>
          </w:p>
        </w:tc>
      </w:tr>
      <w:tr w14:paraId="3204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4D8B12B">
            <w:pPr>
              <w:spacing w:line="480" w:lineRule="exact"/>
              <w:ind w:firstLine="0" w:firstLineChars="0"/>
              <w:jc w:val="center"/>
              <w:rPr>
                <w:sz w:val="21"/>
              </w:rPr>
            </w:pPr>
            <w:r>
              <w:rPr>
                <w:rFonts w:hint="eastAsia"/>
                <w:sz w:val="21"/>
              </w:rPr>
              <w:t>硫化氢</w:t>
            </w:r>
          </w:p>
        </w:tc>
        <w:tc>
          <w:tcPr>
            <w:tcW w:w="2130" w:type="dxa"/>
          </w:tcPr>
          <w:p w14:paraId="4811A712">
            <w:pPr>
              <w:spacing w:line="480" w:lineRule="exact"/>
              <w:ind w:firstLine="0" w:firstLineChars="0"/>
              <w:jc w:val="center"/>
              <w:rPr>
                <w:sz w:val="21"/>
              </w:rPr>
            </w:pPr>
            <w:r>
              <w:rPr>
                <w:rFonts w:hint="eastAsia"/>
                <w:sz w:val="21"/>
              </w:rPr>
              <w:t>H</w:t>
            </w:r>
            <w:r>
              <w:rPr>
                <w:rFonts w:hint="eastAsia"/>
                <w:sz w:val="21"/>
                <w:vertAlign w:val="subscript"/>
              </w:rPr>
              <w:t>2</w:t>
            </w:r>
            <w:r>
              <w:rPr>
                <w:rFonts w:hint="eastAsia"/>
                <w:sz w:val="21"/>
              </w:rPr>
              <w:t>S</w:t>
            </w:r>
          </w:p>
        </w:tc>
        <w:tc>
          <w:tcPr>
            <w:tcW w:w="2131" w:type="dxa"/>
          </w:tcPr>
          <w:p w14:paraId="68433F51">
            <w:pPr>
              <w:spacing w:line="480" w:lineRule="exact"/>
              <w:ind w:firstLine="0" w:firstLineChars="0"/>
              <w:jc w:val="center"/>
              <w:rPr>
                <w:sz w:val="21"/>
              </w:rPr>
            </w:pPr>
            <w:r>
              <w:rPr>
                <w:rFonts w:hint="eastAsia"/>
                <w:sz w:val="21"/>
              </w:rPr>
              <w:t>0.0041</w:t>
            </w:r>
          </w:p>
        </w:tc>
        <w:tc>
          <w:tcPr>
            <w:tcW w:w="2131" w:type="dxa"/>
          </w:tcPr>
          <w:p w14:paraId="76E10833">
            <w:pPr>
              <w:spacing w:line="480" w:lineRule="exact"/>
              <w:ind w:firstLine="0" w:firstLineChars="0"/>
              <w:jc w:val="center"/>
              <w:rPr>
                <w:sz w:val="21"/>
              </w:rPr>
            </w:pPr>
            <w:r>
              <w:rPr>
                <w:rFonts w:hint="eastAsia"/>
                <w:sz w:val="21"/>
              </w:rPr>
              <w:t>臭蛋味</w:t>
            </w:r>
          </w:p>
        </w:tc>
      </w:tr>
    </w:tbl>
    <w:p w14:paraId="714D4E0F">
      <w:pPr>
        <w:spacing w:line="480" w:lineRule="exact"/>
        <w:ind w:firstLine="480"/>
      </w:pPr>
      <w:r>
        <w:t>（</w:t>
      </w:r>
      <w:r>
        <w:rPr>
          <w:rFonts w:hint="eastAsia"/>
        </w:rPr>
        <w:t>2</w:t>
      </w:r>
      <w:r>
        <w:t>）</w:t>
      </w:r>
      <w:r>
        <w:rPr>
          <w:rFonts w:cs="宋体"/>
          <w:szCs w:val="24"/>
        </w:rPr>
        <w:t>恶臭污染的特点</w:t>
      </w:r>
    </w:p>
    <w:p w14:paraId="3DB898E0">
      <w:pPr>
        <w:spacing w:line="480" w:lineRule="exact"/>
        <w:ind w:firstLine="480"/>
        <w:rPr>
          <w:rFonts w:cs="宋体"/>
          <w:szCs w:val="24"/>
        </w:rPr>
      </w:pPr>
      <w:r>
        <w:rPr>
          <w:rFonts w:cs="宋体"/>
          <w:szCs w:val="24"/>
        </w:rPr>
        <w:t>①恶臭是感觉性公害，判断恶臭对人们的影响，主要是以给人们带来不舒服感觉的影响为中心进行的，是一种心理上的反应，故主观因素很强</w:t>
      </w:r>
      <w:r>
        <w:rPr>
          <w:rFonts w:hint="eastAsia" w:cs="宋体"/>
          <w:szCs w:val="24"/>
        </w:rPr>
        <w:t>。</w:t>
      </w:r>
      <w:r>
        <w:rPr>
          <w:rFonts w:cs="宋体"/>
          <w:szCs w:val="24"/>
        </w:rPr>
        <w:t>然而，人们的嗅觉鉴别能力要比其他感觉能力强，因此受影响者的主观感觉是评价恶臭污染程度的主要依据</w:t>
      </w:r>
      <w:r>
        <w:rPr>
          <w:rFonts w:hint="eastAsia" w:cs="宋体"/>
          <w:szCs w:val="24"/>
        </w:rPr>
        <w:t>。</w:t>
      </w:r>
    </w:p>
    <w:p w14:paraId="6DCD93ED">
      <w:pPr>
        <w:spacing w:line="480" w:lineRule="exact"/>
        <w:ind w:firstLine="480"/>
        <w:rPr>
          <w:rFonts w:cs="宋体"/>
          <w:szCs w:val="24"/>
        </w:rPr>
      </w:pPr>
      <w:r>
        <w:rPr>
          <w:rFonts w:cs="宋体"/>
          <w:szCs w:val="24"/>
        </w:rPr>
        <w:t>②恶臭通常是由多种成份气体形成的，各种成份气体的阈值或最小检知浓度不相同，在浓度较低时，一般不易察觉，但是如果恶臭一旦达到阈值以后，大多会立即发生强烈的恶臭反应</w:t>
      </w:r>
      <w:r>
        <w:rPr>
          <w:rFonts w:hint="eastAsia" w:cs="宋体"/>
          <w:szCs w:val="24"/>
        </w:rPr>
        <w:t>。</w:t>
      </w:r>
    </w:p>
    <w:p w14:paraId="02B0E10A">
      <w:pPr>
        <w:spacing w:line="480" w:lineRule="exact"/>
        <w:ind w:firstLine="480"/>
        <w:rPr>
          <w:rFonts w:cs="宋体"/>
          <w:szCs w:val="24"/>
        </w:rPr>
      </w:pPr>
      <w:r>
        <w:rPr>
          <w:rFonts w:cs="宋体"/>
          <w:szCs w:val="24"/>
        </w:rPr>
        <w:t>③人们对恶臭的厌恶感与恶臭气体成份的性质、强度及浓度有关，并且包含着周边环境、气象条件和个人条件</w:t>
      </w:r>
      <w:r>
        <w:rPr>
          <w:rFonts w:hint="eastAsia" w:cs="宋体"/>
          <w:szCs w:val="24"/>
        </w:rPr>
        <w:t>（</w:t>
      </w:r>
      <w:r>
        <w:rPr>
          <w:rFonts w:cs="宋体"/>
          <w:szCs w:val="24"/>
        </w:rPr>
        <w:t>身体条件和精神状况等</w:t>
      </w:r>
      <w:r>
        <w:rPr>
          <w:rFonts w:hint="eastAsia" w:cs="宋体"/>
          <w:szCs w:val="24"/>
        </w:rPr>
        <w:t>）</w:t>
      </w:r>
      <w:r>
        <w:rPr>
          <w:rFonts w:cs="宋体"/>
          <w:szCs w:val="24"/>
        </w:rPr>
        <w:t>等因素在内</w:t>
      </w:r>
      <w:r>
        <w:rPr>
          <w:rFonts w:hint="eastAsia" w:cs="宋体"/>
          <w:szCs w:val="24"/>
        </w:rPr>
        <w:t>。</w:t>
      </w:r>
      <w:r>
        <w:rPr>
          <w:rFonts w:cs="宋体"/>
          <w:szCs w:val="24"/>
        </w:rPr>
        <w:t>恶臭成份大部分被去除后，在人的嗅觉中并不会感到相应程度的降低或减轻</w:t>
      </w:r>
      <w:r>
        <w:rPr>
          <w:rFonts w:hint="eastAsia" w:cs="宋体"/>
          <w:szCs w:val="24"/>
        </w:rPr>
        <w:t>。</w:t>
      </w:r>
      <w:r>
        <w:rPr>
          <w:rFonts w:cs="宋体"/>
          <w:szCs w:val="24"/>
        </w:rPr>
        <w:t>因此，对于防治恶臭污染而言，受影响者并不是要求减轻或降低恶臭气味，而是要求必须没有恶臭气味</w:t>
      </w:r>
      <w:r>
        <w:rPr>
          <w:rFonts w:hint="eastAsia" w:cs="宋体"/>
          <w:szCs w:val="24"/>
        </w:rPr>
        <w:t>。</w:t>
      </w:r>
    </w:p>
    <w:p w14:paraId="56B5EC83">
      <w:pPr>
        <w:spacing w:line="480" w:lineRule="exact"/>
        <w:ind w:firstLine="480"/>
        <w:rPr>
          <w:rFonts w:cs="宋体"/>
          <w:szCs w:val="24"/>
        </w:rPr>
      </w:pPr>
      <w:r>
        <w:rPr>
          <w:rFonts w:cs="宋体"/>
          <w:szCs w:val="24"/>
        </w:rPr>
        <w:t>④受到恶臭污染影响的人一般立即离开，到清洁空气环境内，积极换气就可以解除受到是污染影响</w:t>
      </w:r>
      <w:r>
        <w:rPr>
          <w:rFonts w:hint="eastAsia" w:cs="宋体"/>
          <w:szCs w:val="24"/>
        </w:rPr>
        <w:t>。</w:t>
      </w:r>
    </w:p>
    <w:p w14:paraId="1C3F3A0E">
      <w:pPr>
        <w:spacing w:line="480" w:lineRule="exact"/>
        <w:ind w:firstLine="480"/>
        <w:rPr>
          <w:rFonts w:cs="宋体"/>
          <w:szCs w:val="24"/>
        </w:rPr>
      </w:pPr>
      <w:r>
        <w:rPr>
          <w:rFonts w:hint="eastAsia" w:cs="宋体"/>
          <w:szCs w:val="24"/>
        </w:rPr>
        <w:t>（</w:t>
      </w:r>
      <w:r>
        <w:rPr>
          <w:szCs w:val="24"/>
        </w:rPr>
        <w:t>3</w:t>
      </w:r>
      <w:r>
        <w:rPr>
          <w:rFonts w:hint="eastAsia" w:cs="宋体"/>
          <w:szCs w:val="24"/>
        </w:rPr>
        <w:t>）</w:t>
      </w:r>
      <w:r>
        <w:rPr>
          <w:rFonts w:cs="宋体"/>
          <w:szCs w:val="24"/>
        </w:rPr>
        <w:t>恶臭源强</w:t>
      </w:r>
    </w:p>
    <w:p w14:paraId="40A2FB1C">
      <w:pPr>
        <w:spacing w:line="480" w:lineRule="exact"/>
        <w:ind w:firstLine="480"/>
        <w:rPr>
          <w:rFonts w:cs="宋体"/>
          <w:szCs w:val="24"/>
        </w:rPr>
      </w:pPr>
      <w:r>
        <w:rPr>
          <w:rFonts w:cs="宋体"/>
          <w:szCs w:val="24"/>
        </w:rPr>
        <w:t>本项目恶臭气体主要来源于</w:t>
      </w:r>
      <w:r>
        <w:rPr>
          <w:rFonts w:hint="eastAsia" w:cs="宋体"/>
          <w:szCs w:val="24"/>
        </w:rPr>
        <w:t>骆驼圈舍和堆肥场</w:t>
      </w:r>
      <w:r>
        <w:rPr>
          <w:rFonts w:cs="宋体"/>
          <w:szCs w:val="24"/>
        </w:rPr>
        <w:t>，恶臭气体主要为</w:t>
      </w:r>
      <w:r>
        <w:rPr>
          <w:szCs w:val="24"/>
        </w:rPr>
        <w:t>NH</w:t>
      </w:r>
      <w:r>
        <w:rPr>
          <w:szCs w:val="15"/>
          <w:vertAlign w:val="subscript"/>
        </w:rPr>
        <w:t>3</w:t>
      </w:r>
      <w:r>
        <w:rPr>
          <w:rFonts w:cs="宋体"/>
          <w:szCs w:val="24"/>
        </w:rPr>
        <w:t>、</w:t>
      </w:r>
      <w:r>
        <w:rPr>
          <w:szCs w:val="24"/>
        </w:rPr>
        <w:t>H</w:t>
      </w:r>
      <w:r>
        <w:rPr>
          <w:szCs w:val="15"/>
          <w:vertAlign w:val="subscript"/>
        </w:rPr>
        <w:t>2</w:t>
      </w:r>
      <w:r>
        <w:rPr>
          <w:szCs w:val="24"/>
        </w:rPr>
        <w:t>S</w:t>
      </w:r>
      <w:r>
        <w:rPr>
          <w:rFonts w:cs="宋体"/>
          <w:szCs w:val="24"/>
        </w:rPr>
        <w:t>等</w:t>
      </w:r>
      <w:r>
        <w:rPr>
          <w:rFonts w:hint="eastAsia" w:cs="宋体"/>
          <w:szCs w:val="24"/>
        </w:rPr>
        <w:t>。</w:t>
      </w:r>
    </w:p>
    <w:p w14:paraId="47883AB6">
      <w:pPr>
        <w:spacing w:line="480" w:lineRule="exact"/>
        <w:ind w:firstLine="480"/>
        <w:rPr>
          <w:rFonts w:cs="宋体"/>
          <w:szCs w:val="24"/>
        </w:rPr>
      </w:pPr>
      <w:r>
        <w:rPr>
          <w:rFonts w:cs="宋体"/>
          <w:szCs w:val="24"/>
        </w:rPr>
        <w:t>①</w:t>
      </w:r>
      <w:r>
        <w:rPr>
          <w:rFonts w:hint="eastAsia" w:cs="宋体"/>
          <w:szCs w:val="24"/>
        </w:rPr>
        <w:t>骆驼圈舍</w:t>
      </w:r>
    </w:p>
    <w:p w14:paraId="50413447">
      <w:pPr>
        <w:spacing w:line="480" w:lineRule="exact"/>
        <w:ind w:firstLine="480"/>
      </w:pPr>
      <w:r>
        <w:rPr>
          <w:rFonts w:hint="eastAsia"/>
        </w:rPr>
        <w:t>本项目采用资料调查法参考相关文献报道确定恶臭污染物源强。</w:t>
      </w:r>
    </w:p>
    <w:p w14:paraId="707F71AA">
      <w:pPr>
        <w:spacing w:line="480" w:lineRule="exact"/>
        <w:ind w:firstLine="480"/>
      </w:pPr>
      <w:r>
        <w:rPr>
          <w:rFonts w:hint="eastAsia"/>
        </w:rPr>
        <w:t>骆驼养殖恶臭主要来自驼舍和堆肥场，其产生源分布面较广，均为低矮面源。</w:t>
      </w:r>
    </w:p>
    <w:p w14:paraId="643879D9">
      <w:pPr>
        <w:spacing w:line="480" w:lineRule="exact"/>
        <w:ind w:firstLine="480"/>
      </w:pPr>
      <w:r>
        <w:rPr>
          <w:rFonts w:hint="eastAsia"/>
        </w:rPr>
        <w:t>根据《畜禽养殖业污染物排放标准》（GB1859-2001）的规定，将骆驼的养殖量换算成猪的养殖量，换算比例为：1峰骆驼换算成9头猪，本项目骆驼存栏量400峰，骆驼换算后的量为3600头猪。</w:t>
      </w:r>
    </w:p>
    <w:p w14:paraId="65A753AB">
      <w:pPr>
        <w:spacing w:line="480" w:lineRule="exact"/>
        <w:ind w:firstLine="480"/>
      </w:pPr>
      <w:r>
        <w:rPr>
          <w:rFonts w:hint="eastAsia"/>
        </w:rPr>
        <w:t>本次评价骆驼养殖恶臭排放源强参照《排放源统计调查产排污核算方法和系数手册》中猪的相关数据（一头生猪一天产生的总氮为0.1852kg/头）进行计算，恶臭无组织排放氮转化为NH</w:t>
      </w:r>
      <w:r>
        <w:rPr>
          <w:rFonts w:hint="eastAsia"/>
          <w:vertAlign w:val="subscript"/>
        </w:rPr>
        <w:t>3</w:t>
      </w:r>
      <w:r>
        <w:rPr>
          <w:rFonts w:hint="eastAsia"/>
        </w:rPr>
        <w:t>挥发的比率约为1%，H</w:t>
      </w:r>
      <w:r>
        <w:rPr>
          <w:rFonts w:hint="eastAsia"/>
          <w:vertAlign w:val="subscript"/>
        </w:rPr>
        <w:t>2</w:t>
      </w:r>
      <w:r>
        <w:rPr>
          <w:rFonts w:hint="eastAsia"/>
        </w:rPr>
        <w:t>S约为NH</w:t>
      </w:r>
      <w:r>
        <w:rPr>
          <w:rFonts w:hint="eastAsia"/>
          <w:vertAlign w:val="subscript"/>
        </w:rPr>
        <w:t>3</w:t>
      </w:r>
      <w:r>
        <w:rPr>
          <w:rFonts w:hint="eastAsia"/>
        </w:rPr>
        <w:t>的10%。</w:t>
      </w:r>
    </w:p>
    <w:p w14:paraId="5F41BF28">
      <w:pPr>
        <w:spacing w:line="480" w:lineRule="exact"/>
        <w:ind w:firstLine="480"/>
      </w:pPr>
      <w:r>
        <w:rPr>
          <w:rFonts w:hint="eastAsia"/>
        </w:rPr>
        <w:t>本项目骆驼存栏量400峰，则NH</w:t>
      </w:r>
      <w:r>
        <w:rPr>
          <w:rFonts w:hint="eastAsia"/>
          <w:vertAlign w:val="subscript"/>
        </w:rPr>
        <w:t>3</w:t>
      </w:r>
      <w:r>
        <w:rPr>
          <w:rFonts w:hint="eastAsia"/>
        </w:rPr>
        <w:t>的排放量约为2.43t/a，H</w:t>
      </w:r>
      <w:r>
        <w:rPr>
          <w:rFonts w:hint="eastAsia"/>
          <w:vertAlign w:val="subscript"/>
        </w:rPr>
        <w:t>2</w:t>
      </w:r>
      <w:r>
        <w:rPr>
          <w:rFonts w:hint="eastAsia"/>
        </w:rPr>
        <w:t>S的排放量约为0.243t/a，排放方式为无组织排放的面源。</w:t>
      </w:r>
    </w:p>
    <w:p w14:paraId="784F3AEB">
      <w:pPr>
        <w:spacing w:line="480" w:lineRule="exact"/>
        <w:ind w:firstLine="480"/>
      </w:pPr>
      <w:r>
        <w:rPr>
          <w:rFonts w:hint="eastAsia"/>
        </w:rPr>
        <w:t>本项目驼舍定时清理骆驼粪，加强驼舍通风，并科学合理调控饲粮，合理配置饲料成分，同时加强骆驼养殖场的环境跟踪和管理，对驼舍、堆肥场定期喷洒除臭剂，减少恶臭污染物的蓄积，经过上述综合措施处理后，臭气浓度排放值可满足《畜禽养殖业污染物排放标准》（GB18596-2001）中限值要求。</w:t>
      </w:r>
    </w:p>
    <w:p w14:paraId="12943DF6">
      <w:pPr>
        <w:spacing w:line="480" w:lineRule="exact"/>
        <w:ind w:firstLine="480"/>
      </w:pPr>
      <w:r>
        <w:rPr>
          <w:rFonts w:hint="eastAsia"/>
        </w:rPr>
        <w:t>参考《日粮不同种类的饲草料对荷斯坦青年母牛粪尿中总氮、氨态氮和粪中NH</w:t>
      </w:r>
      <w:r>
        <w:rPr>
          <w:rFonts w:hint="eastAsia"/>
          <w:vertAlign w:val="subscript"/>
        </w:rPr>
        <w:t>3</w:t>
      </w:r>
      <w:r>
        <w:rPr>
          <w:rFonts w:hint="eastAsia"/>
        </w:rPr>
        <w:t>、H</w:t>
      </w:r>
      <w:r>
        <w:rPr>
          <w:rFonts w:hint="eastAsia"/>
          <w:vertAlign w:val="subscript"/>
        </w:rPr>
        <w:t>2</w:t>
      </w:r>
      <w:r>
        <w:rPr>
          <w:rFonts w:hint="eastAsia"/>
        </w:rPr>
        <w:t>S散发量的影响》（《中国畜牧杂质》，2010（46）20）一文，在采取TMR全混合日粮喂食奶牛、添加沙皂素等除臭剂后，其粪污中NH</w:t>
      </w:r>
      <w:r>
        <w:rPr>
          <w:rFonts w:hint="eastAsia"/>
          <w:vertAlign w:val="subscript"/>
        </w:rPr>
        <w:t>3</w:t>
      </w:r>
      <w:r>
        <w:rPr>
          <w:rFonts w:hint="eastAsia"/>
        </w:rPr>
        <w:t>、H</w:t>
      </w:r>
      <w:r>
        <w:rPr>
          <w:rFonts w:hint="eastAsia"/>
          <w:vertAlign w:val="subscript"/>
        </w:rPr>
        <w:t>2</w:t>
      </w:r>
      <w:r>
        <w:rPr>
          <w:rFonts w:hint="eastAsia"/>
        </w:rPr>
        <w:t>S可减少55%左右；参考《南方冬季奶牛场牛舍内环境检测与评价》（金陵科技学院动物科学与技术学院，伍林清等）一文，在牛舍通风条件良好的情况下牛舍内NH</w:t>
      </w:r>
      <w:r>
        <w:rPr>
          <w:rFonts w:hint="eastAsia"/>
          <w:vertAlign w:val="subscript"/>
        </w:rPr>
        <w:t>3</w:t>
      </w:r>
      <w:r>
        <w:rPr>
          <w:rFonts w:hint="eastAsia"/>
        </w:rPr>
        <w:t>、H</w:t>
      </w:r>
      <w:r>
        <w:rPr>
          <w:rFonts w:hint="eastAsia"/>
          <w:vertAlign w:val="subscript"/>
        </w:rPr>
        <w:t>2</w:t>
      </w:r>
      <w:r>
        <w:rPr>
          <w:rFonts w:hint="eastAsia"/>
        </w:rPr>
        <w:t>S可较牛舍通风条件一般情况减少35%左右；定期驼舍清理、堆肥棚、集污池定期喷洒除生物除臭剂去除恶臭，参考《多种除臭剂对氨和硫化氢去除效果的试验研究》（丁湘蓉，（北京市海淀区环境卫生科学研究所）一文，采用除臭剂去除NH</w:t>
      </w:r>
      <w:r>
        <w:rPr>
          <w:rFonts w:hint="eastAsia"/>
          <w:vertAlign w:val="subscript"/>
        </w:rPr>
        <w:t>3</w:t>
      </w:r>
      <w:r>
        <w:rPr>
          <w:rFonts w:hint="eastAsia"/>
        </w:rPr>
        <w:t>、H</w:t>
      </w:r>
      <w:r>
        <w:rPr>
          <w:rFonts w:hint="eastAsia"/>
          <w:vertAlign w:val="subscript"/>
        </w:rPr>
        <w:t>2</w:t>
      </w:r>
      <w:r>
        <w:rPr>
          <w:rFonts w:hint="eastAsia"/>
        </w:rPr>
        <w:t>S的，NH</w:t>
      </w:r>
      <w:r>
        <w:rPr>
          <w:rFonts w:hint="eastAsia"/>
          <w:vertAlign w:val="subscript"/>
        </w:rPr>
        <w:t>3</w:t>
      </w:r>
      <w:r>
        <w:rPr>
          <w:rFonts w:hint="eastAsia"/>
        </w:rPr>
        <w:t>、H</w:t>
      </w:r>
      <w:r>
        <w:rPr>
          <w:rFonts w:hint="eastAsia"/>
          <w:vertAlign w:val="subscript"/>
        </w:rPr>
        <w:t>2</w:t>
      </w:r>
      <w:r>
        <w:rPr>
          <w:rFonts w:hint="eastAsia"/>
        </w:rPr>
        <w:t>S可减少85%左右。</w:t>
      </w:r>
    </w:p>
    <w:p w14:paraId="5C19D21E">
      <w:pPr>
        <w:spacing w:line="480" w:lineRule="exact"/>
        <w:ind w:firstLine="480"/>
      </w:pPr>
      <w:r>
        <w:rPr>
          <w:rFonts w:hint="eastAsia"/>
        </w:rPr>
        <w:t>经过上述综合措施处理后，恶臭污染去除效率为：</w:t>
      </w:r>
    </w:p>
    <w:p w14:paraId="659EBB3D">
      <w:pPr>
        <w:spacing w:line="480" w:lineRule="exact"/>
        <w:ind w:firstLine="480"/>
      </w:pPr>
      <w:r>
        <w:rPr>
          <w:rFonts w:hint="eastAsia"/>
        </w:rPr>
        <w:t>{1-（1×（1-55%）×（1-35%）×（1-85%））}×100%=95.6%。</w:t>
      </w:r>
    </w:p>
    <w:p w14:paraId="1581F40C">
      <w:pPr>
        <w:spacing w:line="480" w:lineRule="exact"/>
        <w:ind w:firstLine="480"/>
      </w:pPr>
      <w:r>
        <w:rPr>
          <w:rFonts w:hint="eastAsia"/>
        </w:rPr>
        <w:t>综合考虑，本项目恶臭去除效率按照95%考虑，达产后骆驼养殖场恶臭污染物排放量为NH</w:t>
      </w:r>
      <w:r>
        <w:rPr>
          <w:rFonts w:hint="eastAsia"/>
          <w:vertAlign w:val="subscript"/>
        </w:rPr>
        <w:t>3</w:t>
      </w:r>
      <w:r>
        <w:rPr>
          <w:rFonts w:hint="eastAsia"/>
        </w:rPr>
        <w:t>：0.122t/a，H</w:t>
      </w:r>
      <w:r>
        <w:rPr>
          <w:rFonts w:hint="eastAsia"/>
          <w:vertAlign w:val="subscript"/>
        </w:rPr>
        <w:t>2</w:t>
      </w:r>
      <w:r>
        <w:rPr>
          <w:rFonts w:hint="eastAsia"/>
        </w:rPr>
        <w:t>S：0.012t/a。</w:t>
      </w:r>
    </w:p>
    <w:p w14:paraId="357C1E84">
      <w:pPr>
        <w:spacing w:line="480" w:lineRule="exact"/>
        <w:ind w:firstLine="480"/>
        <w:rPr>
          <w:szCs w:val="24"/>
        </w:rPr>
      </w:pPr>
      <w:r>
        <w:rPr>
          <w:rFonts w:hint="eastAsia"/>
          <w:szCs w:val="24"/>
        </w:rPr>
        <w:t>本项目运营期产生的NH</w:t>
      </w:r>
      <w:r>
        <w:rPr>
          <w:rFonts w:hint="eastAsia"/>
          <w:szCs w:val="24"/>
          <w:vertAlign w:val="subscript"/>
        </w:rPr>
        <w:t>3</w:t>
      </w:r>
      <w:r>
        <w:rPr>
          <w:rFonts w:hint="eastAsia"/>
          <w:szCs w:val="24"/>
        </w:rPr>
        <w:t>、H</w:t>
      </w:r>
      <w:r>
        <w:rPr>
          <w:rFonts w:hint="eastAsia"/>
          <w:szCs w:val="24"/>
          <w:vertAlign w:val="subscript"/>
        </w:rPr>
        <w:t>2</w:t>
      </w:r>
      <w:r>
        <w:rPr>
          <w:rFonts w:hint="eastAsia"/>
          <w:szCs w:val="24"/>
        </w:rPr>
        <w:t>S产生量详见表3.3-4。</w:t>
      </w:r>
    </w:p>
    <w:p w14:paraId="75AB8398">
      <w:pPr>
        <w:spacing w:line="233" w:lineRule="auto"/>
        <w:ind w:firstLine="0" w:firstLineChars="0"/>
        <w:jc w:val="center"/>
        <w:rPr>
          <w:rFonts w:cstheme="majorBidi"/>
          <w:b/>
          <w:szCs w:val="22"/>
        </w:rPr>
      </w:pPr>
      <w:r>
        <w:rPr>
          <w:rFonts w:hint="eastAsia" w:cstheme="majorBidi"/>
          <w:b/>
          <w:szCs w:val="22"/>
        </w:rPr>
        <w:t>表3.3-4拟建项目NH</w:t>
      </w:r>
      <w:r>
        <w:rPr>
          <w:rFonts w:hint="eastAsia" w:cstheme="majorBidi"/>
          <w:b/>
          <w:szCs w:val="22"/>
          <w:vertAlign w:val="subscript"/>
        </w:rPr>
        <w:t>3</w:t>
      </w:r>
      <w:r>
        <w:rPr>
          <w:rFonts w:hint="eastAsia" w:cstheme="majorBidi"/>
          <w:b/>
          <w:szCs w:val="22"/>
        </w:rPr>
        <w:t>、H</w:t>
      </w:r>
      <w:r>
        <w:rPr>
          <w:rFonts w:hint="eastAsia" w:cstheme="majorBidi"/>
          <w:b/>
          <w:szCs w:val="22"/>
          <w:vertAlign w:val="subscript"/>
        </w:rPr>
        <w:t>2</w:t>
      </w:r>
      <w:r>
        <w:rPr>
          <w:rFonts w:hint="eastAsia" w:cstheme="majorBidi"/>
          <w:b/>
          <w:szCs w:val="22"/>
        </w:rPr>
        <w:t>S产生量一览表单位：t/a</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49"/>
        <w:gridCol w:w="552"/>
        <w:gridCol w:w="449"/>
        <w:gridCol w:w="793"/>
        <w:gridCol w:w="3881"/>
        <w:gridCol w:w="1003"/>
        <w:gridCol w:w="1182"/>
      </w:tblGrid>
      <w:tr w14:paraId="15E8A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70" w:type="pct"/>
            <w:vAlign w:val="center"/>
          </w:tcPr>
          <w:p w14:paraId="4FE44FA9">
            <w:pPr>
              <w:spacing w:line="360" w:lineRule="exact"/>
              <w:ind w:firstLine="0" w:firstLineChars="0"/>
              <w:jc w:val="center"/>
              <w:rPr>
                <w:rFonts w:cs="宋体"/>
                <w:sz w:val="21"/>
                <w:szCs w:val="21"/>
              </w:rPr>
            </w:pPr>
            <w:r>
              <w:rPr>
                <w:rFonts w:hint="eastAsia" w:cs="宋体"/>
                <w:sz w:val="21"/>
                <w:szCs w:val="21"/>
              </w:rPr>
              <w:t>污染物</w:t>
            </w:r>
          </w:p>
        </w:tc>
        <w:tc>
          <w:tcPr>
            <w:tcW w:w="332" w:type="pct"/>
            <w:vAlign w:val="center"/>
          </w:tcPr>
          <w:p w14:paraId="04D0E08A">
            <w:pPr>
              <w:spacing w:line="360" w:lineRule="exact"/>
              <w:ind w:firstLine="0" w:firstLineChars="0"/>
              <w:jc w:val="center"/>
              <w:rPr>
                <w:rFonts w:cs="宋体"/>
                <w:sz w:val="21"/>
                <w:szCs w:val="21"/>
              </w:rPr>
            </w:pPr>
            <w:r>
              <w:rPr>
                <w:rFonts w:hint="eastAsia" w:cs="宋体"/>
                <w:sz w:val="21"/>
                <w:szCs w:val="21"/>
              </w:rPr>
              <w:t>污染因子</w:t>
            </w:r>
          </w:p>
        </w:tc>
        <w:tc>
          <w:tcPr>
            <w:tcW w:w="270" w:type="pct"/>
            <w:vAlign w:val="center"/>
          </w:tcPr>
          <w:p w14:paraId="5C42AEF3">
            <w:pPr>
              <w:spacing w:line="360" w:lineRule="exact"/>
              <w:ind w:firstLine="0" w:firstLineChars="0"/>
              <w:jc w:val="center"/>
              <w:rPr>
                <w:sz w:val="21"/>
                <w:szCs w:val="14"/>
              </w:rPr>
            </w:pPr>
            <w:r>
              <w:rPr>
                <w:rFonts w:hint="eastAsia"/>
                <w:sz w:val="21"/>
                <w:szCs w:val="14"/>
              </w:rPr>
              <w:t>排放方式</w:t>
            </w:r>
          </w:p>
        </w:tc>
        <w:tc>
          <w:tcPr>
            <w:tcW w:w="477" w:type="pct"/>
            <w:vAlign w:val="center"/>
          </w:tcPr>
          <w:p w14:paraId="053E8F8D">
            <w:pPr>
              <w:spacing w:line="360" w:lineRule="exact"/>
              <w:ind w:firstLine="0" w:firstLineChars="0"/>
              <w:jc w:val="center"/>
              <w:rPr>
                <w:sz w:val="21"/>
                <w:szCs w:val="21"/>
              </w:rPr>
            </w:pPr>
            <w:r>
              <w:rPr>
                <w:rFonts w:hint="eastAsia"/>
                <w:sz w:val="21"/>
                <w:szCs w:val="21"/>
              </w:rPr>
              <w:t>产生量</w:t>
            </w:r>
          </w:p>
        </w:tc>
        <w:tc>
          <w:tcPr>
            <w:tcW w:w="2333" w:type="pct"/>
            <w:vAlign w:val="center"/>
          </w:tcPr>
          <w:p w14:paraId="4C15BD95">
            <w:pPr>
              <w:spacing w:line="360" w:lineRule="exact"/>
              <w:ind w:firstLine="0" w:firstLineChars="0"/>
              <w:jc w:val="center"/>
              <w:rPr>
                <w:sz w:val="21"/>
                <w:szCs w:val="21"/>
              </w:rPr>
            </w:pPr>
            <w:r>
              <w:rPr>
                <w:rFonts w:hint="eastAsia"/>
                <w:sz w:val="21"/>
                <w:szCs w:val="21"/>
              </w:rPr>
              <w:t>治理措施</w:t>
            </w:r>
          </w:p>
        </w:tc>
        <w:tc>
          <w:tcPr>
            <w:tcW w:w="603" w:type="pct"/>
            <w:vAlign w:val="center"/>
          </w:tcPr>
          <w:p w14:paraId="7916E128">
            <w:pPr>
              <w:spacing w:line="360" w:lineRule="exact"/>
              <w:ind w:firstLine="0" w:firstLineChars="0"/>
              <w:jc w:val="center"/>
              <w:rPr>
                <w:sz w:val="21"/>
                <w:szCs w:val="21"/>
              </w:rPr>
            </w:pPr>
            <w:r>
              <w:rPr>
                <w:rFonts w:hint="eastAsia"/>
                <w:sz w:val="21"/>
                <w:szCs w:val="21"/>
              </w:rPr>
              <w:t>排放量</w:t>
            </w:r>
          </w:p>
        </w:tc>
        <w:tc>
          <w:tcPr>
            <w:tcW w:w="710" w:type="pct"/>
            <w:vAlign w:val="center"/>
          </w:tcPr>
          <w:p w14:paraId="7DC8A82D">
            <w:pPr>
              <w:spacing w:line="360" w:lineRule="exact"/>
              <w:ind w:firstLine="0" w:firstLineChars="0"/>
              <w:jc w:val="center"/>
              <w:rPr>
                <w:sz w:val="21"/>
                <w:szCs w:val="21"/>
              </w:rPr>
            </w:pPr>
            <w:r>
              <w:rPr>
                <w:rFonts w:hint="eastAsia"/>
                <w:sz w:val="21"/>
                <w:szCs w:val="21"/>
              </w:rPr>
              <w:t>排放速率（kg/h）</w:t>
            </w:r>
          </w:p>
        </w:tc>
      </w:tr>
      <w:tr w14:paraId="6F5FA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70" w:type="pct"/>
            <w:vMerge w:val="restart"/>
            <w:vAlign w:val="center"/>
          </w:tcPr>
          <w:p w14:paraId="1A8989D7">
            <w:pPr>
              <w:spacing w:line="360" w:lineRule="exact"/>
              <w:ind w:firstLine="0" w:firstLineChars="0"/>
              <w:jc w:val="center"/>
              <w:rPr>
                <w:sz w:val="21"/>
                <w:szCs w:val="21"/>
              </w:rPr>
            </w:pPr>
            <w:r>
              <w:rPr>
                <w:rFonts w:hint="eastAsia"/>
                <w:sz w:val="21"/>
                <w:szCs w:val="21"/>
              </w:rPr>
              <w:t>骆驼圈舍</w:t>
            </w:r>
          </w:p>
        </w:tc>
        <w:tc>
          <w:tcPr>
            <w:tcW w:w="332" w:type="pct"/>
            <w:vAlign w:val="center"/>
          </w:tcPr>
          <w:p w14:paraId="2979B501">
            <w:pPr>
              <w:spacing w:line="360" w:lineRule="exact"/>
              <w:ind w:firstLine="0" w:firstLineChars="0"/>
              <w:jc w:val="center"/>
              <w:rPr>
                <w:sz w:val="21"/>
                <w:szCs w:val="21"/>
                <w:vertAlign w:val="subscript"/>
              </w:rPr>
            </w:pPr>
            <w:r>
              <w:rPr>
                <w:rFonts w:hint="eastAsia"/>
                <w:sz w:val="21"/>
                <w:szCs w:val="21"/>
              </w:rPr>
              <w:t>NH</w:t>
            </w:r>
            <w:r>
              <w:rPr>
                <w:rFonts w:hint="eastAsia"/>
                <w:sz w:val="21"/>
                <w:szCs w:val="21"/>
                <w:vertAlign w:val="subscript"/>
              </w:rPr>
              <w:t>3</w:t>
            </w:r>
          </w:p>
        </w:tc>
        <w:tc>
          <w:tcPr>
            <w:tcW w:w="270" w:type="pct"/>
            <w:vMerge w:val="restart"/>
            <w:vAlign w:val="center"/>
          </w:tcPr>
          <w:p w14:paraId="3D21AE2C">
            <w:pPr>
              <w:spacing w:line="360" w:lineRule="exact"/>
              <w:ind w:firstLine="0" w:firstLineChars="0"/>
              <w:jc w:val="center"/>
              <w:rPr>
                <w:sz w:val="21"/>
                <w:szCs w:val="21"/>
              </w:rPr>
            </w:pPr>
            <w:r>
              <w:rPr>
                <w:rFonts w:hint="eastAsia"/>
                <w:sz w:val="21"/>
                <w:szCs w:val="21"/>
              </w:rPr>
              <w:t>无组织</w:t>
            </w:r>
          </w:p>
        </w:tc>
        <w:tc>
          <w:tcPr>
            <w:tcW w:w="477" w:type="pct"/>
            <w:vAlign w:val="center"/>
          </w:tcPr>
          <w:p w14:paraId="50239A69">
            <w:pPr>
              <w:spacing w:line="360" w:lineRule="exact"/>
              <w:ind w:firstLine="0" w:firstLineChars="0"/>
              <w:jc w:val="center"/>
              <w:rPr>
                <w:sz w:val="21"/>
                <w:szCs w:val="21"/>
              </w:rPr>
            </w:pPr>
            <w:r>
              <w:rPr>
                <w:rFonts w:hint="eastAsia"/>
                <w:sz w:val="21"/>
                <w:szCs w:val="21"/>
              </w:rPr>
              <w:t>2.43t/a</w:t>
            </w:r>
          </w:p>
        </w:tc>
        <w:tc>
          <w:tcPr>
            <w:tcW w:w="2333" w:type="pct"/>
            <w:vMerge w:val="restart"/>
            <w:vAlign w:val="center"/>
          </w:tcPr>
          <w:p w14:paraId="00E7927A">
            <w:pPr>
              <w:spacing w:line="360" w:lineRule="exact"/>
              <w:ind w:firstLine="0" w:firstLineChars="0"/>
              <w:jc w:val="center"/>
              <w:rPr>
                <w:sz w:val="21"/>
                <w:szCs w:val="21"/>
              </w:rPr>
            </w:pPr>
            <w:r>
              <w:rPr>
                <w:sz w:val="21"/>
                <w:szCs w:val="21"/>
              </w:rPr>
              <w:t>每天定时清理骆驼粪，加强驼舍通风，并科学合理调控饲粮，合理配置饲料成分，对驼舍定期喷洒除臭剂</w:t>
            </w:r>
          </w:p>
        </w:tc>
        <w:tc>
          <w:tcPr>
            <w:tcW w:w="603" w:type="pct"/>
            <w:vAlign w:val="center"/>
          </w:tcPr>
          <w:p w14:paraId="4EEB0E1D">
            <w:pPr>
              <w:spacing w:line="360" w:lineRule="exact"/>
              <w:ind w:firstLine="0" w:firstLineChars="0"/>
              <w:jc w:val="center"/>
              <w:rPr>
                <w:sz w:val="21"/>
                <w:szCs w:val="21"/>
              </w:rPr>
            </w:pPr>
            <w:r>
              <w:rPr>
                <w:rFonts w:hint="eastAsia"/>
                <w:sz w:val="21"/>
                <w:szCs w:val="21"/>
              </w:rPr>
              <w:t>0.122t/a</w:t>
            </w:r>
          </w:p>
        </w:tc>
        <w:tc>
          <w:tcPr>
            <w:tcW w:w="710" w:type="pct"/>
            <w:vAlign w:val="center"/>
          </w:tcPr>
          <w:p w14:paraId="2A89466E">
            <w:pPr>
              <w:spacing w:line="360" w:lineRule="exact"/>
              <w:ind w:firstLine="0" w:firstLineChars="0"/>
              <w:jc w:val="center"/>
              <w:rPr>
                <w:sz w:val="21"/>
                <w:szCs w:val="21"/>
                <w:vertAlign w:val="superscript"/>
              </w:rPr>
            </w:pPr>
            <w:r>
              <w:rPr>
                <w:rFonts w:hint="eastAsia"/>
                <w:sz w:val="21"/>
                <w:szCs w:val="21"/>
              </w:rPr>
              <w:t>0.028</w:t>
            </w:r>
          </w:p>
        </w:tc>
      </w:tr>
      <w:tr w14:paraId="25723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70" w:type="pct"/>
            <w:vMerge w:val="continue"/>
            <w:vAlign w:val="center"/>
          </w:tcPr>
          <w:p w14:paraId="443E4B4E">
            <w:pPr>
              <w:spacing w:line="360" w:lineRule="exact"/>
              <w:ind w:firstLine="0" w:firstLineChars="0"/>
              <w:jc w:val="center"/>
              <w:rPr>
                <w:sz w:val="21"/>
                <w:szCs w:val="21"/>
              </w:rPr>
            </w:pPr>
          </w:p>
        </w:tc>
        <w:tc>
          <w:tcPr>
            <w:tcW w:w="332" w:type="pct"/>
            <w:vAlign w:val="center"/>
          </w:tcPr>
          <w:p w14:paraId="24DBC97A">
            <w:pPr>
              <w:spacing w:line="360" w:lineRule="exact"/>
              <w:ind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270" w:type="pct"/>
            <w:vMerge w:val="continue"/>
            <w:vAlign w:val="center"/>
          </w:tcPr>
          <w:p w14:paraId="1ECD1481">
            <w:pPr>
              <w:spacing w:line="360" w:lineRule="exact"/>
              <w:ind w:firstLine="0" w:firstLineChars="0"/>
              <w:jc w:val="center"/>
              <w:rPr>
                <w:sz w:val="21"/>
                <w:szCs w:val="21"/>
              </w:rPr>
            </w:pPr>
          </w:p>
        </w:tc>
        <w:tc>
          <w:tcPr>
            <w:tcW w:w="477" w:type="pct"/>
            <w:vAlign w:val="center"/>
          </w:tcPr>
          <w:p w14:paraId="3C9861C5">
            <w:pPr>
              <w:spacing w:line="360" w:lineRule="exact"/>
              <w:ind w:firstLine="0" w:firstLineChars="0"/>
              <w:jc w:val="center"/>
              <w:rPr>
                <w:sz w:val="21"/>
                <w:szCs w:val="21"/>
              </w:rPr>
            </w:pPr>
            <w:r>
              <w:rPr>
                <w:rFonts w:hint="eastAsia"/>
                <w:sz w:val="21"/>
                <w:szCs w:val="21"/>
              </w:rPr>
              <w:t>0.243t/a</w:t>
            </w:r>
          </w:p>
        </w:tc>
        <w:tc>
          <w:tcPr>
            <w:tcW w:w="2333" w:type="pct"/>
            <w:vMerge w:val="continue"/>
            <w:vAlign w:val="center"/>
          </w:tcPr>
          <w:p w14:paraId="3CEB924A">
            <w:pPr>
              <w:spacing w:line="360" w:lineRule="exact"/>
              <w:ind w:firstLine="0" w:firstLineChars="0"/>
              <w:jc w:val="center"/>
              <w:rPr>
                <w:sz w:val="21"/>
                <w:szCs w:val="21"/>
              </w:rPr>
            </w:pPr>
          </w:p>
        </w:tc>
        <w:tc>
          <w:tcPr>
            <w:tcW w:w="603" w:type="pct"/>
            <w:vAlign w:val="center"/>
          </w:tcPr>
          <w:p w14:paraId="345804EA">
            <w:pPr>
              <w:spacing w:line="360" w:lineRule="exact"/>
              <w:ind w:firstLine="0" w:firstLineChars="0"/>
              <w:jc w:val="center"/>
              <w:rPr>
                <w:sz w:val="21"/>
                <w:szCs w:val="21"/>
              </w:rPr>
            </w:pPr>
            <w:r>
              <w:rPr>
                <w:rFonts w:hint="eastAsia"/>
                <w:sz w:val="21"/>
                <w:szCs w:val="21"/>
              </w:rPr>
              <w:t>0.012t/a</w:t>
            </w:r>
          </w:p>
        </w:tc>
        <w:tc>
          <w:tcPr>
            <w:tcW w:w="710" w:type="pct"/>
            <w:vAlign w:val="center"/>
          </w:tcPr>
          <w:p w14:paraId="2FC14B4B">
            <w:pPr>
              <w:spacing w:line="360" w:lineRule="exact"/>
              <w:ind w:firstLine="0" w:firstLineChars="0"/>
              <w:jc w:val="center"/>
              <w:rPr>
                <w:sz w:val="21"/>
                <w:szCs w:val="21"/>
              </w:rPr>
            </w:pPr>
            <w:r>
              <w:rPr>
                <w:rFonts w:hint="eastAsia"/>
                <w:sz w:val="21"/>
                <w:szCs w:val="21"/>
              </w:rPr>
              <w:t>0.0028</w:t>
            </w:r>
          </w:p>
        </w:tc>
      </w:tr>
    </w:tbl>
    <w:p w14:paraId="2ACB44CB">
      <w:pPr>
        <w:ind w:firstLine="480"/>
      </w:pPr>
      <w:r>
        <w:rPr>
          <w:rFonts w:hint="eastAsia" w:cs="宋体"/>
          <w:szCs w:val="24"/>
          <w:lang w:bidi="ar"/>
        </w:rPr>
        <w:t>厂界臭气浓度可以满足《恶臭污染物排放标准》（</w:t>
      </w:r>
      <w:r>
        <w:rPr>
          <w:szCs w:val="24"/>
          <w:lang w:bidi="ar"/>
        </w:rPr>
        <w:t>GB14554-93</w:t>
      </w:r>
      <w:r>
        <w:rPr>
          <w:rFonts w:hint="eastAsia" w:cs="宋体"/>
          <w:szCs w:val="24"/>
          <w:lang w:bidi="ar"/>
        </w:rPr>
        <w:t>）表</w:t>
      </w:r>
      <w:r>
        <w:rPr>
          <w:szCs w:val="24"/>
          <w:lang w:bidi="ar"/>
        </w:rPr>
        <w:t>1</w:t>
      </w:r>
      <w:r>
        <w:rPr>
          <w:rFonts w:hint="eastAsia" w:cs="宋体"/>
          <w:szCs w:val="24"/>
          <w:lang w:bidi="ar"/>
        </w:rPr>
        <w:t>中新改扩建二级标准限值（</w:t>
      </w:r>
      <w:r>
        <w:rPr>
          <w:szCs w:val="24"/>
          <w:lang w:bidi="ar"/>
        </w:rPr>
        <w:t>NH</w:t>
      </w:r>
      <w:r>
        <w:rPr>
          <w:szCs w:val="15"/>
          <w:vertAlign w:val="subscript"/>
          <w:lang w:bidi="ar"/>
        </w:rPr>
        <w:t>3</w:t>
      </w:r>
      <w:r>
        <w:rPr>
          <w:rFonts w:hint="eastAsia" w:cs="宋体"/>
          <w:szCs w:val="24"/>
          <w:lang w:bidi="ar"/>
        </w:rPr>
        <w:t>≤</w:t>
      </w:r>
      <w:r>
        <w:rPr>
          <w:szCs w:val="24"/>
          <w:lang w:bidi="ar"/>
        </w:rPr>
        <w:t>1.5mg/m</w:t>
      </w:r>
      <w:r>
        <w:rPr>
          <w:szCs w:val="15"/>
          <w:vertAlign w:val="superscript"/>
          <w:lang w:bidi="ar"/>
        </w:rPr>
        <w:t>3</w:t>
      </w:r>
      <w:r>
        <w:rPr>
          <w:rFonts w:hint="eastAsia" w:cs="宋体"/>
          <w:szCs w:val="24"/>
          <w:lang w:bidi="ar"/>
        </w:rPr>
        <w:t>、</w:t>
      </w:r>
      <w:r>
        <w:rPr>
          <w:szCs w:val="24"/>
          <w:lang w:bidi="ar"/>
        </w:rPr>
        <w:t>H</w:t>
      </w:r>
      <w:r>
        <w:rPr>
          <w:szCs w:val="15"/>
          <w:vertAlign w:val="subscript"/>
          <w:lang w:bidi="ar"/>
        </w:rPr>
        <w:t>2</w:t>
      </w:r>
      <w:r>
        <w:rPr>
          <w:szCs w:val="24"/>
          <w:lang w:bidi="ar"/>
        </w:rPr>
        <w:t>S</w:t>
      </w:r>
      <w:r>
        <w:rPr>
          <w:rFonts w:hint="eastAsia" w:cs="宋体"/>
          <w:szCs w:val="24"/>
          <w:lang w:bidi="ar"/>
        </w:rPr>
        <w:t>≤</w:t>
      </w:r>
      <w:r>
        <w:rPr>
          <w:szCs w:val="24"/>
          <w:lang w:bidi="ar"/>
        </w:rPr>
        <w:t>0.06mg/m</w:t>
      </w:r>
      <w:r>
        <w:rPr>
          <w:szCs w:val="15"/>
          <w:vertAlign w:val="superscript"/>
          <w:lang w:bidi="ar"/>
        </w:rPr>
        <w:t>3</w:t>
      </w:r>
      <w:r>
        <w:rPr>
          <w:rFonts w:hint="eastAsia" w:cs="宋体"/>
          <w:szCs w:val="24"/>
          <w:lang w:bidi="ar"/>
        </w:rPr>
        <w:t>）。</w:t>
      </w:r>
    </w:p>
    <w:p w14:paraId="531AD8EA">
      <w:pPr>
        <w:ind w:firstLine="480"/>
      </w:pPr>
      <w:r>
        <w:rPr>
          <w:rFonts w:hint="eastAsia" w:cs="宋体"/>
          <w:szCs w:val="24"/>
          <w:lang w:bidi="ar"/>
        </w:rPr>
        <w:t>②无组织排放恶臭的治理措施</w:t>
      </w:r>
    </w:p>
    <w:p w14:paraId="4800798D">
      <w:pPr>
        <w:ind w:firstLine="480"/>
      </w:pPr>
      <w:r>
        <w:rPr>
          <w:rFonts w:hint="eastAsia" w:cs="宋体"/>
          <w:szCs w:val="24"/>
          <w:lang w:bidi="ar"/>
        </w:rPr>
        <w:t>此类无组织排放恶臭的治理方法主要从减少臭气产生、防止恶臭扩散等多种方法并举。建设单位拟采取如下措施：</w:t>
      </w:r>
    </w:p>
    <w:p w14:paraId="5543E951">
      <w:pPr>
        <w:ind w:firstLine="480"/>
        <w:rPr>
          <w:rFonts w:cs="宋体"/>
          <w:szCs w:val="24"/>
          <w:lang w:bidi="ar"/>
        </w:rPr>
      </w:pPr>
      <w:r>
        <w:rPr>
          <w:rFonts w:hint="eastAsia" w:cs="宋体"/>
          <w:szCs w:val="24"/>
          <w:lang w:bidi="ar"/>
        </w:rPr>
        <w:t>（</w:t>
      </w:r>
      <w:r>
        <w:rPr>
          <w:szCs w:val="24"/>
          <w:lang w:bidi="ar"/>
        </w:rPr>
        <w:t>a</w:t>
      </w:r>
      <w:r>
        <w:rPr>
          <w:rFonts w:hint="eastAsia" w:cs="宋体"/>
          <w:szCs w:val="24"/>
          <w:lang w:bidi="ar"/>
        </w:rPr>
        <w:t>）驼舍采用自然通风辅助机械通风方式加强通风，来保持驼舍空气的流通和新鲜。</w:t>
      </w:r>
    </w:p>
    <w:p w14:paraId="295AB320">
      <w:pPr>
        <w:ind w:firstLine="480"/>
      </w:pPr>
      <w:r>
        <w:rPr>
          <w:rFonts w:hint="eastAsia" w:cs="宋体"/>
          <w:szCs w:val="24"/>
          <w:lang w:bidi="ar"/>
        </w:rPr>
        <w:t>（</w:t>
      </w:r>
      <w:r>
        <w:rPr>
          <w:szCs w:val="24"/>
          <w:lang w:bidi="ar"/>
        </w:rPr>
        <w:t>b</w:t>
      </w:r>
      <w:r>
        <w:rPr>
          <w:rFonts w:hint="eastAsia" w:cs="宋体"/>
          <w:szCs w:val="24"/>
          <w:lang w:bidi="ar"/>
        </w:rPr>
        <w:t>）同时进行喷洒除臭，除臭液每</w:t>
      </w:r>
      <w:r>
        <w:rPr>
          <w:szCs w:val="24"/>
          <w:lang w:bidi="ar"/>
        </w:rPr>
        <w:t>7</w:t>
      </w:r>
      <w:r>
        <w:rPr>
          <w:rFonts w:hint="eastAsia" w:cs="宋体"/>
          <w:szCs w:val="24"/>
          <w:lang w:bidi="ar"/>
        </w:rPr>
        <w:t>天喷洒一次，除臭效率约为</w:t>
      </w:r>
      <w:r>
        <w:rPr>
          <w:szCs w:val="24"/>
          <w:lang w:bidi="ar"/>
        </w:rPr>
        <w:t>80%</w:t>
      </w:r>
      <w:r>
        <w:rPr>
          <w:rFonts w:hint="eastAsia" w:cs="宋体"/>
          <w:szCs w:val="24"/>
          <w:lang w:bidi="ar"/>
        </w:rPr>
        <w:t>。</w:t>
      </w:r>
    </w:p>
    <w:p w14:paraId="17969F48">
      <w:pPr>
        <w:ind w:firstLine="480"/>
      </w:pPr>
      <w:r>
        <w:rPr>
          <w:rFonts w:hint="eastAsia" w:cs="宋体"/>
          <w:szCs w:val="24"/>
          <w:lang w:bidi="ar"/>
        </w:rPr>
        <w:t>（</w:t>
      </w:r>
      <w:r>
        <w:rPr>
          <w:szCs w:val="24"/>
          <w:lang w:bidi="ar"/>
        </w:rPr>
        <w:t>c</w:t>
      </w:r>
      <w:r>
        <w:rPr>
          <w:rFonts w:hint="eastAsia" w:cs="宋体"/>
          <w:szCs w:val="24"/>
          <w:lang w:bidi="ar"/>
        </w:rPr>
        <w:t>）本项目计划采用科学饲喂技术，提高饲料的利用率（尤其是氮的利用率），降低排泄物中氮的含量及恶臭气体的排放。</w:t>
      </w:r>
    </w:p>
    <w:p w14:paraId="086939AB">
      <w:pPr>
        <w:ind w:firstLine="480"/>
      </w:pPr>
      <w:r>
        <w:rPr>
          <w:rFonts w:hint="eastAsia" w:cs="宋体"/>
          <w:szCs w:val="24"/>
          <w:lang w:bidi="ar"/>
        </w:rPr>
        <w:t>（</w:t>
      </w:r>
      <w:r>
        <w:rPr>
          <w:szCs w:val="24"/>
          <w:lang w:bidi="ar"/>
        </w:rPr>
        <w:t>d</w:t>
      </w:r>
      <w:r>
        <w:rPr>
          <w:rFonts w:hint="eastAsia" w:cs="宋体"/>
          <w:szCs w:val="24"/>
          <w:lang w:bidi="ar"/>
        </w:rPr>
        <w:t>）项目场区绿化率达到</w:t>
      </w:r>
      <w:r>
        <w:rPr>
          <w:szCs w:val="24"/>
          <w:lang w:bidi="ar"/>
        </w:rPr>
        <w:t>10%</w:t>
      </w:r>
      <w:r>
        <w:rPr>
          <w:rFonts w:hint="eastAsia" w:cs="宋体"/>
          <w:szCs w:val="24"/>
          <w:lang w:bidi="ar"/>
        </w:rPr>
        <w:t>。鉴于养殖行业特殊性，在树种选择上，不仅要考虑美化效果，还必须考虑在除臭、防火、吸尘、杀菌等方面的作用，最大限度地防止臭味对周围大气环境的影响在办公区内设置绿化，区内空地和路边尽量植树及种植花草，以最大限度地防止臭味对周围大气环境的影响。</w:t>
      </w:r>
    </w:p>
    <w:p w14:paraId="47D6048D">
      <w:pPr>
        <w:ind w:firstLine="480"/>
      </w:pPr>
      <w:r>
        <w:rPr>
          <w:rFonts w:hint="eastAsia" w:cs="宋体"/>
          <w:szCs w:val="24"/>
          <w:lang w:bidi="ar"/>
        </w:rPr>
        <w:t>本项目运营期采取上述畜禽养殖污染预防措施和养殖场臭气污染控制措施后，可以大大减少恶臭气体的产生。</w:t>
      </w:r>
    </w:p>
    <w:p w14:paraId="78796E3C">
      <w:pPr>
        <w:spacing w:line="480" w:lineRule="exact"/>
        <w:ind w:firstLine="480"/>
      </w:pPr>
      <w:r>
        <w:rPr>
          <w:rFonts w:hint="eastAsia"/>
        </w:rPr>
        <w:t>③堆肥发酵恶臭</w:t>
      </w:r>
    </w:p>
    <w:p w14:paraId="6586EBE8">
      <w:pPr>
        <w:spacing w:line="480" w:lineRule="exact"/>
        <w:ind w:firstLine="480"/>
      </w:pPr>
      <w:r>
        <w:rPr>
          <w:rFonts w:hint="eastAsia"/>
        </w:rPr>
        <w:t>堆肥场</w:t>
      </w:r>
      <w:r>
        <w:t>恶臭主要产生于粪便暂存、混合、发酵等环节。根据《规模化畜禽养殖场恶臭污染物扩散规律及其防护距离研究》中国农业科学院中的恶臭污染源500头牛粪堆场NH</w:t>
      </w:r>
      <w:r>
        <w:rPr>
          <w:vertAlign w:val="subscript"/>
        </w:rPr>
        <w:t>3</w:t>
      </w:r>
      <w:r>
        <w:t>年产生量6.25kg/a，H</w:t>
      </w:r>
      <w:r>
        <w:rPr>
          <w:vertAlign w:val="subscript"/>
        </w:rPr>
        <w:t>2</w:t>
      </w:r>
      <w:r>
        <w:t>S年产生量为0.15kg/a。同时根据论文《基于饲养标准的家禽单位折算方法》（草地学报，第17卷第4期，2009年7月，刘玉杰、李向林、何峰）中各种家畜与绵羊单位的折算系数可知：1头牛=4只绵羊，1峰骆驼=7只绵羊；根据《畜禽养殖业污染物排放标准》（GB118596-2001）可知：1头肉牛=5头猪。按照上述折算系数，可得出：1峰骆驼约折算成1.8头牛，经过折算后，本项目</w:t>
      </w:r>
      <w:r>
        <w:rPr>
          <w:rFonts w:hint="eastAsia"/>
        </w:rPr>
        <w:t>堆肥场</w:t>
      </w:r>
      <w:r>
        <w:t>NH</w:t>
      </w:r>
      <w:r>
        <w:rPr>
          <w:vertAlign w:val="subscript"/>
        </w:rPr>
        <w:t>3</w:t>
      </w:r>
      <w:r>
        <w:t>年产生为</w:t>
      </w:r>
      <w:r>
        <w:rPr>
          <w:rFonts w:hint="eastAsia"/>
        </w:rPr>
        <w:t>9</w:t>
      </w:r>
      <w:r>
        <w:t>kg/a，H</w:t>
      </w:r>
      <w:r>
        <w:rPr>
          <w:vertAlign w:val="subscript"/>
        </w:rPr>
        <w:t>2</w:t>
      </w:r>
      <w:r>
        <w:t>S年产生量为</w:t>
      </w:r>
      <w:r>
        <w:rPr>
          <w:rFonts w:hint="eastAsia"/>
        </w:rPr>
        <w:t>0.216</w:t>
      </w:r>
      <w:r>
        <w:t>kg/a，产生速率即</w:t>
      </w:r>
      <w:r>
        <w:rPr>
          <w:rFonts w:hint="eastAsia"/>
        </w:rPr>
        <w:t>0.0021</w:t>
      </w:r>
      <w:r>
        <w:t>kg/h和</w:t>
      </w:r>
      <w:r>
        <w:rPr>
          <w:rFonts w:hint="eastAsia"/>
        </w:rPr>
        <w:t>0.0000049</w:t>
      </w:r>
      <w:r>
        <w:t>kg/h。</w:t>
      </w:r>
    </w:p>
    <w:p w14:paraId="041503B8">
      <w:pPr>
        <w:spacing w:line="480" w:lineRule="exact"/>
        <w:ind w:firstLine="480"/>
      </w:pPr>
      <w:r>
        <w:t>本项目采取在</w:t>
      </w:r>
      <w:r>
        <w:rPr>
          <w:rFonts w:hint="eastAsia"/>
        </w:rPr>
        <w:t>堆肥场</w:t>
      </w:r>
      <w:r>
        <w:t>周边种植高大乔木，利用绿色植物对恶臭气体的吸收作用减少污染；另外要在</w:t>
      </w:r>
      <w:r>
        <w:rPr>
          <w:rFonts w:hint="eastAsia"/>
        </w:rPr>
        <w:t>堆肥场</w:t>
      </w:r>
      <w:r>
        <w:t>周边喷洒除臭剂进行处理，多用强氧化剂和杀菌剂等消除微生物产生的臭味或化学氧化臭味物质。经过采取以上措施后，可有效减少约60%的恶臭废气排放，经计算，</w:t>
      </w:r>
      <w:r>
        <w:rPr>
          <w:rFonts w:hint="eastAsia"/>
        </w:rPr>
        <w:t>堆肥场</w:t>
      </w:r>
      <w:r>
        <w:t>恶臭排放量为NH</w:t>
      </w:r>
      <w:r>
        <w:rPr>
          <w:vertAlign w:val="subscript"/>
        </w:rPr>
        <w:t>3</w:t>
      </w:r>
      <w:r>
        <w:rPr>
          <w:rFonts w:hint="eastAsia"/>
        </w:rPr>
        <w:t>3.6</w:t>
      </w:r>
      <w:r>
        <w:t>kg/a，H</w:t>
      </w:r>
      <w:r>
        <w:rPr>
          <w:vertAlign w:val="subscript"/>
        </w:rPr>
        <w:t>2</w:t>
      </w:r>
      <w:r>
        <w:t>S</w:t>
      </w:r>
      <w:r>
        <w:rPr>
          <w:rFonts w:hint="eastAsia"/>
        </w:rPr>
        <w:t>0.086</w:t>
      </w:r>
      <w:r>
        <w:t>kg/a。</w:t>
      </w:r>
    </w:p>
    <w:p w14:paraId="353C548E">
      <w:pPr>
        <w:pStyle w:val="54"/>
        <w:ind w:firstLine="480"/>
      </w:pPr>
      <w:r>
        <w:rPr>
          <w:rFonts w:ascii="宋体" w:hAnsi="宋体" w:eastAsia="宋体" w:cs="宋体"/>
        </w:rPr>
        <w:t>在污染防治措施发生故障等非正常工况下，恶臭气体的非正常排放对评价范围内和保护目标的贡献率较正常排放时增加较大，但项目周围环境保护目标的污染物浓度不会超标。要求建设单位加强对废气治理装置的管理和养护，尽可能减少非正常排放现象，一旦发生废气非正常及事故排放，应及时检修。</w:t>
      </w:r>
    </w:p>
    <w:p w14:paraId="66849397">
      <w:pPr>
        <w:pStyle w:val="6"/>
        <w:ind w:firstLine="482"/>
      </w:pPr>
      <w:r>
        <w:t>3.</w:t>
      </w:r>
      <w:r>
        <w:rPr>
          <w:rFonts w:hint="eastAsia"/>
        </w:rPr>
        <w:t>3</w:t>
      </w:r>
      <w:r>
        <w:t>.2.2</w:t>
      </w:r>
      <w:r>
        <w:rPr>
          <w:rFonts w:hint="eastAsia"/>
        </w:rPr>
        <w:t>运营期水污染源</w:t>
      </w:r>
    </w:p>
    <w:p w14:paraId="071EF70E">
      <w:pPr>
        <w:ind w:firstLine="480"/>
        <w:rPr>
          <w:color w:val="FF0000"/>
        </w:rPr>
      </w:pPr>
      <w:bookmarkStart w:id="325" w:name="_GoBack"/>
      <w:r>
        <w:rPr>
          <w:rFonts w:hint="eastAsia"/>
          <w:color w:val="FF0000"/>
        </w:rPr>
        <w:t>本项目废水主要有生活污水</w:t>
      </w:r>
      <w:r>
        <w:rPr>
          <w:rFonts w:hint="eastAsia"/>
          <w:color w:val="FF0000"/>
          <w:lang w:val="en-US" w:eastAsia="zh-CN"/>
        </w:rPr>
        <w:t>和渗滤液</w:t>
      </w:r>
      <w:r>
        <w:rPr>
          <w:rFonts w:hint="eastAsia"/>
          <w:color w:val="FF0000"/>
        </w:rPr>
        <w:t>。</w:t>
      </w:r>
    </w:p>
    <w:p w14:paraId="49F8767A">
      <w:pPr>
        <w:ind w:firstLine="480"/>
        <w:rPr>
          <w:color w:val="FF0000"/>
        </w:rPr>
      </w:pPr>
      <w:r>
        <w:rPr>
          <w:rFonts w:hint="eastAsia"/>
          <w:color w:val="FF0000"/>
        </w:rPr>
        <w:t>（1）生活污水</w:t>
      </w:r>
    </w:p>
    <w:p w14:paraId="5BE60E78">
      <w:pPr>
        <w:ind w:firstLine="480"/>
        <w:rPr>
          <w:color w:val="FF0000"/>
        </w:rPr>
      </w:pPr>
      <w:r>
        <w:rPr>
          <w:rFonts w:hint="eastAsia"/>
          <w:color w:val="FF0000"/>
        </w:rPr>
        <w:t>根据《新疆维吾尔自治区工业和生活用水定额》中相关数据，工作人员用水约80L/人·d，本项目劳动定员20人，则工作人员的生活用水量为584m</w:t>
      </w:r>
      <w:r>
        <w:rPr>
          <w:rFonts w:hint="eastAsia"/>
          <w:color w:val="FF0000"/>
          <w:vertAlign w:val="superscript"/>
        </w:rPr>
        <w:t>3</w:t>
      </w:r>
      <w:r>
        <w:rPr>
          <w:rFonts w:hint="eastAsia"/>
          <w:color w:val="FF0000"/>
        </w:rPr>
        <w:t>/a（按365天计）。生活污水按照用水量的80%计算，则生活污水排放量约为467.2m</w:t>
      </w:r>
      <w:r>
        <w:rPr>
          <w:rFonts w:hint="eastAsia"/>
          <w:color w:val="FF0000"/>
          <w:vertAlign w:val="superscript"/>
        </w:rPr>
        <w:t>3</w:t>
      </w:r>
      <w:r>
        <w:rPr>
          <w:rFonts w:hint="eastAsia"/>
          <w:color w:val="FF0000"/>
        </w:rPr>
        <w:t>/a。生活污水中污染物浓度约为COD</w:t>
      </w:r>
      <w:r>
        <w:rPr>
          <w:rFonts w:hint="eastAsia"/>
          <w:color w:val="FF0000"/>
          <w:vertAlign w:val="subscript"/>
        </w:rPr>
        <w:t>Cr</w:t>
      </w:r>
      <w:r>
        <w:rPr>
          <w:rFonts w:hint="eastAsia"/>
          <w:color w:val="FF0000"/>
        </w:rPr>
        <w:t>：</w:t>
      </w:r>
      <w:r>
        <w:rPr>
          <w:rFonts w:hint="eastAsia"/>
          <w:color w:val="FF0000"/>
          <w:lang w:val="en-US" w:eastAsia="zh-CN"/>
        </w:rPr>
        <w:t>3</w:t>
      </w:r>
      <w:r>
        <w:rPr>
          <w:rFonts w:hint="eastAsia"/>
          <w:color w:val="FF0000"/>
        </w:rPr>
        <w:t>00mg/L，BOD</w:t>
      </w:r>
      <w:r>
        <w:rPr>
          <w:rFonts w:hint="eastAsia"/>
          <w:color w:val="FF0000"/>
          <w:vertAlign w:val="subscript"/>
        </w:rPr>
        <w:t>5</w:t>
      </w:r>
      <w:r>
        <w:rPr>
          <w:rFonts w:hint="eastAsia"/>
          <w:color w:val="FF0000"/>
        </w:rPr>
        <w:t>：</w:t>
      </w:r>
      <w:r>
        <w:rPr>
          <w:rFonts w:hint="eastAsia"/>
          <w:color w:val="FF0000"/>
          <w:lang w:val="en-US" w:eastAsia="zh-CN"/>
        </w:rPr>
        <w:t>1</w:t>
      </w:r>
      <w:r>
        <w:rPr>
          <w:rFonts w:hint="eastAsia"/>
          <w:color w:val="FF0000"/>
        </w:rPr>
        <w:t>50mg/L，SS：150mg/L，NH</w:t>
      </w:r>
      <w:r>
        <w:rPr>
          <w:rFonts w:hint="eastAsia"/>
          <w:color w:val="FF0000"/>
          <w:vertAlign w:val="subscript"/>
        </w:rPr>
        <w:t>3</w:t>
      </w:r>
      <w:r>
        <w:rPr>
          <w:rFonts w:hint="eastAsia"/>
          <w:color w:val="FF0000"/>
        </w:rPr>
        <w:t>-N：50mg/L。</w:t>
      </w:r>
    </w:p>
    <w:p w14:paraId="23C5FDDE">
      <w:pPr>
        <w:ind w:firstLine="480"/>
        <w:rPr>
          <w:color w:val="FF0000"/>
        </w:rPr>
      </w:pPr>
      <w:r>
        <w:rPr>
          <w:rFonts w:hint="eastAsia"/>
          <w:color w:val="FF0000"/>
        </w:rPr>
        <w:t>本项目生活污水产生量见表3.3-6。</w:t>
      </w:r>
    </w:p>
    <w:p w14:paraId="7DA8F32E">
      <w:pPr>
        <w:ind w:firstLine="0" w:firstLineChars="0"/>
        <w:jc w:val="center"/>
        <w:rPr>
          <w:b/>
          <w:bCs/>
          <w:color w:val="FF0000"/>
        </w:rPr>
      </w:pPr>
      <w:r>
        <w:rPr>
          <w:rFonts w:hint="eastAsia"/>
          <w:b/>
          <w:bCs/>
          <w:color w:val="FF0000"/>
        </w:rPr>
        <w:t>表3.3-6生活污水产生量</w:t>
      </w:r>
    </w:p>
    <w:p w14:paraId="55861B21">
      <w:pPr>
        <w:spacing w:line="20" w:lineRule="exact"/>
        <w:ind w:firstLine="480"/>
        <w:rPr>
          <w:color w:val="FF0000"/>
        </w:rPr>
      </w:pPr>
    </w:p>
    <w:tbl>
      <w:tblPr>
        <w:tblStyle w:val="183"/>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9"/>
        <w:gridCol w:w="1501"/>
        <w:gridCol w:w="1504"/>
        <w:gridCol w:w="1810"/>
        <w:gridCol w:w="1983"/>
      </w:tblGrid>
      <w:tr w14:paraId="01DC6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908" w:type="pct"/>
            <w:vAlign w:val="center"/>
          </w:tcPr>
          <w:p w14:paraId="14CB9EBA">
            <w:pPr>
              <w:spacing w:line="360" w:lineRule="exact"/>
              <w:ind w:firstLine="0" w:firstLineChars="0"/>
              <w:jc w:val="center"/>
              <w:rPr>
                <w:rFonts w:cs="宋体"/>
                <w:color w:val="FF0000"/>
                <w:sz w:val="21"/>
                <w:szCs w:val="21"/>
              </w:rPr>
            </w:pPr>
            <w:r>
              <w:rPr>
                <w:rFonts w:cs="宋体"/>
                <w:color w:val="FF0000"/>
                <w:sz w:val="21"/>
                <w:szCs w:val="21"/>
              </w:rPr>
              <w:t>废水来源</w:t>
            </w:r>
          </w:p>
        </w:tc>
        <w:tc>
          <w:tcPr>
            <w:tcW w:w="903" w:type="pct"/>
            <w:vAlign w:val="center"/>
          </w:tcPr>
          <w:p w14:paraId="629501F6">
            <w:pPr>
              <w:spacing w:line="360" w:lineRule="exact"/>
              <w:ind w:firstLine="0" w:firstLineChars="0"/>
              <w:jc w:val="center"/>
              <w:rPr>
                <w:rFonts w:cs="宋体"/>
                <w:color w:val="FF0000"/>
                <w:sz w:val="21"/>
                <w:szCs w:val="21"/>
              </w:rPr>
            </w:pPr>
            <w:r>
              <w:rPr>
                <w:rFonts w:cs="宋体"/>
                <w:color w:val="FF0000"/>
                <w:sz w:val="21"/>
                <w:szCs w:val="21"/>
              </w:rPr>
              <w:t>废水量</w:t>
            </w:r>
            <w:r>
              <w:rPr>
                <w:rFonts w:hint="eastAsia" w:cs="宋体"/>
                <w:color w:val="FF0000"/>
                <w:sz w:val="21"/>
                <w:szCs w:val="21"/>
              </w:rPr>
              <w:t>（</w:t>
            </w:r>
            <w:r>
              <w:rPr>
                <w:color w:val="FF0000"/>
                <w:sz w:val="21"/>
                <w:szCs w:val="21"/>
              </w:rPr>
              <w:t>t/a</w:t>
            </w:r>
            <w:r>
              <w:rPr>
                <w:rFonts w:hint="eastAsia" w:cs="宋体"/>
                <w:color w:val="FF0000"/>
                <w:sz w:val="21"/>
                <w:szCs w:val="21"/>
              </w:rPr>
              <w:t>）</w:t>
            </w:r>
          </w:p>
        </w:tc>
        <w:tc>
          <w:tcPr>
            <w:tcW w:w="905" w:type="pct"/>
            <w:vAlign w:val="center"/>
          </w:tcPr>
          <w:p w14:paraId="097923A5">
            <w:pPr>
              <w:spacing w:line="360" w:lineRule="exact"/>
              <w:ind w:firstLine="0" w:firstLineChars="0"/>
              <w:jc w:val="center"/>
              <w:rPr>
                <w:rFonts w:cs="宋体"/>
                <w:color w:val="FF0000"/>
                <w:sz w:val="21"/>
                <w:szCs w:val="21"/>
              </w:rPr>
            </w:pPr>
            <w:r>
              <w:rPr>
                <w:rFonts w:cs="宋体"/>
                <w:color w:val="FF0000"/>
                <w:sz w:val="21"/>
                <w:szCs w:val="21"/>
              </w:rPr>
              <w:t>污染物</w:t>
            </w:r>
          </w:p>
        </w:tc>
        <w:tc>
          <w:tcPr>
            <w:tcW w:w="1089" w:type="pct"/>
            <w:vAlign w:val="center"/>
          </w:tcPr>
          <w:p w14:paraId="07592C4A">
            <w:pPr>
              <w:spacing w:line="360" w:lineRule="exact"/>
              <w:ind w:firstLine="0" w:firstLineChars="0"/>
              <w:jc w:val="center"/>
              <w:rPr>
                <w:rFonts w:cs="宋体"/>
                <w:color w:val="FF0000"/>
                <w:sz w:val="21"/>
                <w:szCs w:val="21"/>
              </w:rPr>
            </w:pPr>
            <w:r>
              <w:rPr>
                <w:rFonts w:cs="宋体"/>
                <w:color w:val="FF0000"/>
                <w:sz w:val="21"/>
                <w:szCs w:val="21"/>
              </w:rPr>
              <w:t>产生浓度</w:t>
            </w:r>
          </w:p>
          <w:p w14:paraId="0304C0F8">
            <w:pPr>
              <w:spacing w:line="360" w:lineRule="exact"/>
              <w:ind w:firstLine="0" w:firstLineChars="0"/>
              <w:jc w:val="center"/>
              <w:rPr>
                <w:rFonts w:cs="宋体"/>
                <w:color w:val="FF0000"/>
                <w:sz w:val="21"/>
                <w:szCs w:val="21"/>
              </w:rPr>
            </w:pPr>
            <w:r>
              <w:rPr>
                <w:rFonts w:hint="eastAsia" w:cs="宋体"/>
                <w:color w:val="FF0000"/>
                <w:sz w:val="21"/>
                <w:szCs w:val="21"/>
              </w:rPr>
              <w:t>（</w:t>
            </w:r>
            <w:r>
              <w:rPr>
                <w:color w:val="FF0000"/>
                <w:sz w:val="21"/>
                <w:szCs w:val="21"/>
              </w:rPr>
              <w:t>mg/L</w:t>
            </w:r>
            <w:r>
              <w:rPr>
                <w:rFonts w:hint="eastAsia" w:cs="宋体"/>
                <w:color w:val="FF0000"/>
                <w:sz w:val="21"/>
                <w:szCs w:val="21"/>
              </w:rPr>
              <w:t>）</w:t>
            </w:r>
          </w:p>
        </w:tc>
        <w:tc>
          <w:tcPr>
            <w:tcW w:w="1192" w:type="pct"/>
            <w:vAlign w:val="center"/>
          </w:tcPr>
          <w:p w14:paraId="686B9267">
            <w:pPr>
              <w:spacing w:line="360" w:lineRule="exact"/>
              <w:ind w:firstLine="0" w:firstLineChars="0"/>
              <w:jc w:val="center"/>
              <w:rPr>
                <w:rFonts w:cs="宋体"/>
                <w:color w:val="FF0000"/>
                <w:sz w:val="21"/>
                <w:szCs w:val="21"/>
              </w:rPr>
            </w:pPr>
            <w:r>
              <w:rPr>
                <w:rFonts w:cs="宋体"/>
                <w:color w:val="FF0000"/>
                <w:sz w:val="21"/>
                <w:szCs w:val="21"/>
              </w:rPr>
              <w:t>产生量</w:t>
            </w:r>
            <w:r>
              <w:rPr>
                <w:rFonts w:hint="eastAsia" w:cs="宋体"/>
                <w:color w:val="FF0000"/>
                <w:sz w:val="21"/>
                <w:szCs w:val="21"/>
              </w:rPr>
              <w:t>（</w:t>
            </w:r>
            <w:r>
              <w:rPr>
                <w:color w:val="FF0000"/>
                <w:sz w:val="21"/>
                <w:szCs w:val="21"/>
              </w:rPr>
              <w:t>t/a</w:t>
            </w:r>
            <w:r>
              <w:rPr>
                <w:rFonts w:hint="eastAsia" w:cs="宋体"/>
                <w:color w:val="FF0000"/>
                <w:sz w:val="21"/>
                <w:szCs w:val="21"/>
              </w:rPr>
              <w:t>）</w:t>
            </w:r>
          </w:p>
        </w:tc>
      </w:tr>
      <w:tr w14:paraId="7D73A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restart"/>
            <w:tcBorders>
              <w:bottom w:val="nil"/>
            </w:tcBorders>
            <w:vAlign w:val="center"/>
          </w:tcPr>
          <w:p w14:paraId="009A83CE">
            <w:pPr>
              <w:spacing w:line="360" w:lineRule="exact"/>
              <w:ind w:firstLine="0" w:firstLineChars="0"/>
              <w:jc w:val="center"/>
              <w:rPr>
                <w:rFonts w:cs="宋体"/>
                <w:color w:val="FF0000"/>
                <w:sz w:val="21"/>
                <w:szCs w:val="21"/>
              </w:rPr>
            </w:pPr>
            <w:r>
              <w:rPr>
                <w:rFonts w:cs="宋体"/>
                <w:color w:val="FF0000"/>
                <w:sz w:val="21"/>
                <w:szCs w:val="21"/>
              </w:rPr>
              <w:t>生活污水</w:t>
            </w:r>
          </w:p>
        </w:tc>
        <w:tc>
          <w:tcPr>
            <w:tcW w:w="903" w:type="pct"/>
            <w:vMerge w:val="restart"/>
            <w:tcBorders>
              <w:bottom w:val="nil"/>
            </w:tcBorders>
            <w:vAlign w:val="center"/>
          </w:tcPr>
          <w:p w14:paraId="42BF298A">
            <w:pPr>
              <w:spacing w:line="360" w:lineRule="exact"/>
              <w:ind w:firstLine="0" w:firstLineChars="0"/>
              <w:jc w:val="center"/>
              <w:rPr>
                <w:color w:val="FF0000"/>
                <w:sz w:val="21"/>
                <w:szCs w:val="21"/>
              </w:rPr>
            </w:pPr>
            <w:r>
              <w:rPr>
                <w:color w:val="FF0000"/>
                <w:sz w:val="21"/>
                <w:szCs w:val="21"/>
              </w:rPr>
              <w:t>467.2</w:t>
            </w:r>
          </w:p>
        </w:tc>
        <w:tc>
          <w:tcPr>
            <w:tcW w:w="905" w:type="pct"/>
            <w:vAlign w:val="center"/>
          </w:tcPr>
          <w:p w14:paraId="3AA96A58">
            <w:pPr>
              <w:spacing w:line="360" w:lineRule="exact"/>
              <w:ind w:firstLine="0" w:firstLineChars="0"/>
              <w:jc w:val="center"/>
              <w:rPr>
                <w:color w:val="FF0000"/>
                <w:sz w:val="21"/>
                <w:szCs w:val="21"/>
              </w:rPr>
            </w:pPr>
            <w:r>
              <w:rPr>
                <w:color w:val="FF0000"/>
                <w:sz w:val="21"/>
                <w:szCs w:val="21"/>
              </w:rPr>
              <w:t>CODcr</w:t>
            </w:r>
          </w:p>
        </w:tc>
        <w:tc>
          <w:tcPr>
            <w:tcW w:w="1089" w:type="pct"/>
            <w:vAlign w:val="center"/>
          </w:tcPr>
          <w:p w14:paraId="10618930">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300</w:t>
            </w:r>
          </w:p>
        </w:tc>
        <w:tc>
          <w:tcPr>
            <w:tcW w:w="1192" w:type="pct"/>
            <w:vAlign w:val="center"/>
          </w:tcPr>
          <w:p w14:paraId="08D8BA67">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0.14</w:t>
            </w:r>
          </w:p>
        </w:tc>
      </w:tr>
      <w:tr w14:paraId="673EC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continue"/>
            <w:tcBorders>
              <w:top w:val="nil"/>
              <w:bottom w:val="nil"/>
            </w:tcBorders>
            <w:vAlign w:val="center"/>
          </w:tcPr>
          <w:p w14:paraId="597CB78C">
            <w:pPr>
              <w:spacing w:line="360" w:lineRule="exact"/>
              <w:ind w:firstLine="0" w:firstLineChars="0"/>
              <w:jc w:val="center"/>
              <w:rPr>
                <w:color w:val="FF0000"/>
                <w:sz w:val="21"/>
              </w:rPr>
            </w:pPr>
          </w:p>
        </w:tc>
        <w:tc>
          <w:tcPr>
            <w:tcW w:w="903" w:type="pct"/>
            <w:vMerge w:val="continue"/>
            <w:tcBorders>
              <w:top w:val="nil"/>
              <w:bottom w:val="nil"/>
            </w:tcBorders>
            <w:vAlign w:val="center"/>
          </w:tcPr>
          <w:p w14:paraId="209A49DB">
            <w:pPr>
              <w:spacing w:line="360" w:lineRule="exact"/>
              <w:ind w:firstLine="0" w:firstLineChars="0"/>
              <w:jc w:val="center"/>
              <w:rPr>
                <w:color w:val="FF0000"/>
                <w:sz w:val="21"/>
              </w:rPr>
            </w:pPr>
          </w:p>
        </w:tc>
        <w:tc>
          <w:tcPr>
            <w:tcW w:w="905" w:type="pct"/>
            <w:vAlign w:val="center"/>
          </w:tcPr>
          <w:p w14:paraId="5A1021C9">
            <w:pPr>
              <w:spacing w:line="360" w:lineRule="exact"/>
              <w:ind w:firstLine="0" w:firstLineChars="0"/>
              <w:jc w:val="center"/>
              <w:rPr>
                <w:color w:val="FF0000"/>
                <w:sz w:val="21"/>
                <w:szCs w:val="14"/>
              </w:rPr>
            </w:pPr>
            <w:r>
              <w:rPr>
                <w:color w:val="FF0000"/>
                <w:sz w:val="21"/>
                <w:szCs w:val="21"/>
              </w:rPr>
              <w:t>BOD</w:t>
            </w:r>
            <w:r>
              <w:rPr>
                <w:color w:val="FF0000"/>
                <w:sz w:val="21"/>
                <w:szCs w:val="14"/>
                <w:vertAlign w:val="subscript"/>
              </w:rPr>
              <w:t>5</w:t>
            </w:r>
          </w:p>
        </w:tc>
        <w:tc>
          <w:tcPr>
            <w:tcW w:w="1089" w:type="pct"/>
            <w:vAlign w:val="center"/>
          </w:tcPr>
          <w:p w14:paraId="37ED03F2">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150</w:t>
            </w:r>
          </w:p>
        </w:tc>
        <w:tc>
          <w:tcPr>
            <w:tcW w:w="1192" w:type="pct"/>
            <w:vAlign w:val="center"/>
          </w:tcPr>
          <w:p w14:paraId="1ABD3248">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0.07</w:t>
            </w:r>
          </w:p>
        </w:tc>
      </w:tr>
      <w:tr w14:paraId="0E841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continue"/>
            <w:tcBorders>
              <w:top w:val="nil"/>
              <w:bottom w:val="nil"/>
            </w:tcBorders>
            <w:vAlign w:val="center"/>
          </w:tcPr>
          <w:p w14:paraId="6E40CF04">
            <w:pPr>
              <w:spacing w:line="360" w:lineRule="exact"/>
              <w:ind w:firstLine="0" w:firstLineChars="0"/>
              <w:jc w:val="center"/>
              <w:rPr>
                <w:color w:val="FF0000"/>
                <w:sz w:val="21"/>
              </w:rPr>
            </w:pPr>
          </w:p>
        </w:tc>
        <w:tc>
          <w:tcPr>
            <w:tcW w:w="903" w:type="pct"/>
            <w:vMerge w:val="continue"/>
            <w:tcBorders>
              <w:top w:val="nil"/>
              <w:bottom w:val="nil"/>
            </w:tcBorders>
            <w:vAlign w:val="center"/>
          </w:tcPr>
          <w:p w14:paraId="4752B4AE">
            <w:pPr>
              <w:spacing w:line="360" w:lineRule="exact"/>
              <w:ind w:firstLine="0" w:firstLineChars="0"/>
              <w:jc w:val="center"/>
              <w:rPr>
                <w:color w:val="FF0000"/>
                <w:sz w:val="21"/>
              </w:rPr>
            </w:pPr>
          </w:p>
        </w:tc>
        <w:tc>
          <w:tcPr>
            <w:tcW w:w="905" w:type="pct"/>
            <w:vAlign w:val="center"/>
          </w:tcPr>
          <w:p w14:paraId="4AEA4429">
            <w:pPr>
              <w:spacing w:line="360" w:lineRule="exact"/>
              <w:ind w:firstLine="0" w:firstLineChars="0"/>
              <w:jc w:val="center"/>
              <w:rPr>
                <w:color w:val="FF0000"/>
                <w:sz w:val="21"/>
                <w:szCs w:val="21"/>
              </w:rPr>
            </w:pPr>
            <w:r>
              <w:rPr>
                <w:color w:val="FF0000"/>
                <w:sz w:val="21"/>
                <w:szCs w:val="21"/>
              </w:rPr>
              <w:t>SS</w:t>
            </w:r>
          </w:p>
        </w:tc>
        <w:tc>
          <w:tcPr>
            <w:tcW w:w="1089" w:type="pct"/>
            <w:vAlign w:val="center"/>
          </w:tcPr>
          <w:p w14:paraId="1845C7A4">
            <w:pPr>
              <w:spacing w:line="360" w:lineRule="exact"/>
              <w:ind w:firstLine="0" w:firstLineChars="0"/>
              <w:jc w:val="center"/>
              <w:rPr>
                <w:color w:val="FF0000"/>
                <w:sz w:val="21"/>
                <w:szCs w:val="21"/>
              </w:rPr>
            </w:pPr>
            <w:r>
              <w:rPr>
                <w:color w:val="FF0000"/>
                <w:sz w:val="21"/>
                <w:szCs w:val="21"/>
              </w:rPr>
              <w:t>150</w:t>
            </w:r>
          </w:p>
        </w:tc>
        <w:tc>
          <w:tcPr>
            <w:tcW w:w="1192" w:type="pct"/>
            <w:vAlign w:val="center"/>
          </w:tcPr>
          <w:p w14:paraId="4808A3E3">
            <w:pPr>
              <w:spacing w:line="360" w:lineRule="exact"/>
              <w:ind w:firstLine="0" w:firstLineChars="0"/>
              <w:jc w:val="center"/>
              <w:rPr>
                <w:color w:val="FF0000"/>
                <w:sz w:val="21"/>
                <w:szCs w:val="21"/>
              </w:rPr>
            </w:pPr>
            <w:r>
              <w:rPr>
                <w:color w:val="FF0000"/>
                <w:sz w:val="21"/>
                <w:szCs w:val="21"/>
              </w:rPr>
              <w:t>0.07</w:t>
            </w:r>
          </w:p>
        </w:tc>
      </w:tr>
      <w:tr w14:paraId="7BE1D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908" w:type="pct"/>
            <w:vMerge w:val="continue"/>
            <w:tcBorders>
              <w:top w:val="nil"/>
            </w:tcBorders>
            <w:vAlign w:val="center"/>
          </w:tcPr>
          <w:p w14:paraId="7C4C01D7">
            <w:pPr>
              <w:spacing w:line="360" w:lineRule="exact"/>
              <w:ind w:firstLine="0" w:firstLineChars="0"/>
              <w:jc w:val="center"/>
              <w:rPr>
                <w:color w:val="FF0000"/>
                <w:sz w:val="21"/>
              </w:rPr>
            </w:pPr>
          </w:p>
        </w:tc>
        <w:tc>
          <w:tcPr>
            <w:tcW w:w="903" w:type="pct"/>
            <w:vMerge w:val="continue"/>
            <w:tcBorders>
              <w:top w:val="nil"/>
            </w:tcBorders>
            <w:vAlign w:val="center"/>
          </w:tcPr>
          <w:p w14:paraId="0AEF9623">
            <w:pPr>
              <w:spacing w:line="360" w:lineRule="exact"/>
              <w:ind w:firstLine="0" w:firstLineChars="0"/>
              <w:jc w:val="center"/>
              <w:rPr>
                <w:color w:val="FF0000"/>
                <w:sz w:val="21"/>
              </w:rPr>
            </w:pPr>
          </w:p>
        </w:tc>
        <w:tc>
          <w:tcPr>
            <w:tcW w:w="905" w:type="pct"/>
            <w:vAlign w:val="center"/>
          </w:tcPr>
          <w:p w14:paraId="245F681A">
            <w:pPr>
              <w:spacing w:line="360" w:lineRule="exact"/>
              <w:ind w:firstLine="0" w:firstLineChars="0"/>
              <w:jc w:val="center"/>
              <w:rPr>
                <w:color w:val="FF0000"/>
                <w:sz w:val="21"/>
                <w:szCs w:val="21"/>
              </w:rPr>
            </w:pPr>
            <w:r>
              <w:rPr>
                <w:color w:val="FF0000"/>
                <w:sz w:val="21"/>
                <w:szCs w:val="21"/>
              </w:rPr>
              <w:t>NH</w:t>
            </w:r>
            <w:r>
              <w:rPr>
                <w:color w:val="FF0000"/>
                <w:sz w:val="21"/>
                <w:szCs w:val="14"/>
                <w:vertAlign w:val="subscript"/>
              </w:rPr>
              <w:t>3</w:t>
            </w:r>
            <w:r>
              <w:rPr>
                <w:color w:val="FF0000"/>
                <w:sz w:val="21"/>
                <w:szCs w:val="21"/>
              </w:rPr>
              <w:t>-N</w:t>
            </w:r>
          </w:p>
        </w:tc>
        <w:tc>
          <w:tcPr>
            <w:tcW w:w="1089" w:type="pct"/>
            <w:vAlign w:val="center"/>
          </w:tcPr>
          <w:p w14:paraId="7B296770">
            <w:pPr>
              <w:spacing w:line="360" w:lineRule="exact"/>
              <w:ind w:firstLine="0" w:firstLineChars="0"/>
              <w:jc w:val="center"/>
              <w:rPr>
                <w:color w:val="FF0000"/>
                <w:sz w:val="21"/>
                <w:szCs w:val="21"/>
              </w:rPr>
            </w:pPr>
            <w:r>
              <w:rPr>
                <w:color w:val="FF0000"/>
                <w:sz w:val="21"/>
                <w:szCs w:val="21"/>
              </w:rPr>
              <w:t>50</w:t>
            </w:r>
          </w:p>
        </w:tc>
        <w:tc>
          <w:tcPr>
            <w:tcW w:w="1192" w:type="pct"/>
            <w:vAlign w:val="center"/>
          </w:tcPr>
          <w:p w14:paraId="7E722427">
            <w:pPr>
              <w:spacing w:line="360" w:lineRule="exact"/>
              <w:ind w:firstLine="0" w:firstLineChars="0"/>
              <w:jc w:val="center"/>
              <w:rPr>
                <w:color w:val="FF0000"/>
                <w:sz w:val="21"/>
                <w:szCs w:val="21"/>
              </w:rPr>
            </w:pPr>
            <w:r>
              <w:rPr>
                <w:color w:val="FF0000"/>
                <w:sz w:val="21"/>
                <w:szCs w:val="21"/>
              </w:rPr>
              <w:t>0.02</w:t>
            </w:r>
          </w:p>
        </w:tc>
      </w:tr>
    </w:tbl>
    <w:p w14:paraId="2A694A9F">
      <w:pPr>
        <w:ind w:firstLine="432"/>
        <w:rPr>
          <w:color w:val="FF0000"/>
        </w:rPr>
      </w:pPr>
      <w:r>
        <w:rPr>
          <w:rFonts w:cs="宋体"/>
          <w:color w:val="FF0000"/>
          <w:spacing w:val="-12"/>
          <w:szCs w:val="24"/>
        </w:rPr>
        <w:t>生活污</w:t>
      </w:r>
      <w:r>
        <w:rPr>
          <w:rFonts w:cs="宋体"/>
          <w:color w:val="FF0000"/>
          <w:spacing w:val="-9"/>
          <w:szCs w:val="24"/>
        </w:rPr>
        <w:t>水</w:t>
      </w:r>
      <w:r>
        <w:rPr>
          <w:rFonts w:cs="宋体"/>
          <w:color w:val="FF0000"/>
          <w:spacing w:val="-6"/>
          <w:szCs w:val="24"/>
        </w:rPr>
        <w:t>直接排入</w:t>
      </w:r>
      <w:r>
        <w:rPr>
          <w:rFonts w:hint="eastAsia" w:cs="宋体"/>
          <w:color w:val="FF0000"/>
          <w:spacing w:val="-6"/>
          <w:szCs w:val="24"/>
          <w:lang w:val="en-US" w:eastAsia="zh-CN"/>
        </w:rPr>
        <w:t>防渗化粪池</w:t>
      </w:r>
      <w:r>
        <w:rPr>
          <w:rFonts w:cs="宋体"/>
          <w:color w:val="FF0000"/>
          <w:spacing w:val="-6"/>
          <w:szCs w:val="24"/>
        </w:rPr>
        <w:t>，最终进入</w:t>
      </w:r>
      <w:r>
        <w:rPr>
          <w:rFonts w:hint="eastAsia" w:cs="宋体"/>
          <w:color w:val="FF0000"/>
          <w:spacing w:val="-6"/>
          <w:szCs w:val="24"/>
        </w:rPr>
        <w:t>木垒县</w:t>
      </w:r>
      <w:r>
        <w:rPr>
          <w:rFonts w:cs="宋体"/>
          <w:color w:val="FF0000"/>
          <w:spacing w:val="-6"/>
          <w:szCs w:val="24"/>
        </w:rPr>
        <w:t>城污水处理厂</w:t>
      </w:r>
      <w:r>
        <w:rPr>
          <w:rFonts w:hint="eastAsia" w:cs="宋体"/>
          <w:color w:val="FF0000"/>
          <w:spacing w:val="-6"/>
          <w:szCs w:val="24"/>
        </w:rPr>
        <w:t>。</w:t>
      </w:r>
    </w:p>
    <w:p w14:paraId="717F8636">
      <w:pPr>
        <w:ind w:firstLine="432"/>
        <w:rPr>
          <w:rFonts w:hint="default" w:eastAsia="宋体" w:cs="宋体"/>
          <w:color w:val="FF0000"/>
          <w:spacing w:val="0"/>
          <w:sz w:val="24"/>
          <w:szCs w:val="24"/>
          <w:lang w:val="en-US" w:eastAsia="zh-CN"/>
        </w:rPr>
      </w:pPr>
      <w:r>
        <w:rPr>
          <w:rFonts w:hint="eastAsia" w:cs="宋体"/>
          <w:color w:val="FF0000"/>
          <w:spacing w:val="0"/>
          <w:sz w:val="24"/>
          <w:szCs w:val="24"/>
          <w:lang w:eastAsia="zh-CN"/>
        </w:rPr>
        <w:t>（</w:t>
      </w:r>
      <w:r>
        <w:rPr>
          <w:rFonts w:hint="eastAsia" w:cs="宋体"/>
          <w:color w:val="FF0000"/>
          <w:spacing w:val="0"/>
          <w:sz w:val="24"/>
          <w:szCs w:val="24"/>
          <w:lang w:val="en-US" w:eastAsia="zh-CN"/>
        </w:rPr>
        <w:t>2）渗滤液</w:t>
      </w:r>
    </w:p>
    <w:p w14:paraId="30D89D3B">
      <w:pPr>
        <w:ind w:firstLine="432"/>
        <w:rPr>
          <w:rFonts w:hint="default" w:eastAsia="宋体" w:cs="宋体"/>
          <w:color w:val="FF0000"/>
          <w:spacing w:val="0"/>
          <w:sz w:val="24"/>
          <w:szCs w:val="24"/>
          <w:vertAlign w:val="superscript"/>
          <w:lang w:val="en-US" w:eastAsia="zh-CN"/>
        </w:rPr>
      </w:pPr>
      <w:r>
        <w:rPr>
          <w:rFonts w:hint="eastAsia" w:cs="宋体"/>
          <w:color w:val="FF0000"/>
          <w:spacing w:val="0"/>
          <w:sz w:val="24"/>
          <w:szCs w:val="24"/>
          <w:lang w:val="en-US" w:eastAsia="zh-CN"/>
        </w:rPr>
        <w:t>本项目渗滤液产生量为21.6m</w:t>
      </w:r>
      <w:r>
        <w:rPr>
          <w:rFonts w:hint="eastAsia" w:cs="宋体"/>
          <w:color w:val="FF0000"/>
          <w:spacing w:val="0"/>
          <w:sz w:val="24"/>
          <w:szCs w:val="24"/>
          <w:vertAlign w:val="superscript"/>
          <w:lang w:val="en-US" w:eastAsia="zh-CN"/>
        </w:rPr>
        <w:t>3</w:t>
      </w:r>
      <w:r>
        <w:rPr>
          <w:rFonts w:hint="eastAsia" w:cs="宋体"/>
          <w:color w:val="FF0000"/>
          <w:spacing w:val="0"/>
          <w:sz w:val="24"/>
          <w:szCs w:val="24"/>
          <w:vertAlign w:val="baseline"/>
          <w:lang w:val="en-US" w:eastAsia="zh-CN"/>
        </w:rPr>
        <w:t>/a，渗滤液同生活污水排入防渗化粪池，最终进入木垒县城污水处理厂。类比同类型项目可知，渗滤液中污染物成分主要是COD</w:t>
      </w:r>
      <w:r>
        <w:rPr>
          <w:rFonts w:hint="eastAsia" w:cs="宋体"/>
          <w:color w:val="FF0000"/>
          <w:spacing w:val="0"/>
          <w:sz w:val="24"/>
          <w:szCs w:val="24"/>
          <w:vertAlign w:val="subscript"/>
          <w:lang w:val="en-US" w:eastAsia="zh-CN"/>
        </w:rPr>
        <w:t>Cr</w:t>
      </w:r>
      <w:r>
        <w:rPr>
          <w:rFonts w:hint="eastAsia" w:cs="宋体"/>
          <w:color w:val="FF0000"/>
          <w:spacing w:val="0"/>
          <w:sz w:val="24"/>
          <w:szCs w:val="24"/>
          <w:vertAlign w:val="baseline"/>
          <w:lang w:val="en-US" w:eastAsia="zh-CN"/>
        </w:rPr>
        <w:t>：2000mg/L，BOD</w:t>
      </w:r>
      <w:r>
        <w:rPr>
          <w:rFonts w:hint="eastAsia" w:cs="宋体"/>
          <w:color w:val="FF0000"/>
          <w:spacing w:val="0"/>
          <w:sz w:val="24"/>
          <w:szCs w:val="24"/>
          <w:vertAlign w:val="subscript"/>
          <w:lang w:val="en-US" w:eastAsia="zh-CN"/>
        </w:rPr>
        <w:t>5</w:t>
      </w:r>
      <w:r>
        <w:rPr>
          <w:rFonts w:hint="eastAsia" w:cs="宋体"/>
          <w:color w:val="FF0000"/>
          <w:spacing w:val="0"/>
          <w:sz w:val="24"/>
          <w:szCs w:val="24"/>
          <w:vertAlign w:val="baseline"/>
          <w:lang w:val="en-US" w:eastAsia="zh-CN"/>
        </w:rPr>
        <w:t>：1200mg/L，SS：1000mg/L，NH</w:t>
      </w:r>
      <w:r>
        <w:rPr>
          <w:rFonts w:hint="eastAsia" w:cs="宋体"/>
          <w:color w:val="FF0000"/>
          <w:spacing w:val="0"/>
          <w:sz w:val="24"/>
          <w:szCs w:val="24"/>
          <w:vertAlign w:val="subscript"/>
          <w:lang w:val="en-US" w:eastAsia="zh-CN"/>
        </w:rPr>
        <w:t>3</w:t>
      </w:r>
      <w:r>
        <w:rPr>
          <w:rFonts w:hint="eastAsia" w:cs="宋体"/>
          <w:color w:val="FF0000"/>
          <w:spacing w:val="0"/>
          <w:sz w:val="24"/>
          <w:szCs w:val="24"/>
          <w:vertAlign w:val="baseline"/>
          <w:lang w:val="en-US" w:eastAsia="zh-CN"/>
        </w:rPr>
        <w:t>-N：700mg/L。本项目渗滤液同生活污水在一防渗化粪池中，生活污水产生量为467.2t/a，是渗滤液将近二十倍，因此渗滤液会被稀释二十倍，因此渗滤液产生量及浓度见下表。</w:t>
      </w:r>
    </w:p>
    <w:p w14:paraId="3B7CC8D9">
      <w:pPr>
        <w:ind w:firstLine="0" w:firstLineChars="0"/>
        <w:jc w:val="center"/>
        <w:rPr>
          <w:b/>
          <w:bCs/>
          <w:color w:val="FF0000"/>
        </w:rPr>
      </w:pPr>
      <w:r>
        <w:rPr>
          <w:rFonts w:hint="eastAsia"/>
          <w:b/>
          <w:bCs/>
          <w:color w:val="FF0000"/>
        </w:rPr>
        <w:t>表3.3-</w:t>
      </w:r>
      <w:r>
        <w:rPr>
          <w:rFonts w:hint="eastAsia"/>
          <w:b/>
          <w:bCs/>
          <w:color w:val="FF0000"/>
          <w:lang w:val="en-US" w:eastAsia="zh-CN"/>
        </w:rPr>
        <w:t>7渗滤液</w:t>
      </w:r>
      <w:r>
        <w:rPr>
          <w:rFonts w:hint="eastAsia"/>
          <w:b/>
          <w:bCs/>
          <w:color w:val="FF0000"/>
        </w:rPr>
        <w:t>产生量</w:t>
      </w:r>
    </w:p>
    <w:p w14:paraId="34AB0C2A">
      <w:pPr>
        <w:spacing w:line="20" w:lineRule="exact"/>
        <w:ind w:firstLine="480"/>
        <w:rPr>
          <w:color w:val="FF0000"/>
        </w:rPr>
      </w:pPr>
    </w:p>
    <w:tbl>
      <w:tblPr>
        <w:tblStyle w:val="183"/>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9"/>
        <w:gridCol w:w="1501"/>
        <w:gridCol w:w="1504"/>
        <w:gridCol w:w="1810"/>
        <w:gridCol w:w="1983"/>
      </w:tblGrid>
      <w:tr w14:paraId="18000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908" w:type="pct"/>
            <w:vAlign w:val="center"/>
          </w:tcPr>
          <w:p w14:paraId="3E93DDA2">
            <w:pPr>
              <w:spacing w:line="360" w:lineRule="exact"/>
              <w:ind w:firstLine="0" w:firstLineChars="0"/>
              <w:jc w:val="center"/>
              <w:rPr>
                <w:rFonts w:cs="宋体"/>
                <w:color w:val="FF0000"/>
                <w:sz w:val="21"/>
                <w:szCs w:val="21"/>
              </w:rPr>
            </w:pPr>
            <w:r>
              <w:rPr>
                <w:rFonts w:cs="宋体"/>
                <w:color w:val="FF0000"/>
                <w:sz w:val="21"/>
                <w:szCs w:val="21"/>
              </w:rPr>
              <w:t>废水来源</w:t>
            </w:r>
          </w:p>
        </w:tc>
        <w:tc>
          <w:tcPr>
            <w:tcW w:w="903" w:type="pct"/>
            <w:vAlign w:val="center"/>
          </w:tcPr>
          <w:p w14:paraId="141EAC36">
            <w:pPr>
              <w:spacing w:line="360" w:lineRule="exact"/>
              <w:ind w:firstLine="0" w:firstLineChars="0"/>
              <w:jc w:val="center"/>
              <w:rPr>
                <w:rFonts w:cs="宋体"/>
                <w:color w:val="FF0000"/>
                <w:sz w:val="21"/>
                <w:szCs w:val="21"/>
              </w:rPr>
            </w:pPr>
            <w:r>
              <w:rPr>
                <w:rFonts w:cs="宋体"/>
                <w:color w:val="FF0000"/>
                <w:sz w:val="21"/>
                <w:szCs w:val="21"/>
              </w:rPr>
              <w:t>废水量</w:t>
            </w:r>
            <w:r>
              <w:rPr>
                <w:rFonts w:hint="eastAsia" w:cs="宋体"/>
                <w:color w:val="FF0000"/>
                <w:sz w:val="21"/>
                <w:szCs w:val="21"/>
              </w:rPr>
              <w:t>（</w:t>
            </w:r>
            <w:r>
              <w:rPr>
                <w:color w:val="FF0000"/>
                <w:sz w:val="21"/>
                <w:szCs w:val="21"/>
              </w:rPr>
              <w:t>t/a</w:t>
            </w:r>
            <w:r>
              <w:rPr>
                <w:rFonts w:hint="eastAsia" w:cs="宋体"/>
                <w:color w:val="FF0000"/>
                <w:sz w:val="21"/>
                <w:szCs w:val="21"/>
              </w:rPr>
              <w:t>）</w:t>
            </w:r>
          </w:p>
        </w:tc>
        <w:tc>
          <w:tcPr>
            <w:tcW w:w="905" w:type="pct"/>
            <w:vAlign w:val="center"/>
          </w:tcPr>
          <w:p w14:paraId="348D61A6">
            <w:pPr>
              <w:spacing w:line="360" w:lineRule="exact"/>
              <w:ind w:firstLine="0" w:firstLineChars="0"/>
              <w:jc w:val="center"/>
              <w:rPr>
                <w:rFonts w:cs="宋体"/>
                <w:color w:val="FF0000"/>
                <w:sz w:val="21"/>
                <w:szCs w:val="21"/>
              </w:rPr>
            </w:pPr>
            <w:r>
              <w:rPr>
                <w:rFonts w:cs="宋体"/>
                <w:color w:val="FF0000"/>
                <w:sz w:val="21"/>
                <w:szCs w:val="21"/>
              </w:rPr>
              <w:t>污染物</w:t>
            </w:r>
          </w:p>
        </w:tc>
        <w:tc>
          <w:tcPr>
            <w:tcW w:w="1089" w:type="pct"/>
            <w:vAlign w:val="center"/>
          </w:tcPr>
          <w:p w14:paraId="1A8FF1C1">
            <w:pPr>
              <w:spacing w:line="360" w:lineRule="exact"/>
              <w:ind w:firstLine="0" w:firstLineChars="0"/>
              <w:jc w:val="center"/>
              <w:rPr>
                <w:rFonts w:cs="宋体"/>
                <w:color w:val="FF0000"/>
                <w:sz w:val="21"/>
                <w:szCs w:val="21"/>
              </w:rPr>
            </w:pPr>
            <w:r>
              <w:rPr>
                <w:rFonts w:cs="宋体"/>
                <w:color w:val="FF0000"/>
                <w:sz w:val="21"/>
                <w:szCs w:val="21"/>
              </w:rPr>
              <w:t>产生浓度</w:t>
            </w:r>
          </w:p>
          <w:p w14:paraId="7836E48F">
            <w:pPr>
              <w:spacing w:line="360" w:lineRule="exact"/>
              <w:ind w:firstLine="0" w:firstLineChars="0"/>
              <w:jc w:val="center"/>
              <w:rPr>
                <w:rFonts w:cs="宋体"/>
                <w:color w:val="FF0000"/>
                <w:sz w:val="21"/>
                <w:szCs w:val="21"/>
              </w:rPr>
            </w:pPr>
            <w:r>
              <w:rPr>
                <w:rFonts w:hint="eastAsia" w:cs="宋体"/>
                <w:color w:val="FF0000"/>
                <w:sz w:val="21"/>
                <w:szCs w:val="21"/>
              </w:rPr>
              <w:t>（</w:t>
            </w:r>
            <w:r>
              <w:rPr>
                <w:color w:val="FF0000"/>
                <w:sz w:val="21"/>
                <w:szCs w:val="21"/>
              </w:rPr>
              <w:t>mg/L</w:t>
            </w:r>
            <w:r>
              <w:rPr>
                <w:rFonts w:hint="eastAsia" w:cs="宋体"/>
                <w:color w:val="FF0000"/>
                <w:sz w:val="21"/>
                <w:szCs w:val="21"/>
              </w:rPr>
              <w:t>）</w:t>
            </w:r>
          </w:p>
        </w:tc>
        <w:tc>
          <w:tcPr>
            <w:tcW w:w="1192" w:type="pct"/>
            <w:vAlign w:val="center"/>
          </w:tcPr>
          <w:p w14:paraId="21CC3C80">
            <w:pPr>
              <w:spacing w:line="360" w:lineRule="exact"/>
              <w:ind w:firstLine="0" w:firstLineChars="0"/>
              <w:jc w:val="center"/>
              <w:rPr>
                <w:rFonts w:cs="宋体"/>
                <w:color w:val="FF0000"/>
                <w:sz w:val="21"/>
                <w:szCs w:val="21"/>
              </w:rPr>
            </w:pPr>
            <w:r>
              <w:rPr>
                <w:rFonts w:cs="宋体"/>
                <w:color w:val="FF0000"/>
                <w:sz w:val="21"/>
                <w:szCs w:val="21"/>
              </w:rPr>
              <w:t>产生量</w:t>
            </w:r>
            <w:r>
              <w:rPr>
                <w:rFonts w:hint="eastAsia" w:cs="宋体"/>
                <w:color w:val="FF0000"/>
                <w:sz w:val="21"/>
                <w:szCs w:val="21"/>
              </w:rPr>
              <w:t>（</w:t>
            </w:r>
            <w:r>
              <w:rPr>
                <w:color w:val="FF0000"/>
                <w:sz w:val="21"/>
                <w:szCs w:val="21"/>
              </w:rPr>
              <w:t>t/a</w:t>
            </w:r>
            <w:r>
              <w:rPr>
                <w:rFonts w:hint="eastAsia" w:cs="宋体"/>
                <w:color w:val="FF0000"/>
                <w:sz w:val="21"/>
                <w:szCs w:val="21"/>
              </w:rPr>
              <w:t>）</w:t>
            </w:r>
          </w:p>
        </w:tc>
      </w:tr>
      <w:tr w14:paraId="518EB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restart"/>
            <w:tcBorders>
              <w:bottom w:val="nil"/>
            </w:tcBorders>
            <w:vAlign w:val="center"/>
          </w:tcPr>
          <w:p w14:paraId="4E1DA686">
            <w:pPr>
              <w:spacing w:line="360" w:lineRule="exact"/>
              <w:ind w:firstLine="0" w:firstLineChars="0"/>
              <w:jc w:val="center"/>
              <w:rPr>
                <w:rFonts w:hint="eastAsia" w:eastAsia="宋体" w:cs="宋体"/>
                <w:color w:val="FF0000"/>
                <w:sz w:val="21"/>
                <w:szCs w:val="21"/>
                <w:lang w:eastAsia="zh-CN"/>
              </w:rPr>
            </w:pPr>
            <w:r>
              <w:rPr>
                <w:rFonts w:hint="eastAsia" w:cs="宋体"/>
                <w:color w:val="FF0000"/>
                <w:sz w:val="21"/>
                <w:szCs w:val="21"/>
                <w:lang w:val="en-US" w:eastAsia="zh-CN"/>
              </w:rPr>
              <w:t>渗滤液</w:t>
            </w:r>
          </w:p>
        </w:tc>
        <w:tc>
          <w:tcPr>
            <w:tcW w:w="903" w:type="pct"/>
            <w:vMerge w:val="restart"/>
            <w:tcBorders>
              <w:bottom w:val="nil"/>
            </w:tcBorders>
            <w:vAlign w:val="center"/>
          </w:tcPr>
          <w:p w14:paraId="257E7946">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21.6</w:t>
            </w:r>
          </w:p>
        </w:tc>
        <w:tc>
          <w:tcPr>
            <w:tcW w:w="905" w:type="pct"/>
            <w:vAlign w:val="center"/>
          </w:tcPr>
          <w:p w14:paraId="1664282E">
            <w:pPr>
              <w:spacing w:line="360" w:lineRule="exact"/>
              <w:ind w:firstLine="0" w:firstLineChars="0"/>
              <w:jc w:val="center"/>
              <w:rPr>
                <w:color w:val="FF0000"/>
                <w:sz w:val="21"/>
                <w:szCs w:val="21"/>
              </w:rPr>
            </w:pPr>
            <w:r>
              <w:rPr>
                <w:color w:val="FF0000"/>
                <w:sz w:val="21"/>
                <w:szCs w:val="21"/>
              </w:rPr>
              <w:t>CODcr</w:t>
            </w:r>
          </w:p>
        </w:tc>
        <w:tc>
          <w:tcPr>
            <w:tcW w:w="1089" w:type="pct"/>
            <w:vAlign w:val="center"/>
          </w:tcPr>
          <w:p w14:paraId="7555078A">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100</w:t>
            </w:r>
          </w:p>
        </w:tc>
        <w:tc>
          <w:tcPr>
            <w:tcW w:w="1192" w:type="pct"/>
            <w:vAlign w:val="center"/>
          </w:tcPr>
          <w:p w14:paraId="30FCA192">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0.002</w:t>
            </w:r>
          </w:p>
        </w:tc>
      </w:tr>
      <w:tr w14:paraId="1A236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continue"/>
            <w:tcBorders>
              <w:top w:val="nil"/>
              <w:bottom w:val="nil"/>
            </w:tcBorders>
            <w:vAlign w:val="center"/>
          </w:tcPr>
          <w:p w14:paraId="55849514">
            <w:pPr>
              <w:spacing w:line="360" w:lineRule="exact"/>
              <w:ind w:firstLine="0" w:firstLineChars="0"/>
              <w:jc w:val="center"/>
              <w:rPr>
                <w:color w:val="FF0000"/>
                <w:sz w:val="21"/>
              </w:rPr>
            </w:pPr>
          </w:p>
        </w:tc>
        <w:tc>
          <w:tcPr>
            <w:tcW w:w="903" w:type="pct"/>
            <w:vMerge w:val="continue"/>
            <w:tcBorders>
              <w:top w:val="nil"/>
              <w:bottom w:val="nil"/>
            </w:tcBorders>
            <w:vAlign w:val="center"/>
          </w:tcPr>
          <w:p w14:paraId="2E1102FB">
            <w:pPr>
              <w:spacing w:line="360" w:lineRule="exact"/>
              <w:ind w:firstLine="0" w:firstLineChars="0"/>
              <w:jc w:val="center"/>
              <w:rPr>
                <w:color w:val="FF0000"/>
                <w:sz w:val="21"/>
              </w:rPr>
            </w:pPr>
          </w:p>
        </w:tc>
        <w:tc>
          <w:tcPr>
            <w:tcW w:w="905" w:type="pct"/>
            <w:vAlign w:val="center"/>
          </w:tcPr>
          <w:p w14:paraId="6A64209C">
            <w:pPr>
              <w:spacing w:line="360" w:lineRule="exact"/>
              <w:ind w:firstLine="0" w:firstLineChars="0"/>
              <w:jc w:val="center"/>
              <w:rPr>
                <w:color w:val="FF0000"/>
                <w:sz w:val="21"/>
                <w:szCs w:val="14"/>
              </w:rPr>
            </w:pPr>
            <w:r>
              <w:rPr>
                <w:color w:val="FF0000"/>
                <w:sz w:val="21"/>
                <w:szCs w:val="21"/>
              </w:rPr>
              <w:t>BOD</w:t>
            </w:r>
            <w:r>
              <w:rPr>
                <w:color w:val="FF0000"/>
                <w:sz w:val="21"/>
                <w:szCs w:val="14"/>
                <w:vertAlign w:val="subscript"/>
              </w:rPr>
              <w:t>5</w:t>
            </w:r>
          </w:p>
        </w:tc>
        <w:tc>
          <w:tcPr>
            <w:tcW w:w="1089" w:type="pct"/>
            <w:vAlign w:val="center"/>
          </w:tcPr>
          <w:p w14:paraId="74883AD4">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60</w:t>
            </w:r>
          </w:p>
        </w:tc>
        <w:tc>
          <w:tcPr>
            <w:tcW w:w="1192" w:type="pct"/>
            <w:vAlign w:val="center"/>
          </w:tcPr>
          <w:p w14:paraId="5DBCDCD9">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0.001</w:t>
            </w:r>
          </w:p>
        </w:tc>
      </w:tr>
      <w:tr w14:paraId="404F5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908" w:type="pct"/>
            <w:vMerge w:val="continue"/>
            <w:tcBorders>
              <w:top w:val="nil"/>
              <w:bottom w:val="nil"/>
            </w:tcBorders>
            <w:vAlign w:val="center"/>
          </w:tcPr>
          <w:p w14:paraId="45E4F1D1">
            <w:pPr>
              <w:spacing w:line="360" w:lineRule="exact"/>
              <w:ind w:firstLine="0" w:firstLineChars="0"/>
              <w:jc w:val="center"/>
              <w:rPr>
                <w:color w:val="FF0000"/>
                <w:sz w:val="21"/>
              </w:rPr>
            </w:pPr>
          </w:p>
        </w:tc>
        <w:tc>
          <w:tcPr>
            <w:tcW w:w="903" w:type="pct"/>
            <w:vMerge w:val="continue"/>
            <w:tcBorders>
              <w:top w:val="nil"/>
              <w:bottom w:val="nil"/>
            </w:tcBorders>
            <w:vAlign w:val="center"/>
          </w:tcPr>
          <w:p w14:paraId="104AB4BA">
            <w:pPr>
              <w:spacing w:line="360" w:lineRule="exact"/>
              <w:ind w:firstLine="0" w:firstLineChars="0"/>
              <w:jc w:val="center"/>
              <w:rPr>
                <w:color w:val="FF0000"/>
                <w:sz w:val="21"/>
              </w:rPr>
            </w:pPr>
          </w:p>
        </w:tc>
        <w:tc>
          <w:tcPr>
            <w:tcW w:w="905" w:type="pct"/>
            <w:vAlign w:val="center"/>
          </w:tcPr>
          <w:p w14:paraId="5F241357">
            <w:pPr>
              <w:spacing w:line="360" w:lineRule="exact"/>
              <w:ind w:firstLine="0" w:firstLineChars="0"/>
              <w:jc w:val="center"/>
              <w:rPr>
                <w:color w:val="FF0000"/>
                <w:sz w:val="21"/>
                <w:szCs w:val="21"/>
              </w:rPr>
            </w:pPr>
            <w:r>
              <w:rPr>
                <w:color w:val="FF0000"/>
                <w:sz w:val="21"/>
                <w:szCs w:val="21"/>
              </w:rPr>
              <w:t>SS</w:t>
            </w:r>
          </w:p>
        </w:tc>
        <w:tc>
          <w:tcPr>
            <w:tcW w:w="1089" w:type="pct"/>
            <w:vAlign w:val="center"/>
          </w:tcPr>
          <w:p w14:paraId="11F492E8">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50</w:t>
            </w:r>
          </w:p>
        </w:tc>
        <w:tc>
          <w:tcPr>
            <w:tcW w:w="1192" w:type="pct"/>
            <w:vAlign w:val="center"/>
          </w:tcPr>
          <w:p w14:paraId="2B4E0C3E">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0.001</w:t>
            </w:r>
          </w:p>
        </w:tc>
      </w:tr>
      <w:tr w14:paraId="49040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5" w:hRule="atLeast"/>
          <w:jc w:val="center"/>
        </w:trPr>
        <w:tc>
          <w:tcPr>
            <w:tcW w:w="908" w:type="pct"/>
            <w:vMerge w:val="continue"/>
            <w:tcBorders>
              <w:top w:val="nil"/>
            </w:tcBorders>
            <w:vAlign w:val="center"/>
          </w:tcPr>
          <w:p w14:paraId="1D87A32A">
            <w:pPr>
              <w:spacing w:line="360" w:lineRule="exact"/>
              <w:ind w:firstLine="0" w:firstLineChars="0"/>
              <w:jc w:val="center"/>
              <w:rPr>
                <w:color w:val="FF0000"/>
                <w:sz w:val="21"/>
              </w:rPr>
            </w:pPr>
          </w:p>
        </w:tc>
        <w:tc>
          <w:tcPr>
            <w:tcW w:w="903" w:type="pct"/>
            <w:vMerge w:val="continue"/>
            <w:tcBorders>
              <w:top w:val="nil"/>
            </w:tcBorders>
            <w:vAlign w:val="center"/>
          </w:tcPr>
          <w:p w14:paraId="5477F5D1">
            <w:pPr>
              <w:spacing w:line="360" w:lineRule="exact"/>
              <w:ind w:firstLine="0" w:firstLineChars="0"/>
              <w:jc w:val="center"/>
              <w:rPr>
                <w:color w:val="FF0000"/>
                <w:sz w:val="21"/>
              </w:rPr>
            </w:pPr>
          </w:p>
        </w:tc>
        <w:tc>
          <w:tcPr>
            <w:tcW w:w="905" w:type="pct"/>
            <w:vAlign w:val="center"/>
          </w:tcPr>
          <w:p w14:paraId="2A0D445F">
            <w:pPr>
              <w:spacing w:line="360" w:lineRule="exact"/>
              <w:ind w:firstLine="0" w:firstLineChars="0"/>
              <w:jc w:val="center"/>
              <w:rPr>
                <w:color w:val="FF0000"/>
                <w:sz w:val="21"/>
                <w:szCs w:val="21"/>
              </w:rPr>
            </w:pPr>
            <w:r>
              <w:rPr>
                <w:color w:val="FF0000"/>
                <w:sz w:val="21"/>
                <w:szCs w:val="21"/>
              </w:rPr>
              <w:t>NH</w:t>
            </w:r>
            <w:r>
              <w:rPr>
                <w:color w:val="FF0000"/>
                <w:sz w:val="21"/>
                <w:szCs w:val="14"/>
                <w:vertAlign w:val="subscript"/>
              </w:rPr>
              <w:t>3</w:t>
            </w:r>
            <w:r>
              <w:rPr>
                <w:color w:val="FF0000"/>
                <w:sz w:val="21"/>
                <w:szCs w:val="21"/>
              </w:rPr>
              <w:t>-N</w:t>
            </w:r>
          </w:p>
        </w:tc>
        <w:tc>
          <w:tcPr>
            <w:tcW w:w="1089" w:type="pct"/>
            <w:vAlign w:val="center"/>
          </w:tcPr>
          <w:p w14:paraId="0E67467B">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35</w:t>
            </w:r>
          </w:p>
        </w:tc>
        <w:tc>
          <w:tcPr>
            <w:tcW w:w="1192" w:type="pct"/>
            <w:vAlign w:val="center"/>
          </w:tcPr>
          <w:p w14:paraId="3CFE6B80">
            <w:pPr>
              <w:spacing w:line="360" w:lineRule="exact"/>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0.0007</w:t>
            </w:r>
          </w:p>
        </w:tc>
      </w:tr>
    </w:tbl>
    <w:p w14:paraId="2115D293">
      <w:pPr>
        <w:keepNext w:val="0"/>
        <w:keepLines w:val="0"/>
        <w:pageBreakBefore w:val="0"/>
        <w:widowControl w:val="0"/>
        <w:kinsoku/>
        <w:wordWrap/>
        <w:overflowPunct/>
        <w:topLinePunct w:val="0"/>
        <w:autoSpaceDE/>
        <w:autoSpaceDN/>
        <w:bidi w:val="0"/>
        <w:adjustRightInd/>
        <w:snapToGrid/>
        <w:ind w:firstLine="482"/>
        <w:textAlignment w:val="auto"/>
        <w:outlineLvl w:val="9"/>
        <w:rPr>
          <w:rFonts w:hint="eastAsia" w:ascii="Times New Roman" w:hAnsi="Times New Roman" w:eastAsia="宋体" w:cs="宋体"/>
          <w:b w:val="0"/>
          <w:bCs w:val="0"/>
          <w:color w:val="FF0000"/>
          <w:spacing w:val="0"/>
          <w:sz w:val="24"/>
          <w:szCs w:val="24"/>
          <w:lang w:val="en-US" w:eastAsia="zh-CN" w:bidi="ar-SA"/>
        </w:rPr>
      </w:pPr>
      <w:r>
        <w:rPr>
          <w:rFonts w:hint="eastAsia" w:cs="宋体"/>
          <w:b w:val="0"/>
          <w:bCs w:val="0"/>
          <w:color w:val="FF0000"/>
          <w:spacing w:val="0"/>
          <w:sz w:val="24"/>
          <w:szCs w:val="24"/>
          <w:lang w:val="en-US" w:eastAsia="zh-CN" w:bidi="ar-SA"/>
        </w:rPr>
        <w:t>因此本项目生活污水及渗滤液浓度能够达到《污水综合排放标准》（GB8978-1996）三级标准</w:t>
      </w:r>
    </w:p>
    <w:p w14:paraId="358DDE4F">
      <w:pPr>
        <w:pStyle w:val="6"/>
        <w:ind w:firstLine="482"/>
        <w:rPr>
          <w:color w:val="FF0000"/>
        </w:rPr>
      </w:pPr>
      <w:r>
        <w:rPr>
          <w:color w:val="FF0000"/>
        </w:rPr>
        <w:t>3.</w:t>
      </w:r>
      <w:r>
        <w:rPr>
          <w:rFonts w:hint="eastAsia"/>
          <w:color w:val="FF0000"/>
        </w:rPr>
        <w:t>3</w:t>
      </w:r>
      <w:r>
        <w:rPr>
          <w:color w:val="FF0000"/>
        </w:rPr>
        <w:t>.2.3固废</w:t>
      </w:r>
    </w:p>
    <w:bookmarkEnd w:id="325"/>
    <w:p w14:paraId="1E965651">
      <w:pPr>
        <w:spacing w:line="480" w:lineRule="exact"/>
        <w:ind w:firstLine="480"/>
        <w:rPr>
          <w:rFonts w:cs="宋体"/>
          <w:szCs w:val="24"/>
        </w:rPr>
      </w:pPr>
      <w:r>
        <w:rPr>
          <w:rFonts w:cs="宋体"/>
          <w:szCs w:val="24"/>
        </w:rPr>
        <w:t>本项目产生的固体废物主要为</w:t>
      </w:r>
      <w:r>
        <w:rPr>
          <w:rFonts w:hint="eastAsia" w:cs="宋体"/>
          <w:szCs w:val="24"/>
        </w:rPr>
        <w:t>骆驼粪便</w:t>
      </w:r>
      <w:r>
        <w:rPr>
          <w:rFonts w:cs="宋体"/>
          <w:szCs w:val="24"/>
        </w:rPr>
        <w:t>、病死</w:t>
      </w:r>
      <w:r>
        <w:rPr>
          <w:rFonts w:hint="eastAsia" w:cs="宋体"/>
          <w:szCs w:val="24"/>
        </w:rPr>
        <w:t>骆驼</w:t>
      </w:r>
      <w:r>
        <w:rPr>
          <w:rFonts w:cs="宋体"/>
          <w:szCs w:val="24"/>
        </w:rPr>
        <w:t>、废弃包装物、生活垃圾、医疗废物</w:t>
      </w:r>
      <w:r>
        <w:rPr>
          <w:rFonts w:hint="eastAsia" w:cs="宋体"/>
          <w:szCs w:val="24"/>
        </w:rPr>
        <w:t>。</w:t>
      </w:r>
    </w:p>
    <w:p w14:paraId="087A1E32">
      <w:pPr>
        <w:spacing w:line="480" w:lineRule="exact"/>
        <w:ind w:firstLine="480"/>
        <w:rPr>
          <w:rFonts w:cs="宋体"/>
          <w:szCs w:val="24"/>
        </w:rPr>
      </w:pPr>
      <w:r>
        <w:rPr>
          <w:rFonts w:hint="eastAsia" w:cs="宋体"/>
          <w:szCs w:val="24"/>
        </w:rPr>
        <w:t>（</w:t>
      </w:r>
      <w:r>
        <w:rPr>
          <w:szCs w:val="24"/>
        </w:rPr>
        <w:t>1</w:t>
      </w:r>
      <w:r>
        <w:rPr>
          <w:rFonts w:hint="eastAsia" w:cs="宋体"/>
          <w:szCs w:val="24"/>
        </w:rPr>
        <w:t>）骆驼粪便</w:t>
      </w:r>
    </w:p>
    <w:p w14:paraId="4FE5238E">
      <w:pPr>
        <w:spacing w:line="480" w:lineRule="exact"/>
        <w:ind w:firstLine="480"/>
        <w:rPr>
          <w:rFonts w:cs="宋体"/>
          <w:szCs w:val="24"/>
        </w:rPr>
      </w:pPr>
      <w:r>
        <w:rPr>
          <w:rFonts w:cs="宋体"/>
          <w:szCs w:val="24"/>
        </w:rPr>
        <w:t>根据《</w:t>
      </w:r>
      <w:r>
        <w:fldChar w:fldCharType="begin"/>
      </w:r>
      <w:r>
        <w:instrText xml:space="preserve"> HYPERLINK "http://www.mee.gov.cn/ywgz/fgbz/bz/bzwb/pwxk/201906/W020190620431392417623.pdf" </w:instrText>
      </w:r>
      <w:r>
        <w:fldChar w:fldCharType="separate"/>
      </w:r>
      <w:r>
        <w:rPr>
          <w:rFonts w:cs="宋体"/>
          <w:szCs w:val="24"/>
        </w:rPr>
        <w:t>排污许可证申请与核发技术规范畜禽养殖行业</w:t>
      </w:r>
      <w:r>
        <w:rPr>
          <w:rFonts w:cs="宋体"/>
          <w:szCs w:val="24"/>
        </w:rPr>
        <w:fldChar w:fldCharType="end"/>
      </w:r>
      <w:r>
        <w:rPr>
          <w:rFonts w:cs="宋体"/>
          <w:szCs w:val="24"/>
        </w:rPr>
        <w:t>》</w:t>
      </w:r>
      <w:r>
        <w:rPr>
          <w:rFonts w:hint="eastAsia" w:cs="宋体"/>
          <w:szCs w:val="24"/>
        </w:rPr>
        <w:t>（</w:t>
      </w:r>
      <w:r>
        <w:rPr>
          <w:szCs w:val="24"/>
        </w:rPr>
        <w:t>HJ1029-2019</w:t>
      </w:r>
      <w:r>
        <w:rPr>
          <w:rFonts w:hint="eastAsia" w:cs="宋体"/>
          <w:szCs w:val="24"/>
        </w:rPr>
        <w:t>），每头生猪每天产生粪便1.24kg。根据《畜禽养殖业污染物排放标准》（GB1859-2001）的规定，将骆驼的养殖量换算成猪的养殖量，换算比例为：1峰骆驼换算成9头猪，本项目骆驼存栏量400峰，骆驼换算后的量为3600头猪，则本项目骆驼粪便产生量约为4.464t/d，1629.36t/a。粪便经处理后用于还田。</w:t>
      </w:r>
    </w:p>
    <w:p w14:paraId="2491CBB0">
      <w:pPr>
        <w:spacing w:line="480" w:lineRule="exact"/>
        <w:ind w:firstLine="480"/>
        <w:rPr>
          <w:rFonts w:cs="宋体"/>
          <w:szCs w:val="24"/>
        </w:rPr>
      </w:pPr>
      <w:r>
        <w:rPr>
          <w:rFonts w:hint="eastAsia" w:cs="宋体"/>
          <w:szCs w:val="24"/>
        </w:rPr>
        <w:t>（</w:t>
      </w:r>
      <w:r>
        <w:rPr>
          <w:szCs w:val="24"/>
        </w:rPr>
        <w:t>2</w:t>
      </w:r>
      <w:r>
        <w:rPr>
          <w:rFonts w:hint="eastAsia" w:cs="宋体"/>
          <w:szCs w:val="24"/>
        </w:rPr>
        <w:t>）</w:t>
      </w:r>
      <w:r>
        <w:rPr>
          <w:rFonts w:cs="宋体"/>
          <w:szCs w:val="24"/>
        </w:rPr>
        <w:t>病死</w:t>
      </w:r>
      <w:r>
        <w:rPr>
          <w:rFonts w:hint="eastAsia" w:cs="宋体"/>
          <w:szCs w:val="24"/>
        </w:rPr>
        <w:t>骆驼</w:t>
      </w:r>
    </w:p>
    <w:p w14:paraId="083FF542">
      <w:pPr>
        <w:widowControl/>
        <w:ind w:firstLine="480"/>
        <w:jc w:val="left"/>
        <w:rPr>
          <w:rFonts w:cs="宋体"/>
          <w:szCs w:val="24"/>
        </w:rPr>
      </w:pPr>
      <w:r>
        <w:rPr>
          <w:rFonts w:hint="eastAsia" w:cs="宋体"/>
          <w:szCs w:val="24"/>
        </w:rPr>
        <w:t>根据环办函[2014]789号文《关于病害动物无害化处理有关意见的复函》：“病害动物无害化处理项目由农业部门按照有关法律法规和技术规范进行监管，可以实现病害动物无害化处理和环境污染防控的目的，不宜再认定为危险废物集中处置项目。病害动物的无害化处理应执行《动物防治法》。”</w:t>
      </w:r>
    </w:p>
    <w:p w14:paraId="18B0A20C">
      <w:pPr>
        <w:pStyle w:val="54"/>
        <w:spacing w:line="360" w:lineRule="auto"/>
        <w:ind w:firstLine="480"/>
        <w:rPr>
          <w:rFonts w:ascii="Times New Roman" w:hAnsi="Times New Roman" w:eastAsia="宋体" w:cs="宋体"/>
        </w:rPr>
      </w:pPr>
      <w:r>
        <w:rPr>
          <w:rFonts w:hint="eastAsia" w:ascii="Times New Roman" w:hAnsi="Times New Roman" w:eastAsia="宋体" w:cs="宋体"/>
        </w:rPr>
        <w:t>根据建设方提供的资料和以往养殖经验可知，骆驼繁殖成活率为99%，骆驼存栏量400峰，则年死亡骆驼4峰，每峰成年骆驼重约500kg，合计2t。</w:t>
      </w:r>
    </w:p>
    <w:p w14:paraId="4B455B42">
      <w:pPr>
        <w:ind w:firstLine="480"/>
      </w:pPr>
      <w:r>
        <w:rPr>
          <w:rFonts w:hint="eastAsia" w:cs="宋体"/>
          <w:szCs w:val="24"/>
        </w:rPr>
        <w:t>本项目病死骆驼外委第三方处置。</w:t>
      </w:r>
    </w:p>
    <w:p w14:paraId="3ECAD5F5">
      <w:pPr>
        <w:spacing w:line="480" w:lineRule="exact"/>
        <w:ind w:firstLine="480"/>
        <w:rPr>
          <w:rFonts w:cs="宋体"/>
          <w:szCs w:val="24"/>
        </w:rPr>
      </w:pPr>
      <w:r>
        <w:rPr>
          <w:rFonts w:hint="eastAsia" w:cs="宋体"/>
          <w:szCs w:val="24"/>
        </w:rPr>
        <w:t>（</w:t>
      </w:r>
      <w:r>
        <w:rPr>
          <w:szCs w:val="24"/>
        </w:rPr>
        <w:t>3</w:t>
      </w:r>
      <w:r>
        <w:rPr>
          <w:rFonts w:hint="eastAsia" w:cs="宋体"/>
          <w:szCs w:val="24"/>
        </w:rPr>
        <w:t>）</w:t>
      </w:r>
      <w:r>
        <w:rPr>
          <w:rFonts w:cs="宋体"/>
          <w:szCs w:val="24"/>
        </w:rPr>
        <w:t>废弃包装物</w:t>
      </w:r>
    </w:p>
    <w:p w14:paraId="067EEFD3">
      <w:pPr>
        <w:spacing w:line="480" w:lineRule="exact"/>
        <w:ind w:firstLine="480"/>
        <w:rPr>
          <w:rFonts w:cs="宋体"/>
          <w:szCs w:val="24"/>
        </w:rPr>
      </w:pPr>
      <w:r>
        <w:rPr>
          <w:rFonts w:cs="宋体"/>
          <w:szCs w:val="24"/>
        </w:rPr>
        <w:t>本项目外购饲料会产生废包装袋，根据类比同类企业，废弃包装物产生量约为</w:t>
      </w:r>
      <w:r>
        <w:rPr>
          <w:szCs w:val="24"/>
        </w:rPr>
        <w:t>1.2t/a</w:t>
      </w:r>
      <w:r>
        <w:rPr>
          <w:rFonts w:cs="宋体"/>
          <w:szCs w:val="24"/>
        </w:rPr>
        <w:t>，废饲料包装袋进行外售</w:t>
      </w:r>
      <w:r>
        <w:rPr>
          <w:rFonts w:hint="eastAsia" w:cs="宋体"/>
          <w:szCs w:val="24"/>
        </w:rPr>
        <w:t>。</w:t>
      </w:r>
    </w:p>
    <w:p w14:paraId="4EC320A2">
      <w:pPr>
        <w:spacing w:line="480" w:lineRule="exact"/>
        <w:ind w:firstLine="480"/>
        <w:rPr>
          <w:rFonts w:cs="宋体"/>
          <w:szCs w:val="24"/>
        </w:rPr>
      </w:pPr>
      <w:r>
        <w:rPr>
          <w:rFonts w:hint="eastAsia" w:cs="宋体"/>
          <w:szCs w:val="24"/>
        </w:rPr>
        <w:t>（</w:t>
      </w:r>
      <w:r>
        <w:rPr>
          <w:szCs w:val="24"/>
        </w:rPr>
        <w:t>4</w:t>
      </w:r>
      <w:r>
        <w:rPr>
          <w:rFonts w:hint="eastAsia" w:cs="宋体"/>
          <w:szCs w:val="24"/>
        </w:rPr>
        <w:t>）</w:t>
      </w:r>
      <w:r>
        <w:rPr>
          <w:rFonts w:cs="宋体"/>
          <w:szCs w:val="24"/>
        </w:rPr>
        <w:t>生活垃圾</w:t>
      </w:r>
    </w:p>
    <w:p w14:paraId="2EC7BC6C">
      <w:pPr>
        <w:spacing w:line="480" w:lineRule="exact"/>
        <w:ind w:firstLine="480"/>
        <w:rPr>
          <w:rFonts w:cs="宋体"/>
          <w:szCs w:val="24"/>
        </w:rPr>
      </w:pPr>
      <w:r>
        <w:rPr>
          <w:rFonts w:cs="宋体"/>
          <w:szCs w:val="24"/>
        </w:rPr>
        <w:t>本项目职工人数为</w:t>
      </w:r>
      <w:r>
        <w:rPr>
          <w:szCs w:val="24"/>
        </w:rPr>
        <w:t>20</w:t>
      </w:r>
      <w:r>
        <w:rPr>
          <w:rFonts w:cs="宋体"/>
          <w:szCs w:val="24"/>
        </w:rPr>
        <w:t>人，年工作</w:t>
      </w:r>
      <w:r>
        <w:rPr>
          <w:szCs w:val="24"/>
        </w:rPr>
        <w:t>365</w:t>
      </w:r>
      <w:r>
        <w:rPr>
          <w:rFonts w:cs="宋体"/>
          <w:szCs w:val="24"/>
        </w:rPr>
        <w:t>天，生活垃圾按</w:t>
      </w:r>
      <w:r>
        <w:rPr>
          <w:szCs w:val="24"/>
        </w:rPr>
        <w:t>0.5kg/</w:t>
      </w:r>
      <w:r>
        <w:rPr>
          <w:rFonts w:cs="宋体"/>
          <w:szCs w:val="24"/>
        </w:rPr>
        <w:t>人</w:t>
      </w:r>
      <w:r>
        <w:rPr>
          <w:szCs w:val="24"/>
        </w:rPr>
        <w:t>·d</w:t>
      </w:r>
      <w:r>
        <w:rPr>
          <w:rFonts w:cs="宋体"/>
          <w:szCs w:val="24"/>
        </w:rPr>
        <w:t>计，生活垃圾产生量为</w:t>
      </w:r>
      <w:r>
        <w:rPr>
          <w:szCs w:val="24"/>
        </w:rPr>
        <w:t>10kg/d</w:t>
      </w:r>
      <w:r>
        <w:rPr>
          <w:rFonts w:cs="宋体"/>
          <w:szCs w:val="24"/>
        </w:rPr>
        <w:t>，即</w:t>
      </w:r>
      <w:r>
        <w:rPr>
          <w:szCs w:val="24"/>
        </w:rPr>
        <w:t>3.65t/a</w:t>
      </w:r>
      <w:r>
        <w:rPr>
          <w:rFonts w:hint="eastAsia" w:cs="宋体"/>
          <w:szCs w:val="24"/>
        </w:rPr>
        <w:t>。</w:t>
      </w:r>
      <w:r>
        <w:rPr>
          <w:rFonts w:cs="宋体"/>
          <w:szCs w:val="24"/>
        </w:rPr>
        <w:t>生活垃圾集中收集由当地环卫部门处置</w:t>
      </w:r>
      <w:r>
        <w:rPr>
          <w:rFonts w:hint="eastAsia" w:cs="宋体"/>
          <w:szCs w:val="24"/>
        </w:rPr>
        <w:t>。</w:t>
      </w:r>
    </w:p>
    <w:p w14:paraId="3F943F58">
      <w:pPr>
        <w:spacing w:line="480" w:lineRule="exact"/>
        <w:ind w:firstLine="480"/>
        <w:rPr>
          <w:rFonts w:cs="宋体"/>
          <w:szCs w:val="24"/>
        </w:rPr>
      </w:pPr>
      <w:r>
        <w:rPr>
          <w:rFonts w:hint="eastAsia" w:cs="宋体"/>
          <w:szCs w:val="24"/>
        </w:rPr>
        <w:t>（</w:t>
      </w:r>
      <w:r>
        <w:rPr>
          <w:szCs w:val="24"/>
        </w:rPr>
        <w:t>5</w:t>
      </w:r>
      <w:r>
        <w:rPr>
          <w:rFonts w:hint="eastAsia" w:cs="宋体"/>
          <w:szCs w:val="24"/>
        </w:rPr>
        <w:t>）</w:t>
      </w:r>
      <w:r>
        <w:rPr>
          <w:rFonts w:cs="宋体"/>
          <w:szCs w:val="24"/>
        </w:rPr>
        <w:t>医疗废物</w:t>
      </w:r>
    </w:p>
    <w:p w14:paraId="354EF114">
      <w:pPr>
        <w:spacing w:line="480" w:lineRule="exact"/>
        <w:ind w:firstLine="480"/>
        <w:rPr>
          <w:rFonts w:cs="宋体"/>
          <w:szCs w:val="24"/>
        </w:rPr>
      </w:pPr>
      <w:r>
        <w:rPr>
          <w:rFonts w:cs="宋体"/>
          <w:szCs w:val="24"/>
        </w:rPr>
        <w:t>本项目对</w:t>
      </w:r>
      <w:r>
        <w:rPr>
          <w:rFonts w:hint="eastAsia" w:cs="宋体"/>
          <w:szCs w:val="24"/>
        </w:rPr>
        <w:t>骆驼</w:t>
      </w:r>
      <w:r>
        <w:rPr>
          <w:rFonts w:cs="宋体"/>
          <w:szCs w:val="24"/>
        </w:rPr>
        <w:t>进行防疫、治疗过程中产生少量废弃药品、废针管等，产生量约为</w:t>
      </w:r>
      <w:r>
        <w:rPr>
          <w:szCs w:val="24"/>
        </w:rPr>
        <w:t>0.03t/a</w:t>
      </w:r>
      <w:r>
        <w:rPr>
          <w:rFonts w:hint="eastAsia" w:cs="宋体"/>
          <w:szCs w:val="24"/>
        </w:rPr>
        <w:t>。</w:t>
      </w:r>
      <w:r>
        <w:rPr>
          <w:rFonts w:cs="宋体"/>
          <w:szCs w:val="24"/>
        </w:rPr>
        <w:t>医疗垃圾属于</w:t>
      </w:r>
      <w:r>
        <w:rPr>
          <w:szCs w:val="24"/>
        </w:rPr>
        <w:t>HW01</w:t>
      </w:r>
      <w:r>
        <w:rPr>
          <w:rFonts w:cs="宋体"/>
          <w:szCs w:val="24"/>
        </w:rPr>
        <w:t>类危险废物，</w:t>
      </w:r>
      <w:r>
        <w:rPr>
          <w:rFonts w:hint="eastAsia" w:cs="宋体"/>
          <w:szCs w:val="24"/>
        </w:rPr>
        <w:t>由兽医站带走，不在场区暂存。</w:t>
      </w:r>
    </w:p>
    <w:p w14:paraId="30836B80">
      <w:pPr>
        <w:spacing w:line="480" w:lineRule="exact"/>
        <w:ind w:firstLine="480"/>
        <w:rPr>
          <w:rFonts w:cs="宋体"/>
          <w:szCs w:val="24"/>
        </w:rPr>
      </w:pPr>
      <w:r>
        <w:rPr>
          <w:rFonts w:cs="宋体"/>
          <w:szCs w:val="24"/>
        </w:rPr>
        <w:t>本项目医疗废物分类见表</w:t>
      </w:r>
      <w:r>
        <w:rPr>
          <w:rFonts w:hint="eastAsia" w:cs="宋体"/>
          <w:szCs w:val="24"/>
        </w:rPr>
        <w:t>3.3-8。</w:t>
      </w:r>
    </w:p>
    <w:p w14:paraId="3CBFE22B">
      <w:pPr>
        <w:spacing w:line="480" w:lineRule="exact"/>
        <w:ind w:firstLine="0" w:firstLineChars="0"/>
        <w:jc w:val="center"/>
        <w:rPr>
          <w:rFonts w:cs="黑体"/>
          <w:b/>
          <w:bCs/>
          <w:szCs w:val="21"/>
        </w:rPr>
      </w:pPr>
      <w:r>
        <w:rPr>
          <w:rFonts w:cs="黑体"/>
          <w:b/>
          <w:bCs/>
          <w:szCs w:val="21"/>
        </w:rPr>
        <w:t>表</w:t>
      </w:r>
      <w:r>
        <w:rPr>
          <w:rFonts w:hint="eastAsia" w:cs="黑体"/>
          <w:b/>
          <w:bCs/>
          <w:szCs w:val="21"/>
        </w:rPr>
        <w:t>3.3-8</w:t>
      </w:r>
      <w:r>
        <w:rPr>
          <w:rFonts w:cs="黑体"/>
          <w:b/>
          <w:bCs/>
          <w:szCs w:val="21"/>
        </w:rPr>
        <w:t>本项目医疗废物分类表</w:t>
      </w:r>
    </w:p>
    <w:p w14:paraId="28546F34">
      <w:pPr>
        <w:spacing w:line="21" w:lineRule="exact"/>
        <w:ind w:firstLine="480"/>
      </w:pPr>
    </w:p>
    <w:tbl>
      <w:tblPr>
        <w:tblStyle w:val="183"/>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48"/>
        <w:gridCol w:w="1198"/>
        <w:gridCol w:w="1033"/>
        <w:gridCol w:w="2274"/>
        <w:gridCol w:w="2214"/>
        <w:gridCol w:w="856"/>
      </w:tblGrid>
      <w:tr w14:paraId="7321BA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449" w:type="pct"/>
            <w:tcBorders>
              <w:tl2br w:val="nil"/>
              <w:tr2bl w:val="nil"/>
            </w:tcBorders>
            <w:vAlign w:val="center"/>
          </w:tcPr>
          <w:p w14:paraId="4A3AE0BA">
            <w:pPr>
              <w:spacing w:line="360" w:lineRule="exact"/>
              <w:ind w:firstLine="0" w:firstLineChars="0"/>
              <w:jc w:val="center"/>
              <w:rPr>
                <w:rFonts w:cs="宋体"/>
                <w:sz w:val="21"/>
                <w:szCs w:val="21"/>
              </w:rPr>
            </w:pPr>
            <w:r>
              <w:rPr>
                <w:rFonts w:cs="宋体"/>
                <w:sz w:val="21"/>
                <w:szCs w:val="21"/>
              </w:rPr>
              <w:t>序号</w:t>
            </w:r>
          </w:p>
        </w:tc>
        <w:tc>
          <w:tcPr>
            <w:tcW w:w="719" w:type="pct"/>
            <w:tcBorders>
              <w:tl2br w:val="nil"/>
              <w:tr2bl w:val="nil"/>
            </w:tcBorders>
            <w:vAlign w:val="center"/>
          </w:tcPr>
          <w:p w14:paraId="4FCC1A4F">
            <w:pPr>
              <w:spacing w:line="360" w:lineRule="exact"/>
              <w:ind w:firstLine="0" w:firstLineChars="0"/>
              <w:jc w:val="center"/>
              <w:rPr>
                <w:rFonts w:cs="宋体"/>
                <w:sz w:val="21"/>
                <w:szCs w:val="21"/>
              </w:rPr>
            </w:pPr>
            <w:r>
              <w:rPr>
                <w:rFonts w:cs="宋体"/>
                <w:sz w:val="21"/>
                <w:szCs w:val="21"/>
              </w:rPr>
              <w:t>废物代码</w:t>
            </w:r>
          </w:p>
        </w:tc>
        <w:tc>
          <w:tcPr>
            <w:tcW w:w="620" w:type="pct"/>
            <w:tcBorders>
              <w:tl2br w:val="nil"/>
              <w:tr2bl w:val="nil"/>
            </w:tcBorders>
            <w:vAlign w:val="center"/>
          </w:tcPr>
          <w:p w14:paraId="641A2143">
            <w:pPr>
              <w:spacing w:line="360" w:lineRule="exact"/>
              <w:ind w:firstLine="0" w:firstLineChars="0"/>
              <w:jc w:val="center"/>
              <w:rPr>
                <w:rFonts w:cs="宋体"/>
                <w:sz w:val="21"/>
                <w:szCs w:val="21"/>
              </w:rPr>
            </w:pPr>
            <w:r>
              <w:rPr>
                <w:rFonts w:cs="宋体"/>
                <w:sz w:val="21"/>
                <w:szCs w:val="21"/>
              </w:rPr>
              <w:t>危险废物</w:t>
            </w:r>
          </w:p>
        </w:tc>
        <w:tc>
          <w:tcPr>
            <w:tcW w:w="1365" w:type="pct"/>
            <w:tcBorders>
              <w:tl2br w:val="nil"/>
              <w:tr2bl w:val="nil"/>
            </w:tcBorders>
            <w:vAlign w:val="center"/>
          </w:tcPr>
          <w:p w14:paraId="597AFC01">
            <w:pPr>
              <w:spacing w:line="360" w:lineRule="exact"/>
              <w:ind w:firstLine="0" w:firstLineChars="0"/>
              <w:jc w:val="center"/>
              <w:rPr>
                <w:rFonts w:cs="宋体"/>
                <w:sz w:val="21"/>
                <w:szCs w:val="21"/>
              </w:rPr>
            </w:pPr>
            <w:r>
              <w:rPr>
                <w:rFonts w:cs="宋体"/>
                <w:sz w:val="21"/>
                <w:szCs w:val="21"/>
              </w:rPr>
              <w:t>特征</w:t>
            </w:r>
          </w:p>
        </w:tc>
        <w:tc>
          <w:tcPr>
            <w:tcW w:w="1329" w:type="pct"/>
            <w:tcBorders>
              <w:tl2br w:val="nil"/>
              <w:tr2bl w:val="nil"/>
            </w:tcBorders>
            <w:vAlign w:val="center"/>
          </w:tcPr>
          <w:p w14:paraId="5E228515">
            <w:pPr>
              <w:spacing w:line="360" w:lineRule="exact"/>
              <w:ind w:firstLine="0" w:firstLineChars="0"/>
              <w:jc w:val="center"/>
              <w:rPr>
                <w:rFonts w:cs="宋体"/>
                <w:sz w:val="21"/>
                <w:szCs w:val="21"/>
              </w:rPr>
            </w:pPr>
            <w:r>
              <w:rPr>
                <w:rFonts w:cs="宋体"/>
                <w:sz w:val="21"/>
                <w:szCs w:val="21"/>
              </w:rPr>
              <w:t>废物名称</w:t>
            </w:r>
          </w:p>
        </w:tc>
        <w:tc>
          <w:tcPr>
            <w:tcW w:w="514" w:type="pct"/>
            <w:tcBorders>
              <w:tl2br w:val="nil"/>
              <w:tr2bl w:val="nil"/>
            </w:tcBorders>
            <w:vAlign w:val="center"/>
          </w:tcPr>
          <w:p w14:paraId="6D5864D9">
            <w:pPr>
              <w:spacing w:line="360" w:lineRule="exact"/>
              <w:ind w:firstLine="0" w:firstLineChars="0"/>
              <w:jc w:val="center"/>
              <w:rPr>
                <w:rFonts w:cs="宋体"/>
                <w:sz w:val="21"/>
                <w:szCs w:val="21"/>
              </w:rPr>
            </w:pPr>
            <w:r>
              <w:rPr>
                <w:rFonts w:cs="宋体"/>
                <w:sz w:val="21"/>
                <w:szCs w:val="21"/>
              </w:rPr>
              <w:t>产生量</w:t>
            </w:r>
            <w:r>
              <w:rPr>
                <w:rFonts w:hint="eastAsia" w:cs="宋体"/>
                <w:sz w:val="21"/>
                <w:szCs w:val="21"/>
              </w:rPr>
              <w:t>（</w:t>
            </w:r>
            <w:r>
              <w:rPr>
                <w:sz w:val="21"/>
                <w:szCs w:val="21"/>
              </w:rPr>
              <w:t>t/a</w:t>
            </w:r>
            <w:r>
              <w:rPr>
                <w:rFonts w:hint="eastAsia" w:cs="宋体"/>
                <w:sz w:val="21"/>
                <w:szCs w:val="21"/>
              </w:rPr>
              <w:t>）</w:t>
            </w:r>
          </w:p>
        </w:tc>
      </w:tr>
      <w:tr w14:paraId="63697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3" w:hRule="atLeast"/>
          <w:jc w:val="center"/>
        </w:trPr>
        <w:tc>
          <w:tcPr>
            <w:tcW w:w="449" w:type="pct"/>
            <w:tcBorders>
              <w:tl2br w:val="nil"/>
              <w:tr2bl w:val="nil"/>
            </w:tcBorders>
            <w:vAlign w:val="center"/>
          </w:tcPr>
          <w:p w14:paraId="6FECD580">
            <w:pPr>
              <w:spacing w:line="360" w:lineRule="exact"/>
              <w:ind w:firstLine="0" w:firstLineChars="0"/>
              <w:jc w:val="center"/>
              <w:rPr>
                <w:sz w:val="21"/>
                <w:szCs w:val="21"/>
              </w:rPr>
            </w:pPr>
            <w:r>
              <w:rPr>
                <w:sz w:val="21"/>
                <w:szCs w:val="21"/>
              </w:rPr>
              <w:t>1</w:t>
            </w:r>
          </w:p>
        </w:tc>
        <w:tc>
          <w:tcPr>
            <w:tcW w:w="719" w:type="pct"/>
            <w:vMerge w:val="restart"/>
            <w:tcBorders>
              <w:tl2br w:val="nil"/>
              <w:tr2bl w:val="nil"/>
            </w:tcBorders>
            <w:vAlign w:val="center"/>
          </w:tcPr>
          <w:p w14:paraId="6BC784E9">
            <w:pPr>
              <w:spacing w:line="360" w:lineRule="exact"/>
              <w:ind w:firstLine="0" w:firstLineChars="0"/>
              <w:jc w:val="center"/>
              <w:rPr>
                <w:sz w:val="21"/>
                <w:szCs w:val="21"/>
              </w:rPr>
            </w:pPr>
            <w:r>
              <w:rPr>
                <w:sz w:val="21"/>
                <w:szCs w:val="21"/>
              </w:rPr>
              <w:t>900-001-01</w:t>
            </w:r>
          </w:p>
        </w:tc>
        <w:tc>
          <w:tcPr>
            <w:tcW w:w="620" w:type="pct"/>
            <w:tcBorders>
              <w:tl2br w:val="nil"/>
              <w:tr2bl w:val="nil"/>
            </w:tcBorders>
            <w:vAlign w:val="center"/>
          </w:tcPr>
          <w:p w14:paraId="6042D0C2">
            <w:pPr>
              <w:spacing w:line="360" w:lineRule="exact"/>
              <w:ind w:firstLine="0" w:firstLineChars="0"/>
              <w:jc w:val="center"/>
              <w:rPr>
                <w:rFonts w:cs="宋体"/>
                <w:sz w:val="21"/>
                <w:szCs w:val="21"/>
              </w:rPr>
            </w:pPr>
            <w:r>
              <w:rPr>
                <w:rFonts w:cs="宋体"/>
                <w:sz w:val="21"/>
                <w:szCs w:val="21"/>
              </w:rPr>
              <w:t>感染性废物</w:t>
            </w:r>
          </w:p>
        </w:tc>
        <w:tc>
          <w:tcPr>
            <w:tcW w:w="1365" w:type="pct"/>
            <w:tcBorders>
              <w:tl2br w:val="nil"/>
              <w:tr2bl w:val="nil"/>
            </w:tcBorders>
            <w:vAlign w:val="center"/>
          </w:tcPr>
          <w:p w14:paraId="7E4F94E3">
            <w:pPr>
              <w:spacing w:line="360" w:lineRule="exact"/>
              <w:ind w:firstLine="0" w:firstLineChars="0"/>
              <w:jc w:val="center"/>
              <w:rPr>
                <w:rFonts w:cs="宋体"/>
                <w:sz w:val="21"/>
                <w:szCs w:val="21"/>
              </w:rPr>
            </w:pPr>
            <w:r>
              <w:rPr>
                <w:rFonts w:cs="宋体"/>
                <w:sz w:val="21"/>
                <w:szCs w:val="21"/>
              </w:rPr>
              <w:t>携带病原微生物具有引发感染性疾病传播危险的医疗废物</w:t>
            </w:r>
          </w:p>
        </w:tc>
        <w:tc>
          <w:tcPr>
            <w:tcW w:w="1329" w:type="pct"/>
            <w:tcBorders>
              <w:tl2br w:val="nil"/>
              <w:tr2bl w:val="nil"/>
            </w:tcBorders>
            <w:vAlign w:val="center"/>
          </w:tcPr>
          <w:p w14:paraId="4E0FD6AE">
            <w:pPr>
              <w:spacing w:line="360" w:lineRule="exact"/>
              <w:ind w:firstLine="0" w:firstLineChars="0"/>
              <w:jc w:val="center"/>
              <w:rPr>
                <w:rFonts w:cs="宋体"/>
                <w:sz w:val="21"/>
                <w:szCs w:val="21"/>
              </w:rPr>
            </w:pPr>
            <w:r>
              <w:rPr>
                <w:rFonts w:cs="宋体"/>
                <w:sz w:val="21"/>
                <w:szCs w:val="21"/>
              </w:rPr>
              <w:t>主要是废弃的或一次性的注射器</w:t>
            </w:r>
          </w:p>
        </w:tc>
        <w:tc>
          <w:tcPr>
            <w:tcW w:w="514" w:type="pct"/>
            <w:tcBorders>
              <w:tl2br w:val="nil"/>
              <w:tr2bl w:val="nil"/>
            </w:tcBorders>
            <w:vAlign w:val="center"/>
          </w:tcPr>
          <w:p w14:paraId="50ABA1C2">
            <w:pPr>
              <w:spacing w:line="360" w:lineRule="exact"/>
              <w:ind w:firstLine="0" w:firstLineChars="0"/>
              <w:jc w:val="center"/>
              <w:rPr>
                <w:sz w:val="21"/>
                <w:szCs w:val="21"/>
              </w:rPr>
            </w:pPr>
            <w:r>
              <w:rPr>
                <w:sz w:val="21"/>
                <w:szCs w:val="21"/>
              </w:rPr>
              <w:t>0.01</w:t>
            </w:r>
          </w:p>
        </w:tc>
      </w:tr>
      <w:tr w14:paraId="1C66D4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3" w:hRule="atLeast"/>
          <w:jc w:val="center"/>
        </w:trPr>
        <w:tc>
          <w:tcPr>
            <w:tcW w:w="449" w:type="pct"/>
            <w:tcBorders>
              <w:tl2br w:val="nil"/>
              <w:tr2bl w:val="nil"/>
            </w:tcBorders>
            <w:vAlign w:val="center"/>
          </w:tcPr>
          <w:p w14:paraId="5F7E28A3">
            <w:pPr>
              <w:spacing w:line="360" w:lineRule="exact"/>
              <w:ind w:firstLine="0" w:firstLineChars="0"/>
              <w:jc w:val="center"/>
              <w:rPr>
                <w:sz w:val="21"/>
                <w:szCs w:val="21"/>
              </w:rPr>
            </w:pPr>
            <w:r>
              <w:rPr>
                <w:sz w:val="21"/>
                <w:szCs w:val="21"/>
              </w:rPr>
              <w:t>2</w:t>
            </w:r>
          </w:p>
        </w:tc>
        <w:tc>
          <w:tcPr>
            <w:tcW w:w="719" w:type="pct"/>
            <w:vMerge w:val="continue"/>
            <w:tcBorders>
              <w:tl2br w:val="nil"/>
              <w:tr2bl w:val="nil"/>
            </w:tcBorders>
            <w:vAlign w:val="center"/>
          </w:tcPr>
          <w:p w14:paraId="05E9E1B7">
            <w:pPr>
              <w:spacing w:line="360" w:lineRule="exact"/>
              <w:ind w:firstLine="0" w:firstLineChars="0"/>
              <w:jc w:val="center"/>
              <w:rPr>
                <w:sz w:val="21"/>
              </w:rPr>
            </w:pPr>
          </w:p>
        </w:tc>
        <w:tc>
          <w:tcPr>
            <w:tcW w:w="620" w:type="pct"/>
            <w:tcBorders>
              <w:tl2br w:val="nil"/>
              <w:tr2bl w:val="nil"/>
            </w:tcBorders>
            <w:vAlign w:val="center"/>
          </w:tcPr>
          <w:p w14:paraId="7884DD8D">
            <w:pPr>
              <w:spacing w:line="360" w:lineRule="exact"/>
              <w:ind w:firstLine="0" w:firstLineChars="0"/>
              <w:jc w:val="center"/>
              <w:rPr>
                <w:rFonts w:cs="宋体"/>
                <w:sz w:val="21"/>
                <w:szCs w:val="21"/>
              </w:rPr>
            </w:pPr>
            <w:r>
              <w:rPr>
                <w:rFonts w:cs="宋体"/>
                <w:sz w:val="21"/>
                <w:szCs w:val="21"/>
              </w:rPr>
              <w:t>药物性废物</w:t>
            </w:r>
          </w:p>
        </w:tc>
        <w:tc>
          <w:tcPr>
            <w:tcW w:w="1365" w:type="pct"/>
            <w:tcBorders>
              <w:tl2br w:val="nil"/>
              <w:tr2bl w:val="nil"/>
            </w:tcBorders>
            <w:vAlign w:val="center"/>
          </w:tcPr>
          <w:p w14:paraId="1C3473A5">
            <w:pPr>
              <w:spacing w:line="360" w:lineRule="exact"/>
              <w:ind w:firstLine="0" w:firstLineChars="0"/>
              <w:jc w:val="center"/>
              <w:rPr>
                <w:rFonts w:cs="宋体"/>
                <w:sz w:val="21"/>
                <w:szCs w:val="21"/>
              </w:rPr>
            </w:pPr>
            <w:r>
              <w:rPr>
                <w:rFonts w:cs="宋体"/>
                <w:sz w:val="21"/>
                <w:szCs w:val="21"/>
              </w:rPr>
              <w:t>过期、淘汰、变质或者被污染的废弃药品</w:t>
            </w:r>
          </w:p>
        </w:tc>
        <w:tc>
          <w:tcPr>
            <w:tcW w:w="1329" w:type="pct"/>
            <w:tcBorders>
              <w:tl2br w:val="nil"/>
              <w:tr2bl w:val="nil"/>
            </w:tcBorders>
            <w:vAlign w:val="center"/>
          </w:tcPr>
          <w:p w14:paraId="23453984">
            <w:pPr>
              <w:spacing w:line="360" w:lineRule="exact"/>
              <w:ind w:firstLine="0" w:firstLineChars="0"/>
              <w:jc w:val="center"/>
              <w:rPr>
                <w:rFonts w:cs="宋体"/>
                <w:sz w:val="21"/>
                <w:szCs w:val="21"/>
              </w:rPr>
            </w:pPr>
            <w:r>
              <w:rPr>
                <w:rFonts w:cs="宋体"/>
                <w:sz w:val="21"/>
                <w:szCs w:val="21"/>
              </w:rPr>
              <w:t>主要是过期的药品、废弃疫苗和血液制品等</w:t>
            </w:r>
          </w:p>
        </w:tc>
        <w:tc>
          <w:tcPr>
            <w:tcW w:w="514" w:type="pct"/>
            <w:tcBorders>
              <w:tl2br w:val="nil"/>
              <w:tr2bl w:val="nil"/>
            </w:tcBorders>
            <w:vAlign w:val="center"/>
          </w:tcPr>
          <w:p w14:paraId="31BC35C0">
            <w:pPr>
              <w:spacing w:line="360" w:lineRule="exact"/>
              <w:ind w:firstLine="0" w:firstLineChars="0"/>
              <w:jc w:val="center"/>
              <w:rPr>
                <w:sz w:val="21"/>
                <w:szCs w:val="21"/>
              </w:rPr>
            </w:pPr>
            <w:r>
              <w:rPr>
                <w:sz w:val="21"/>
                <w:szCs w:val="21"/>
              </w:rPr>
              <w:t>0.02</w:t>
            </w:r>
          </w:p>
        </w:tc>
      </w:tr>
    </w:tbl>
    <w:p w14:paraId="2FF1277B">
      <w:pPr>
        <w:spacing w:line="480" w:lineRule="exact"/>
        <w:ind w:firstLine="480"/>
        <w:rPr>
          <w:rFonts w:cs="宋体"/>
          <w:szCs w:val="24"/>
        </w:rPr>
      </w:pPr>
      <w:r>
        <w:rPr>
          <w:rFonts w:cs="宋体"/>
          <w:szCs w:val="24"/>
        </w:rPr>
        <w:t>本项目固废产生量见表</w:t>
      </w:r>
      <w:r>
        <w:rPr>
          <w:rFonts w:hint="eastAsia" w:cs="宋体"/>
          <w:szCs w:val="24"/>
        </w:rPr>
        <w:t>3.3-9。</w:t>
      </w:r>
    </w:p>
    <w:p w14:paraId="51845C25">
      <w:pPr>
        <w:spacing w:line="480" w:lineRule="exact"/>
        <w:ind w:firstLine="0" w:firstLineChars="0"/>
        <w:jc w:val="center"/>
        <w:rPr>
          <w:rFonts w:cs="黑体"/>
          <w:b/>
          <w:bCs/>
          <w:szCs w:val="21"/>
        </w:rPr>
      </w:pPr>
      <w:r>
        <w:rPr>
          <w:rFonts w:cs="黑体"/>
          <w:b/>
          <w:bCs/>
          <w:szCs w:val="21"/>
        </w:rPr>
        <w:t>表</w:t>
      </w:r>
      <w:r>
        <w:rPr>
          <w:rFonts w:hint="eastAsia" w:cs="黑体"/>
          <w:b/>
          <w:bCs/>
          <w:szCs w:val="21"/>
        </w:rPr>
        <w:t>3.3-9</w:t>
      </w:r>
      <w:r>
        <w:rPr>
          <w:rFonts w:cs="黑体"/>
          <w:b/>
          <w:bCs/>
          <w:szCs w:val="21"/>
        </w:rPr>
        <w:t>项目固体废弃物产生量</w:t>
      </w:r>
    </w:p>
    <w:p w14:paraId="5DCFD5B3">
      <w:pPr>
        <w:spacing w:line="19" w:lineRule="exact"/>
        <w:ind w:firstLine="480"/>
      </w:pPr>
    </w:p>
    <w:tbl>
      <w:tblPr>
        <w:tblStyle w:val="183"/>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2"/>
        <w:gridCol w:w="1146"/>
        <w:gridCol w:w="601"/>
        <w:gridCol w:w="1581"/>
        <w:gridCol w:w="2840"/>
        <w:gridCol w:w="1504"/>
      </w:tblGrid>
      <w:tr w14:paraId="262E6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86" w:type="pct"/>
            <w:tcBorders>
              <w:tl2br w:val="nil"/>
              <w:tr2bl w:val="nil"/>
            </w:tcBorders>
            <w:vAlign w:val="center"/>
          </w:tcPr>
          <w:p w14:paraId="09462134">
            <w:pPr>
              <w:spacing w:line="360" w:lineRule="exact"/>
              <w:ind w:firstLine="0" w:firstLineChars="0"/>
              <w:jc w:val="center"/>
              <w:rPr>
                <w:rFonts w:cs="宋体"/>
                <w:sz w:val="21"/>
                <w:szCs w:val="21"/>
              </w:rPr>
            </w:pPr>
            <w:r>
              <w:rPr>
                <w:rFonts w:cs="宋体"/>
                <w:sz w:val="21"/>
                <w:szCs w:val="21"/>
              </w:rPr>
              <w:t>序号</w:t>
            </w:r>
          </w:p>
        </w:tc>
        <w:tc>
          <w:tcPr>
            <w:tcW w:w="689" w:type="pct"/>
            <w:tcBorders>
              <w:tl2br w:val="nil"/>
              <w:tr2bl w:val="nil"/>
            </w:tcBorders>
            <w:vAlign w:val="center"/>
          </w:tcPr>
          <w:p w14:paraId="62746DF4">
            <w:pPr>
              <w:spacing w:line="360" w:lineRule="exact"/>
              <w:ind w:firstLine="0" w:firstLineChars="0"/>
              <w:jc w:val="center"/>
              <w:rPr>
                <w:rFonts w:cs="宋体"/>
                <w:sz w:val="21"/>
                <w:szCs w:val="21"/>
              </w:rPr>
            </w:pPr>
            <w:r>
              <w:rPr>
                <w:rFonts w:cs="宋体"/>
                <w:sz w:val="21"/>
                <w:szCs w:val="21"/>
              </w:rPr>
              <w:t>名称</w:t>
            </w:r>
          </w:p>
        </w:tc>
        <w:tc>
          <w:tcPr>
            <w:tcW w:w="361" w:type="pct"/>
            <w:tcBorders>
              <w:tl2br w:val="nil"/>
              <w:tr2bl w:val="nil"/>
            </w:tcBorders>
            <w:vAlign w:val="center"/>
          </w:tcPr>
          <w:p w14:paraId="27AB0DF9">
            <w:pPr>
              <w:spacing w:line="360" w:lineRule="exact"/>
              <w:ind w:firstLine="0" w:firstLineChars="0"/>
              <w:jc w:val="center"/>
              <w:rPr>
                <w:rFonts w:cs="宋体"/>
                <w:sz w:val="21"/>
                <w:szCs w:val="21"/>
              </w:rPr>
            </w:pPr>
            <w:r>
              <w:rPr>
                <w:rFonts w:cs="宋体"/>
                <w:sz w:val="21"/>
                <w:szCs w:val="21"/>
              </w:rPr>
              <w:t>属性</w:t>
            </w:r>
          </w:p>
        </w:tc>
        <w:tc>
          <w:tcPr>
            <w:tcW w:w="950" w:type="pct"/>
            <w:tcBorders>
              <w:tl2br w:val="nil"/>
              <w:tr2bl w:val="nil"/>
            </w:tcBorders>
            <w:vAlign w:val="center"/>
          </w:tcPr>
          <w:p w14:paraId="6843C53F">
            <w:pPr>
              <w:spacing w:line="360" w:lineRule="exact"/>
              <w:ind w:firstLine="0" w:firstLineChars="0"/>
              <w:jc w:val="center"/>
              <w:rPr>
                <w:rFonts w:cs="宋体"/>
                <w:sz w:val="21"/>
                <w:szCs w:val="21"/>
              </w:rPr>
            </w:pPr>
            <w:r>
              <w:rPr>
                <w:rFonts w:cs="宋体"/>
                <w:sz w:val="21"/>
                <w:szCs w:val="21"/>
              </w:rPr>
              <w:t>产生量</w:t>
            </w:r>
            <w:r>
              <w:rPr>
                <w:rFonts w:hint="eastAsia" w:cs="宋体"/>
                <w:sz w:val="21"/>
                <w:szCs w:val="21"/>
              </w:rPr>
              <w:t>（</w:t>
            </w:r>
            <w:r>
              <w:rPr>
                <w:sz w:val="21"/>
                <w:szCs w:val="21"/>
              </w:rPr>
              <w:t>t/a</w:t>
            </w:r>
            <w:r>
              <w:rPr>
                <w:rFonts w:hint="eastAsia" w:cs="宋体"/>
                <w:sz w:val="21"/>
                <w:szCs w:val="21"/>
              </w:rPr>
              <w:t>）</w:t>
            </w:r>
          </w:p>
        </w:tc>
        <w:tc>
          <w:tcPr>
            <w:tcW w:w="1707" w:type="pct"/>
            <w:tcBorders>
              <w:tl2br w:val="nil"/>
              <w:tr2bl w:val="nil"/>
            </w:tcBorders>
            <w:vAlign w:val="center"/>
          </w:tcPr>
          <w:p w14:paraId="0AF30025">
            <w:pPr>
              <w:spacing w:line="360" w:lineRule="exact"/>
              <w:ind w:firstLine="0" w:firstLineChars="0"/>
              <w:jc w:val="center"/>
              <w:rPr>
                <w:rFonts w:cs="宋体"/>
                <w:sz w:val="21"/>
                <w:szCs w:val="21"/>
              </w:rPr>
            </w:pPr>
            <w:r>
              <w:rPr>
                <w:rFonts w:cs="宋体"/>
                <w:sz w:val="21"/>
                <w:szCs w:val="21"/>
              </w:rPr>
              <w:t>拟采取的处置方式</w:t>
            </w:r>
          </w:p>
        </w:tc>
        <w:tc>
          <w:tcPr>
            <w:tcW w:w="904" w:type="pct"/>
            <w:tcBorders>
              <w:tl2br w:val="nil"/>
              <w:tr2bl w:val="nil"/>
            </w:tcBorders>
            <w:vAlign w:val="center"/>
          </w:tcPr>
          <w:p w14:paraId="27594164">
            <w:pPr>
              <w:spacing w:line="360" w:lineRule="exact"/>
              <w:ind w:firstLine="0" w:firstLineChars="0"/>
              <w:jc w:val="center"/>
              <w:rPr>
                <w:rFonts w:cs="宋体"/>
                <w:sz w:val="21"/>
                <w:szCs w:val="21"/>
              </w:rPr>
            </w:pPr>
            <w:r>
              <w:rPr>
                <w:rFonts w:cs="宋体"/>
                <w:sz w:val="21"/>
                <w:szCs w:val="21"/>
              </w:rPr>
              <w:t>排放量</w:t>
            </w:r>
            <w:r>
              <w:rPr>
                <w:rFonts w:hint="eastAsia" w:cs="宋体"/>
                <w:sz w:val="21"/>
                <w:szCs w:val="21"/>
              </w:rPr>
              <w:t>（</w:t>
            </w:r>
            <w:r>
              <w:rPr>
                <w:sz w:val="21"/>
                <w:szCs w:val="21"/>
              </w:rPr>
              <w:t>t/a</w:t>
            </w:r>
            <w:r>
              <w:rPr>
                <w:rFonts w:hint="eastAsia" w:cs="宋体"/>
                <w:sz w:val="21"/>
                <w:szCs w:val="21"/>
              </w:rPr>
              <w:t>）</w:t>
            </w:r>
          </w:p>
        </w:tc>
      </w:tr>
      <w:tr w14:paraId="72EE3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86" w:type="pct"/>
            <w:tcBorders>
              <w:tl2br w:val="nil"/>
              <w:tr2bl w:val="nil"/>
            </w:tcBorders>
            <w:vAlign w:val="center"/>
          </w:tcPr>
          <w:p w14:paraId="5DC318C7">
            <w:pPr>
              <w:spacing w:line="360" w:lineRule="exact"/>
              <w:ind w:firstLine="0" w:firstLineChars="0"/>
              <w:jc w:val="center"/>
              <w:rPr>
                <w:sz w:val="21"/>
                <w:szCs w:val="21"/>
              </w:rPr>
            </w:pPr>
            <w:r>
              <w:rPr>
                <w:sz w:val="21"/>
                <w:szCs w:val="21"/>
              </w:rPr>
              <w:t>1</w:t>
            </w:r>
          </w:p>
        </w:tc>
        <w:tc>
          <w:tcPr>
            <w:tcW w:w="689" w:type="pct"/>
            <w:tcBorders>
              <w:tl2br w:val="nil"/>
              <w:tr2bl w:val="nil"/>
            </w:tcBorders>
            <w:vAlign w:val="center"/>
          </w:tcPr>
          <w:p w14:paraId="209A64E2">
            <w:pPr>
              <w:spacing w:line="360" w:lineRule="exact"/>
              <w:ind w:firstLine="0" w:firstLineChars="0"/>
              <w:jc w:val="center"/>
              <w:rPr>
                <w:rFonts w:cs="宋体"/>
                <w:sz w:val="21"/>
                <w:szCs w:val="21"/>
              </w:rPr>
            </w:pPr>
            <w:r>
              <w:rPr>
                <w:rFonts w:hint="eastAsia" w:cs="宋体"/>
                <w:sz w:val="21"/>
                <w:szCs w:val="21"/>
              </w:rPr>
              <w:t>骆驼粪便</w:t>
            </w:r>
          </w:p>
        </w:tc>
        <w:tc>
          <w:tcPr>
            <w:tcW w:w="361" w:type="pct"/>
            <w:vMerge w:val="restart"/>
            <w:tcBorders>
              <w:tl2br w:val="nil"/>
              <w:tr2bl w:val="nil"/>
            </w:tcBorders>
            <w:vAlign w:val="center"/>
          </w:tcPr>
          <w:p w14:paraId="5E1CFCBB">
            <w:pPr>
              <w:spacing w:line="360" w:lineRule="exact"/>
              <w:ind w:firstLine="0" w:firstLineChars="0"/>
              <w:jc w:val="center"/>
              <w:rPr>
                <w:rFonts w:cs="宋体"/>
                <w:sz w:val="21"/>
                <w:szCs w:val="21"/>
              </w:rPr>
            </w:pPr>
            <w:r>
              <w:rPr>
                <w:rFonts w:cs="宋体"/>
                <w:sz w:val="21"/>
                <w:szCs w:val="21"/>
              </w:rPr>
              <w:t>一般工业固体废物</w:t>
            </w:r>
          </w:p>
        </w:tc>
        <w:tc>
          <w:tcPr>
            <w:tcW w:w="950" w:type="pct"/>
            <w:tcBorders>
              <w:tl2br w:val="nil"/>
              <w:tr2bl w:val="nil"/>
            </w:tcBorders>
            <w:vAlign w:val="center"/>
          </w:tcPr>
          <w:p w14:paraId="1918687A">
            <w:pPr>
              <w:spacing w:line="360" w:lineRule="exact"/>
              <w:ind w:firstLine="0" w:firstLineChars="0"/>
              <w:jc w:val="center"/>
              <w:rPr>
                <w:rFonts w:cs="宋体"/>
                <w:sz w:val="21"/>
                <w:szCs w:val="21"/>
              </w:rPr>
            </w:pPr>
            <w:r>
              <w:rPr>
                <w:rFonts w:hint="eastAsia"/>
                <w:sz w:val="21"/>
                <w:szCs w:val="21"/>
              </w:rPr>
              <w:t>4.464</w:t>
            </w:r>
            <w:r>
              <w:rPr>
                <w:rFonts w:hint="eastAsia" w:cs="宋体"/>
                <w:sz w:val="21"/>
                <w:szCs w:val="21"/>
              </w:rPr>
              <w:t>（</w:t>
            </w:r>
            <w:r>
              <w:rPr>
                <w:sz w:val="21"/>
                <w:szCs w:val="21"/>
              </w:rPr>
              <w:t>t/d</w:t>
            </w:r>
            <w:r>
              <w:rPr>
                <w:rFonts w:hint="eastAsia" w:cs="宋体"/>
                <w:sz w:val="21"/>
                <w:szCs w:val="21"/>
              </w:rPr>
              <w:t>）</w:t>
            </w:r>
          </w:p>
        </w:tc>
        <w:tc>
          <w:tcPr>
            <w:tcW w:w="1707" w:type="pct"/>
            <w:tcBorders>
              <w:tl2br w:val="nil"/>
              <w:tr2bl w:val="nil"/>
            </w:tcBorders>
            <w:vAlign w:val="center"/>
          </w:tcPr>
          <w:p w14:paraId="586CE24A">
            <w:pPr>
              <w:spacing w:line="360" w:lineRule="exact"/>
              <w:ind w:firstLine="0" w:firstLineChars="0"/>
              <w:jc w:val="center"/>
              <w:rPr>
                <w:rFonts w:cs="宋体"/>
                <w:sz w:val="21"/>
                <w:szCs w:val="21"/>
              </w:rPr>
            </w:pPr>
            <w:r>
              <w:rPr>
                <w:rFonts w:hint="eastAsia" w:cs="宋体"/>
                <w:sz w:val="21"/>
                <w:szCs w:val="21"/>
              </w:rPr>
              <w:t>骆驼粪便清运至堆肥场，经处理后外售</w:t>
            </w:r>
          </w:p>
        </w:tc>
        <w:tc>
          <w:tcPr>
            <w:tcW w:w="904" w:type="pct"/>
            <w:tcBorders>
              <w:tl2br w:val="nil"/>
              <w:tr2bl w:val="nil"/>
            </w:tcBorders>
            <w:vAlign w:val="center"/>
          </w:tcPr>
          <w:p w14:paraId="64322625">
            <w:pPr>
              <w:spacing w:line="360" w:lineRule="exact"/>
              <w:ind w:firstLine="0" w:firstLineChars="0"/>
              <w:jc w:val="center"/>
              <w:rPr>
                <w:sz w:val="21"/>
                <w:szCs w:val="21"/>
              </w:rPr>
            </w:pPr>
            <w:r>
              <w:rPr>
                <w:rFonts w:hint="eastAsia"/>
                <w:sz w:val="21"/>
                <w:szCs w:val="21"/>
              </w:rPr>
              <w:t>4.464（</w:t>
            </w:r>
            <w:r>
              <w:rPr>
                <w:sz w:val="21"/>
                <w:szCs w:val="21"/>
              </w:rPr>
              <w:t>t/d</w:t>
            </w:r>
            <w:r>
              <w:rPr>
                <w:rFonts w:hint="eastAsia"/>
                <w:sz w:val="21"/>
                <w:szCs w:val="21"/>
              </w:rPr>
              <w:t>）</w:t>
            </w:r>
          </w:p>
        </w:tc>
      </w:tr>
      <w:tr w14:paraId="69176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86" w:type="pct"/>
            <w:tcBorders>
              <w:tl2br w:val="nil"/>
              <w:tr2bl w:val="nil"/>
            </w:tcBorders>
            <w:vAlign w:val="center"/>
          </w:tcPr>
          <w:p w14:paraId="38BBF11C">
            <w:pPr>
              <w:spacing w:line="360" w:lineRule="exact"/>
              <w:ind w:firstLine="0" w:firstLineChars="0"/>
              <w:jc w:val="center"/>
              <w:rPr>
                <w:sz w:val="21"/>
                <w:szCs w:val="21"/>
              </w:rPr>
            </w:pPr>
            <w:r>
              <w:rPr>
                <w:sz w:val="21"/>
                <w:szCs w:val="21"/>
              </w:rPr>
              <w:t>2</w:t>
            </w:r>
          </w:p>
        </w:tc>
        <w:tc>
          <w:tcPr>
            <w:tcW w:w="689" w:type="pct"/>
            <w:tcBorders>
              <w:tl2br w:val="nil"/>
              <w:tr2bl w:val="nil"/>
            </w:tcBorders>
            <w:vAlign w:val="center"/>
          </w:tcPr>
          <w:p w14:paraId="1D1DA381">
            <w:pPr>
              <w:spacing w:line="360" w:lineRule="exact"/>
              <w:ind w:firstLine="0" w:firstLineChars="0"/>
              <w:jc w:val="center"/>
              <w:rPr>
                <w:rFonts w:cs="宋体"/>
                <w:sz w:val="21"/>
                <w:szCs w:val="21"/>
              </w:rPr>
            </w:pPr>
            <w:r>
              <w:rPr>
                <w:rFonts w:cs="宋体"/>
                <w:sz w:val="21"/>
                <w:szCs w:val="21"/>
              </w:rPr>
              <w:t>废弃包装物</w:t>
            </w:r>
          </w:p>
        </w:tc>
        <w:tc>
          <w:tcPr>
            <w:tcW w:w="361" w:type="pct"/>
            <w:vMerge w:val="continue"/>
            <w:tcBorders>
              <w:tl2br w:val="nil"/>
              <w:tr2bl w:val="nil"/>
            </w:tcBorders>
            <w:textDirection w:val="tbRlV"/>
            <w:vAlign w:val="center"/>
          </w:tcPr>
          <w:p w14:paraId="151647A9">
            <w:pPr>
              <w:spacing w:line="360" w:lineRule="exact"/>
              <w:ind w:firstLine="0" w:firstLineChars="0"/>
              <w:jc w:val="center"/>
              <w:rPr>
                <w:sz w:val="21"/>
              </w:rPr>
            </w:pPr>
          </w:p>
        </w:tc>
        <w:tc>
          <w:tcPr>
            <w:tcW w:w="950" w:type="pct"/>
            <w:tcBorders>
              <w:tl2br w:val="nil"/>
              <w:tr2bl w:val="nil"/>
            </w:tcBorders>
            <w:vAlign w:val="center"/>
          </w:tcPr>
          <w:p w14:paraId="12C7CFED">
            <w:pPr>
              <w:spacing w:line="360" w:lineRule="exact"/>
              <w:ind w:firstLine="0" w:firstLineChars="0"/>
              <w:jc w:val="center"/>
              <w:rPr>
                <w:sz w:val="21"/>
                <w:szCs w:val="21"/>
              </w:rPr>
            </w:pPr>
            <w:r>
              <w:rPr>
                <w:sz w:val="21"/>
                <w:szCs w:val="21"/>
              </w:rPr>
              <w:t>1.2</w:t>
            </w:r>
          </w:p>
        </w:tc>
        <w:tc>
          <w:tcPr>
            <w:tcW w:w="1707" w:type="pct"/>
            <w:tcBorders>
              <w:tl2br w:val="nil"/>
              <w:tr2bl w:val="nil"/>
            </w:tcBorders>
            <w:vAlign w:val="center"/>
          </w:tcPr>
          <w:p w14:paraId="16806D0D">
            <w:pPr>
              <w:spacing w:line="360" w:lineRule="exact"/>
              <w:ind w:firstLine="0" w:firstLineChars="0"/>
              <w:jc w:val="center"/>
              <w:rPr>
                <w:rFonts w:cs="宋体"/>
                <w:sz w:val="21"/>
                <w:szCs w:val="21"/>
              </w:rPr>
            </w:pPr>
            <w:r>
              <w:rPr>
                <w:rFonts w:cs="宋体"/>
                <w:sz w:val="21"/>
                <w:szCs w:val="21"/>
              </w:rPr>
              <w:t>饲料包装袋进行外售</w:t>
            </w:r>
          </w:p>
        </w:tc>
        <w:tc>
          <w:tcPr>
            <w:tcW w:w="904" w:type="pct"/>
            <w:tcBorders>
              <w:tl2br w:val="nil"/>
              <w:tr2bl w:val="nil"/>
            </w:tcBorders>
            <w:vAlign w:val="center"/>
          </w:tcPr>
          <w:p w14:paraId="57E436CE">
            <w:pPr>
              <w:spacing w:line="360" w:lineRule="exact"/>
              <w:ind w:firstLine="0" w:firstLineChars="0"/>
              <w:jc w:val="center"/>
              <w:rPr>
                <w:sz w:val="21"/>
                <w:szCs w:val="21"/>
              </w:rPr>
            </w:pPr>
            <w:r>
              <w:rPr>
                <w:sz w:val="21"/>
                <w:szCs w:val="21"/>
              </w:rPr>
              <w:t>1.2</w:t>
            </w:r>
          </w:p>
        </w:tc>
      </w:tr>
      <w:tr w14:paraId="47000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86" w:type="pct"/>
            <w:tcBorders>
              <w:tl2br w:val="nil"/>
              <w:tr2bl w:val="nil"/>
            </w:tcBorders>
            <w:vAlign w:val="center"/>
          </w:tcPr>
          <w:p w14:paraId="41F17F2A">
            <w:pPr>
              <w:spacing w:line="360" w:lineRule="exact"/>
              <w:ind w:firstLine="0" w:firstLineChars="0"/>
              <w:jc w:val="center"/>
              <w:rPr>
                <w:sz w:val="21"/>
                <w:szCs w:val="21"/>
              </w:rPr>
            </w:pPr>
            <w:r>
              <w:rPr>
                <w:sz w:val="21"/>
                <w:szCs w:val="21"/>
              </w:rPr>
              <w:t>3</w:t>
            </w:r>
          </w:p>
        </w:tc>
        <w:tc>
          <w:tcPr>
            <w:tcW w:w="689" w:type="pct"/>
            <w:tcBorders>
              <w:tl2br w:val="nil"/>
              <w:tr2bl w:val="nil"/>
            </w:tcBorders>
            <w:vAlign w:val="center"/>
          </w:tcPr>
          <w:p w14:paraId="68A838E2">
            <w:pPr>
              <w:spacing w:line="360" w:lineRule="exact"/>
              <w:ind w:firstLine="0" w:firstLineChars="0"/>
              <w:jc w:val="center"/>
              <w:rPr>
                <w:rFonts w:cs="宋体"/>
                <w:sz w:val="21"/>
                <w:szCs w:val="21"/>
              </w:rPr>
            </w:pPr>
            <w:r>
              <w:rPr>
                <w:rFonts w:cs="宋体"/>
                <w:sz w:val="21"/>
                <w:szCs w:val="21"/>
              </w:rPr>
              <w:t>生活垃圾</w:t>
            </w:r>
          </w:p>
        </w:tc>
        <w:tc>
          <w:tcPr>
            <w:tcW w:w="361" w:type="pct"/>
            <w:vMerge w:val="continue"/>
            <w:tcBorders>
              <w:tl2br w:val="nil"/>
              <w:tr2bl w:val="nil"/>
            </w:tcBorders>
            <w:textDirection w:val="tbRlV"/>
            <w:vAlign w:val="center"/>
          </w:tcPr>
          <w:p w14:paraId="189B3302">
            <w:pPr>
              <w:spacing w:line="360" w:lineRule="exact"/>
              <w:ind w:firstLine="0" w:firstLineChars="0"/>
              <w:jc w:val="center"/>
              <w:rPr>
                <w:sz w:val="21"/>
              </w:rPr>
            </w:pPr>
          </w:p>
        </w:tc>
        <w:tc>
          <w:tcPr>
            <w:tcW w:w="950" w:type="pct"/>
            <w:tcBorders>
              <w:tl2br w:val="nil"/>
              <w:tr2bl w:val="nil"/>
            </w:tcBorders>
            <w:vAlign w:val="center"/>
          </w:tcPr>
          <w:p w14:paraId="1500A5B3">
            <w:pPr>
              <w:spacing w:line="360" w:lineRule="exact"/>
              <w:ind w:firstLine="0" w:firstLineChars="0"/>
              <w:jc w:val="center"/>
              <w:rPr>
                <w:sz w:val="21"/>
                <w:szCs w:val="21"/>
              </w:rPr>
            </w:pPr>
            <w:r>
              <w:rPr>
                <w:sz w:val="21"/>
                <w:szCs w:val="21"/>
              </w:rPr>
              <w:t>3.65</w:t>
            </w:r>
          </w:p>
        </w:tc>
        <w:tc>
          <w:tcPr>
            <w:tcW w:w="1707" w:type="pct"/>
            <w:tcBorders>
              <w:tl2br w:val="nil"/>
              <w:tr2bl w:val="nil"/>
            </w:tcBorders>
            <w:vAlign w:val="center"/>
          </w:tcPr>
          <w:p w14:paraId="54E192ED">
            <w:pPr>
              <w:spacing w:line="360" w:lineRule="exact"/>
              <w:ind w:firstLine="0" w:firstLineChars="0"/>
              <w:jc w:val="center"/>
              <w:rPr>
                <w:rFonts w:cs="宋体"/>
                <w:sz w:val="21"/>
                <w:szCs w:val="21"/>
              </w:rPr>
            </w:pPr>
            <w:r>
              <w:rPr>
                <w:rFonts w:cs="宋体"/>
                <w:sz w:val="21"/>
                <w:szCs w:val="21"/>
              </w:rPr>
              <w:t>经集中收集后当地环卫部门处置</w:t>
            </w:r>
          </w:p>
        </w:tc>
        <w:tc>
          <w:tcPr>
            <w:tcW w:w="904" w:type="pct"/>
            <w:tcBorders>
              <w:tl2br w:val="nil"/>
              <w:tr2bl w:val="nil"/>
            </w:tcBorders>
            <w:vAlign w:val="center"/>
          </w:tcPr>
          <w:p w14:paraId="6CCE7233">
            <w:pPr>
              <w:spacing w:line="360" w:lineRule="exact"/>
              <w:ind w:firstLine="0" w:firstLineChars="0"/>
              <w:jc w:val="center"/>
              <w:rPr>
                <w:sz w:val="21"/>
                <w:szCs w:val="21"/>
              </w:rPr>
            </w:pPr>
            <w:r>
              <w:rPr>
                <w:sz w:val="21"/>
                <w:szCs w:val="21"/>
              </w:rPr>
              <w:t>3.65</w:t>
            </w:r>
          </w:p>
        </w:tc>
      </w:tr>
      <w:tr w14:paraId="3AC85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86" w:type="pct"/>
            <w:tcBorders>
              <w:tl2br w:val="nil"/>
              <w:tr2bl w:val="nil"/>
            </w:tcBorders>
            <w:vAlign w:val="center"/>
          </w:tcPr>
          <w:p w14:paraId="665F0368">
            <w:pPr>
              <w:spacing w:line="360" w:lineRule="exact"/>
              <w:ind w:firstLine="0" w:firstLineChars="0"/>
              <w:jc w:val="center"/>
              <w:rPr>
                <w:sz w:val="21"/>
                <w:szCs w:val="21"/>
              </w:rPr>
            </w:pPr>
            <w:r>
              <w:rPr>
                <w:sz w:val="21"/>
                <w:szCs w:val="21"/>
              </w:rPr>
              <w:t>4</w:t>
            </w:r>
          </w:p>
        </w:tc>
        <w:tc>
          <w:tcPr>
            <w:tcW w:w="689" w:type="pct"/>
            <w:tcBorders>
              <w:tl2br w:val="nil"/>
              <w:tr2bl w:val="nil"/>
            </w:tcBorders>
            <w:vAlign w:val="center"/>
          </w:tcPr>
          <w:p w14:paraId="66128EEF">
            <w:pPr>
              <w:spacing w:line="360" w:lineRule="exact"/>
              <w:ind w:firstLine="0" w:firstLineChars="0"/>
              <w:jc w:val="center"/>
              <w:rPr>
                <w:rFonts w:cs="宋体"/>
                <w:sz w:val="21"/>
                <w:szCs w:val="21"/>
              </w:rPr>
            </w:pPr>
            <w:r>
              <w:rPr>
                <w:rFonts w:cs="宋体"/>
                <w:sz w:val="21"/>
                <w:szCs w:val="21"/>
              </w:rPr>
              <w:t>病死</w:t>
            </w:r>
            <w:r>
              <w:rPr>
                <w:rFonts w:hint="eastAsia" w:cs="宋体"/>
                <w:sz w:val="21"/>
                <w:szCs w:val="21"/>
              </w:rPr>
              <w:t>骆驼</w:t>
            </w:r>
          </w:p>
        </w:tc>
        <w:tc>
          <w:tcPr>
            <w:tcW w:w="361" w:type="pct"/>
            <w:vMerge w:val="restart"/>
            <w:tcBorders>
              <w:tl2br w:val="nil"/>
              <w:tr2bl w:val="nil"/>
            </w:tcBorders>
            <w:vAlign w:val="center"/>
          </w:tcPr>
          <w:p w14:paraId="71026513">
            <w:pPr>
              <w:spacing w:line="360" w:lineRule="exact"/>
              <w:ind w:firstLine="0" w:firstLineChars="0"/>
              <w:jc w:val="center"/>
              <w:rPr>
                <w:rFonts w:cs="宋体"/>
                <w:sz w:val="21"/>
                <w:szCs w:val="21"/>
              </w:rPr>
            </w:pPr>
            <w:r>
              <w:rPr>
                <w:rFonts w:cs="宋体"/>
                <w:sz w:val="21"/>
                <w:szCs w:val="21"/>
              </w:rPr>
              <w:t>危险废物</w:t>
            </w:r>
          </w:p>
        </w:tc>
        <w:tc>
          <w:tcPr>
            <w:tcW w:w="950" w:type="pct"/>
            <w:tcBorders>
              <w:tl2br w:val="nil"/>
              <w:tr2bl w:val="nil"/>
            </w:tcBorders>
            <w:vAlign w:val="center"/>
          </w:tcPr>
          <w:p w14:paraId="03EC8C95">
            <w:pPr>
              <w:spacing w:line="360" w:lineRule="exact"/>
              <w:ind w:firstLine="0" w:firstLineChars="0"/>
              <w:jc w:val="center"/>
              <w:rPr>
                <w:sz w:val="21"/>
                <w:szCs w:val="21"/>
              </w:rPr>
            </w:pPr>
            <w:r>
              <w:rPr>
                <w:rFonts w:hint="eastAsia"/>
                <w:sz w:val="21"/>
                <w:szCs w:val="21"/>
              </w:rPr>
              <w:t>2</w:t>
            </w:r>
          </w:p>
        </w:tc>
        <w:tc>
          <w:tcPr>
            <w:tcW w:w="1707" w:type="pct"/>
            <w:tcBorders>
              <w:tl2br w:val="nil"/>
              <w:tr2bl w:val="nil"/>
            </w:tcBorders>
            <w:vAlign w:val="center"/>
          </w:tcPr>
          <w:p w14:paraId="24D9DB37">
            <w:pPr>
              <w:spacing w:line="360" w:lineRule="exact"/>
              <w:ind w:firstLine="0" w:firstLineChars="0"/>
              <w:jc w:val="center"/>
              <w:rPr>
                <w:rFonts w:cs="宋体"/>
                <w:sz w:val="21"/>
                <w:szCs w:val="21"/>
              </w:rPr>
            </w:pPr>
            <w:r>
              <w:rPr>
                <w:rFonts w:hint="eastAsia" w:cs="宋体"/>
                <w:sz w:val="21"/>
                <w:szCs w:val="21"/>
              </w:rPr>
              <w:t>外委第三方处置</w:t>
            </w:r>
          </w:p>
        </w:tc>
        <w:tc>
          <w:tcPr>
            <w:tcW w:w="904" w:type="pct"/>
            <w:tcBorders>
              <w:tl2br w:val="nil"/>
              <w:tr2bl w:val="nil"/>
            </w:tcBorders>
            <w:vAlign w:val="center"/>
          </w:tcPr>
          <w:p w14:paraId="54BB9177">
            <w:pPr>
              <w:spacing w:line="360" w:lineRule="exact"/>
              <w:ind w:firstLine="0" w:firstLineChars="0"/>
              <w:jc w:val="center"/>
              <w:rPr>
                <w:sz w:val="21"/>
                <w:szCs w:val="21"/>
              </w:rPr>
            </w:pPr>
            <w:r>
              <w:rPr>
                <w:rFonts w:hint="eastAsia"/>
                <w:sz w:val="21"/>
                <w:szCs w:val="21"/>
              </w:rPr>
              <w:t>2</w:t>
            </w:r>
          </w:p>
        </w:tc>
      </w:tr>
      <w:tr w14:paraId="5A660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86" w:type="pct"/>
            <w:tcBorders>
              <w:tl2br w:val="nil"/>
              <w:tr2bl w:val="nil"/>
            </w:tcBorders>
            <w:vAlign w:val="center"/>
          </w:tcPr>
          <w:p w14:paraId="339DAEEB">
            <w:pPr>
              <w:spacing w:line="360" w:lineRule="exact"/>
              <w:ind w:firstLine="0" w:firstLineChars="0"/>
              <w:jc w:val="center"/>
              <w:rPr>
                <w:sz w:val="21"/>
                <w:szCs w:val="21"/>
              </w:rPr>
            </w:pPr>
            <w:r>
              <w:rPr>
                <w:sz w:val="21"/>
                <w:szCs w:val="21"/>
              </w:rPr>
              <w:t>5</w:t>
            </w:r>
          </w:p>
        </w:tc>
        <w:tc>
          <w:tcPr>
            <w:tcW w:w="689" w:type="pct"/>
            <w:tcBorders>
              <w:tl2br w:val="nil"/>
              <w:tr2bl w:val="nil"/>
            </w:tcBorders>
            <w:vAlign w:val="center"/>
          </w:tcPr>
          <w:p w14:paraId="434C43EA">
            <w:pPr>
              <w:spacing w:line="360" w:lineRule="exact"/>
              <w:ind w:firstLine="0" w:firstLineChars="0"/>
              <w:jc w:val="center"/>
              <w:rPr>
                <w:rFonts w:cs="宋体"/>
                <w:sz w:val="21"/>
                <w:szCs w:val="21"/>
              </w:rPr>
            </w:pPr>
            <w:r>
              <w:rPr>
                <w:rFonts w:cs="宋体"/>
                <w:sz w:val="21"/>
                <w:szCs w:val="21"/>
              </w:rPr>
              <w:t>医疗垃圾</w:t>
            </w:r>
          </w:p>
        </w:tc>
        <w:tc>
          <w:tcPr>
            <w:tcW w:w="361" w:type="pct"/>
            <w:vMerge w:val="continue"/>
            <w:tcBorders>
              <w:tl2br w:val="nil"/>
              <w:tr2bl w:val="nil"/>
            </w:tcBorders>
            <w:textDirection w:val="tbRlV"/>
            <w:vAlign w:val="center"/>
          </w:tcPr>
          <w:p w14:paraId="5FD639FA">
            <w:pPr>
              <w:spacing w:line="360" w:lineRule="exact"/>
              <w:ind w:firstLine="0" w:firstLineChars="0"/>
              <w:jc w:val="center"/>
              <w:rPr>
                <w:sz w:val="21"/>
              </w:rPr>
            </w:pPr>
          </w:p>
        </w:tc>
        <w:tc>
          <w:tcPr>
            <w:tcW w:w="950" w:type="pct"/>
            <w:tcBorders>
              <w:tl2br w:val="nil"/>
              <w:tr2bl w:val="nil"/>
            </w:tcBorders>
            <w:vAlign w:val="center"/>
          </w:tcPr>
          <w:p w14:paraId="387B2115">
            <w:pPr>
              <w:spacing w:line="360" w:lineRule="exact"/>
              <w:ind w:firstLine="0" w:firstLineChars="0"/>
              <w:jc w:val="center"/>
              <w:rPr>
                <w:sz w:val="21"/>
                <w:szCs w:val="21"/>
              </w:rPr>
            </w:pPr>
            <w:r>
              <w:rPr>
                <w:sz w:val="21"/>
                <w:szCs w:val="21"/>
              </w:rPr>
              <w:t>0.03</w:t>
            </w:r>
          </w:p>
        </w:tc>
        <w:tc>
          <w:tcPr>
            <w:tcW w:w="1707" w:type="pct"/>
            <w:tcBorders>
              <w:tl2br w:val="nil"/>
              <w:tr2bl w:val="nil"/>
            </w:tcBorders>
            <w:vAlign w:val="center"/>
          </w:tcPr>
          <w:p w14:paraId="66B106BB">
            <w:pPr>
              <w:spacing w:line="360" w:lineRule="exact"/>
              <w:ind w:firstLine="0" w:firstLineChars="0"/>
              <w:jc w:val="center"/>
              <w:rPr>
                <w:rFonts w:cs="宋体"/>
                <w:sz w:val="21"/>
                <w:szCs w:val="21"/>
              </w:rPr>
            </w:pPr>
            <w:r>
              <w:rPr>
                <w:rFonts w:hint="eastAsia" w:cs="宋体"/>
                <w:sz w:val="21"/>
                <w:szCs w:val="21"/>
              </w:rPr>
              <w:t>由兽医站带走，不在场区暂存</w:t>
            </w:r>
          </w:p>
        </w:tc>
        <w:tc>
          <w:tcPr>
            <w:tcW w:w="904" w:type="pct"/>
            <w:tcBorders>
              <w:tl2br w:val="nil"/>
              <w:tr2bl w:val="nil"/>
            </w:tcBorders>
            <w:vAlign w:val="center"/>
          </w:tcPr>
          <w:p w14:paraId="305C278D">
            <w:pPr>
              <w:spacing w:line="360" w:lineRule="exact"/>
              <w:ind w:firstLine="0" w:firstLineChars="0"/>
              <w:jc w:val="center"/>
              <w:rPr>
                <w:sz w:val="21"/>
                <w:szCs w:val="21"/>
              </w:rPr>
            </w:pPr>
            <w:r>
              <w:rPr>
                <w:sz w:val="21"/>
                <w:szCs w:val="21"/>
              </w:rPr>
              <w:t>0.03</w:t>
            </w:r>
          </w:p>
        </w:tc>
      </w:tr>
    </w:tbl>
    <w:p w14:paraId="179ED5BA">
      <w:pPr>
        <w:pStyle w:val="6"/>
        <w:ind w:firstLine="482"/>
      </w:pPr>
      <w:r>
        <w:t>3.</w:t>
      </w:r>
      <w:r>
        <w:rPr>
          <w:rFonts w:hint="eastAsia"/>
        </w:rPr>
        <w:t>3</w:t>
      </w:r>
      <w:r>
        <w:t>.2.4噪声</w:t>
      </w:r>
    </w:p>
    <w:p w14:paraId="4379F638">
      <w:pPr>
        <w:ind w:firstLine="480"/>
      </w:pPr>
      <w:r>
        <w:t>本项目在运营期间噪声主要来源于</w:t>
      </w:r>
      <w:r>
        <w:rPr>
          <w:rFonts w:hint="eastAsia"/>
        </w:rPr>
        <w:t>粪便清理机、排气扇</w:t>
      </w:r>
      <w:r>
        <w:t>等设备</w:t>
      </w:r>
      <w:r>
        <w:rPr>
          <w:rFonts w:hint="eastAsia"/>
        </w:rPr>
        <w:t>产生的噪声，经过类比调查，</w:t>
      </w:r>
      <w:r>
        <w:t>本项目主要噪声源强见表3.</w:t>
      </w:r>
      <w:r>
        <w:rPr>
          <w:rFonts w:hint="eastAsia"/>
        </w:rPr>
        <w:t>3</w:t>
      </w:r>
      <w:r>
        <w:t>-1</w:t>
      </w:r>
      <w:r>
        <w:rPr>
          <w:rFonts w:hint="eastAsia"/>
        </w:rPr>
        <w:t>0。</w:t>
      </w:r>
    </w:p>
    <w:p w14:paraId="38E79E48">
      <w:pPr>
        <w:pStyle w:val="11"/>
      </w:pPr>
      <w:r>
        <w:rPr>
          <w:rFonts w:hint="eastAsia"/>
        </w:rPr>
        <w:t>表3.3-10项目主要噪声源强表单位：dB（A）</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79"/>
        <w:gridCol w:w="2075"/>
        <w:gridCol w:w="2075"/>
        <w:gridCol w:w="2080"/>
      </w:tblGrid>
      <w:tr w14:paraId="78077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1251" w:type="pct"/>
            <w:vAlign w:val="center"/>
          </w:tcPr>
          <w:p w14:paraId="28B00520">
            <w:pPr>
              <w:spacing w:line="360" w:lineRule="exact"/>
              <w:ind w:firstLine="0" w:firstLineChars="0"/>
              <w:jc w:val="center"/>
              <w:rPr>
                <w:rFonts w:cs="宋体"/>
                <w:sz w:val="21"/>
                <w:szCs w:val="21"/>
              </w:rPr>
            </w:pPr>
            <w:r>
              <w:rPr>
                <w:rFonts w:cs="宋体"/>
                <w:sz w:val="21"/>
                <w:szCs w:val="21"/>
              </w:rPr>
              <w:t>序号</w:t>
            </w:r>
          </w:p>
        </w:tc>
        <w:tc>
          <w:tcPr>
            <w:tcW w:w="1248" w:type="pct"/>
            <w:vAlign w:val="center"/>
          </w:tcPr>
          <w:p w14:paraId="03C175B8">
            <w:pPr>
              <w:spacing w:line="360" w:lineRule="exact"/>
              <w:ind w:firstLine="0" w:firstLineChars="0"/>
              <w:jc w:val="center"/>
              <w:rPr>
                <w:rFonts w:cs="宋体"/>
                <w:sz w:val="21"/>
                <w:szCs w:val="21"/>
              </w:rPr>
            </w:pPr>
            <w:r>
              <w:rPr>
                <w:rFonts w:cs="宋体"/>
                <w:sz w:val="21"/>
                <w:szCs w:val="21"/>
              </w:rPr>
              <w:t>设备名称</w:t>
            </w:r>
          </w:p>
        </w:tc>
        <w:tc>
          <w:tcPr>
            <w:tcW w:w="1248" w:type="pct"/>
            <w:vAlign w:val="center"/>
          </w:tcPr>
          <w:p w14:paraId="2FCDC632">
            <w:pPr>
              <w:spacing w:line="360" w:lineRule="exact"/>
              <w:ind w:firstLine="0" w:firstLineChars="0"/>
              <w:jc w:val="center"/>
              <w:rPr>
                <w:rFonts w:cs="宋体"/>
                <w:sz w:val="21"/>
                <w:szCs w:val="21"/>
              </w:rPr>
            </w:pPr>
            <w:r>
              <w:rPr>
                <w:rFonts w:cs="宋体"/>
                <w:sz w:val="21"/>
                <w:szCs w:val="21"/>
              </w:rPr>
              <w:t>噪声值</w:t>
            </w:r>
          </w:p>
          <w:p w14:paraId="04394868">
            <w:pPr>
              <w:spacing w:line="360" w:lineRule="exact"/>
              <w:ind w:firstLine="0" w:firstLineChars="0"/>
              <w:jc w:val="center"/>
              <w:rPr>
                <w:rFonts w:cs="宋体"/>
                <w:sz w:val="21"/>
                <w:szCs w:val="21"/>
              </w:rPr>
            </w:pPr>
            <w:r>
              <w:rPr>
                <w:sz w:val="21"/>
                <w:szCs w:val="21"/>
              </w:rPr>
              <w:t>dB</w:t>
            </w:r>
            <w:r>
              <w:rPr>
                <w:rFonts w:hint="eastAsia" w:cs="宋体"/>
                <w:sz w:val="21"/>
                <w:szCs w:val="21"/>
              </w:rPr>
              <w:t>（</w:t>
            </w:r>
            <w:r>
              <w:rPr>
                <w:sz w:val="21"/>
                <w:szCs w:val="21"/>
              </w:rPr>
              <w:t>A</w:t>
            </w:r>
            <w:r>
              <w:rPr>
                <w:rFonts w:hint="eastAsia" w:cs="宋体"/>
                <w:sz w:val="21"/>
                <w:szCs w:val="21"/>
              </w:rPr>
              <w:t>）</w:t>
            </w:r>
          </w:p>
        </w:tc>
        <w:tc>
          <w:tcPr>
            <w:tcW w:w="1251" w:type="pct"/>
            <w:vAlign w:val="center"/>
          </w:tcPr>
          <w:p w14:paraId="249B61E6">
            <w:pPr>
              <w:spacing w:line="360" w:lineRule="exact"/>
              <w:ind w:firstLine="0" w:firstLineChars="0"/>
              <w:jc w:val="center"/>
              <w:rPr>
                <w:rFonts w:cs="宋体"/>
                <w:sz w:val="21"/>
                <w:szCs w:val="21"/>
              </w:rPr>
            </w:pPr>
            <w:r>
              <w:rPr>
                <w:rFonts w:cs="宋体"/>
                <w:sz w:val="21"/>
                <w:szCs w:val="21"/>
              </w:rPr>
              <w:t>所在位置</w:t>
            </w:r>
          </w:p>
        </w:tc>
      </w:tr>
      <w:tr w14:paraId="6AB2D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jc w:val="center"/>
        </w:trPr>
        <w:tc>
          <w:tcPr>
            <w:tcW w:w="1251" w:type="pct"/>
            <w:vAlign w:val="center"/>
          </w:tcPr>
          <w:p w14:paraId="5259681B">
            <w:pPr>
              <w:spacing w:line="360" w:lineRule="exact"/>
              <w:ind w:firstLine="0" w:firstLineChars="0"/>
              <w:jc w:val="center"/>
              <w:rPr>
                <w:sz w:val="21"/>
                <w:szCs w:val="21"/>
              </w:rPr>
            </w:pPr>
            <w:r>
              <w:rPr>
                <w:sz w:val="21"/>
                <w:szCs w:val="21"/>
              </w:rPr>
              <w:t>1</w:t>
            </w:r>
          </w:p>
        </w:tc>
        <w:tc>
          <w:tcPr>
            <w:tcW w:w="1248" w:type="pct"/>
            <w:vAlign w:val="center"/>
          </w:tcPr>
          <w:p w14:paraId="4AFBC852">
            <w:pPr>
              <w:spacing w:line="360" w:lineRule="exact"/>
              <w:ind w:firstLine="0" w:firstLineChars="0"/>
              <w:jc w:val="center"/>
              <w:rPr>
                <w:rFonts w:cs="宋体"/>
                <w:sz w:val="21"/>
                <w:szCs w:val="21"/>
              </w:rPr>
            </w:pPr>
            <w:r>
              <w:rPr>
                <w:rFonts w:hint="eastAsia" w:cs="宋体"/>
                <w:sz w:val="21"/>
                <w:szCs w:val="21"/>
              </w:rPr>
              <w:t>粪便清理机</w:t>
            </w:r>
          </w:p>
        </w:tc>
        <w:tc>
          <w:tcPr>
            <w:tcW w:w="1248" w:type="pct"/>
            <w:vAlign w:val="center"/>
          </w:tcPr>
          <w:p w14:paraId="3840DCF0">
            <w:pPr>
              <w:spacing w:line="360" w:lineRule="exact"/>
              <w:ind w:firstLine="0" w:firstLineChars="0"/>
              <w:jc w:val="center"/>
              <w:rPr>
                <w:sz w:val="21"/>
                <w:szCs w:val="21"/>
              </w:rPr>
            </w:pPr>
            <w:r>
              <w:rPr>
                <w:sz w:val="21"/>
                <w:szCs w:val="21"/>
              </w:rPr>
              <w:t>65~70</w:t>
            </w:r>
          </w:p>
        </w:tc>
        <w:tc>
          <w:tcPr>
            <w:tcW w:w="1251" w:type="pct"/>
            <w:vAlign w:val="center"/>
          </w:tcPr>
          <w:p w14:paraId="2B68B34A">
            <w:pPr>
              <w:spacing w:line="360" w:lineRule="exact"/>
              <w:ind w:firstLine="0" w:firstLineChars="0"/>
              <w:jc w:val="center"/>
              <w:rPr>
                <w:rFonts w:cs="宋体"/>
                <w:sz w:val="21"/>
                <w:szCs w:val="21"/>
              </w:rPr>
            </w:pPr>
            <w:r>
              <w:rPr>
                <w:rFonts w:hint="eastAsia" w:cs="宋体"/>
                <w:sz w:val="21"/>
                <w:szCs w:val="21"/>
              </w:rPr>
              <w:t>骆驼圈舍</w:t>
            </w:r>
          </w:p>
        </w:tc>
      </w:tr>
      <w:tr w14:paraId="4ABF7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251" w:type="pct"/>
            <w:vAlign w:val="center"/>
          </w:tcPr>
          <w:p w14:paraId="6A165C95">
            <w:pPr>
              <w:spacing w:line="360" w:lineRule="exact"/>
              <w:ind w:firstLine="0" w:firstLineChars="0"/>
              <w:jc w:val="center"/>
              <w:rPr>
                <w:sz w:val="21"/>
                <w:szCs w:val="21"/>
              </w:rPr>
            </w:pPr>
            <w:r>
              <w:rPr>
                <w:sz w:val="21"/>
                <w:szCs w:val="21"/>
              </w:rPr>
              <w:t>2</w:t>
            </w:r>
          </w:p>
        </w:tc>
        <w:tc>
          <w:tcPr>
            <w:tcW w:w="1248" w:type="pct"/>
            <w:vAlign w:val="center"/>
          </w:tcPr>
          <w:p w14:paraId="76EAAA60">
            <w:pPr>
              <w:spacing w:line="360" w:lineRule="exact"/>
              <w:ind w:firstLine="0" w:firstLineChars="0"/>
              <w:jc w:val="center"/>
              <w:rPr>
                <w:rFonts w:cs="宋体"/>
                <w:sz w:val="21"/>
                <w:szCs w:val="21"/>
              </w:rPr>
            </w:pPr>
            <w:r>
              <w:rPr>
                <w:rFonts w:cs="宋体"/>
                <w:sz w:val="21"/>
                <w:szCs w:val="21"/>
              </w:rPr>
              <w:t>排风扇</w:t>
            </w:r>
          </w:p>
        </w:tc>
        <w:tc>
          <w:tcPr>
            <w:tcW w:w="1248" w:type="pct"/>
            <w:vAlign w:val="center"/>
          </w:tcPr>
          <w:p w14:paraId="23971472">
            <w:pPr>
              <w:spacing w:line="360" w:lineRule="exact"/>
              <w:ind w:firstLine="0" w:firstLineChars="0"/>
              <w:jc w:val="center"/>
              <w:rPr>
                <w:sz w:val="21"/>
                <w:szCs w:val="21"/>
              </w:rPr>
            </w:pPr>
            <w:r>
              <w:rPr>
                <w:sz w:val="21"/>
                <w:szCs w:val="21"/>
              </w:rPr>
              <w:t>70~80</w:t>
            </w:r>
          </w:p>
        </w:tc>
        <w:tc>
          <w:tcPr>
            <w:tcW w:w="1251" w:type="pct"/>
            <w:vAlign w:val="center"/>
          </w:tcPr>
          <w:p w14:paraId="75F81EB8">
            <w:pPr>
              <w:spacing w:line="360" w:lineRule="exact"/>
              <w:ind w:firstLine="0" w:firstLineChars="0"/>
              <w:jc w:val="center"/>
              <w:rPr>
                <w:rFonts w:cs="宋体"/>
                <w:sz w:val="21"/>
                <w:szCs w:val="21"/>
              </w:rPr>
            </w:pPr>
            <w:r>
              <w:rPr>
                <w:rFonts w:hint="eastAsia" w:cs="宋体"/>
                <w:sz w:val="21"/>
                <w:szCs w:val="21"/>
              </w:rPr>
              <w:t>骆驼圈舍</w:t>
            </w:r>
          </w:p>
        </w:tc>
      </w:tr>
      <w:tr w14:paraId="0B442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251" w:type="pct"/>
            <w:vAlign w:val="center"/>
          </w:tcPr>
          <w:p w14:paraId="2EAD71DE">
            <w:pPr>
              <w:spacing w:line="360" w:lineRule="exact"/>
              <w:ind w:firstLine="0" w:firstLineChars="0"/>
              <w:jc w:val="center"/>
              <w:rPr>
                <w:sz w:val="21"/>
                <w:szCs w:val="21"/>
              </w:rPr>
            </w:pPr>
            <w:r>
              <w:rPr>
                <w:sz w:val="21"/>
                <w:szCs w:val="21"/>
              </w:rPr>
              <w:t>3</w:t>
            </w:r>
          </w:p>
        </w:tc>
        <w:tc>
          <w:tcPr>
            <w:tcW w:w="1248" w:type="pct"/>
            <w:vAlign w:val="center"/>
          </w:tcPr>
          <w:p w14:paraId="4EF62C50">
            <w:pPr>
              <w:spacing w:line="360" w:lineRule="exact"/>
              <w:ind w:firstLine="0" w:firstLineChars="0"/>
              <w:jc w:val="center"/>
              <w:rPr>
                <w:rFonts w:cs="宋体"/>
                <w:sz w:val="21"/>
                <w:szCs w:val="21"/>
              </w:rPr>
            </w:pPr>
            <w:r>
              <w:rPr>
                <w:rFonts w:cs="宋体"/>
                <w:sz w:val="21"/>
                <w:szCs w:val="21"/>
              </w:rPr>
              <w:t>运输车辆噪声</w:t>
            </w:r>
          </w:p>
        </w:tc>
        <w:tc>
          <w:tcPr>
            <w:tcW w:w="1248" w:type="pct"/>
            <w:vAlign w:val="center"/>
          </w:tcPr>
          <w:p w14:paraId="550ECAA9">
            <w:pPr>
              <w:spacing w:line="360" w:lineRule="exact"/>
              <w:ind w:firstLine="0" w:firstLineChars="0"/>
              <w:jc w:val="center"/>
              <w:rPr>
                <w:sz w:val="21"/>
                <w:szCs w:val="21"/>
              </w:rPr>
            </w:pPr>
            <w:r>
              <w:rPr>
                <w:sz w:val="21"/>
                <w:szCs w:val="21"/>
              </w:rPr>
              <w:t>75~80</w:t>
            </w:r>
          </w:p>
        </w:tc>
        <w:tc>
          <w:tcPr>
            <w:tcW w:w="1251" w:type="pct"/>
            <w:vAlign w:val="center"/>
          </w:tcPr>
          <w:p w14:paraId="338187D1">
            <w:pPr>
              <w:spacing w:line="360" w:lineRule="exact"/>
              <w:ind w:firstLine="0" w:firstLineChars="0"/>
              <w:jc w:val="center"/>
              <w:rPr>
                <w:rFonts w:cs="宋体"/>
                <w:sz w:val="21"/>
                <w:szCs w:val="21"/>
              </w:rPr>
            </w:pPr>
            <w:r>
              <w:rPr>
                <w:rFonts w:cs="宋体"/>
                <w:sz w:val="21"/>
                <w:szCs w:val="21"/>
              </w:rPr>
              <w:t>厂区内</w:t>
            </w:r>
          </w:p>
        </w:tc>
      </w:tr>
    </w:tbl>
    <w:p w14:paraId="51D65BCF">
      <w:pPr>
        <w:pStyle w:val="4"/>
      </w:pPr>
      <w:bookmarkStart w:id="100" w:name="_Toc89619336"/>
      <w:bookmarkStart w:id="101" w:name="_Toc289360091"/>
      <w:bookmarkStart w:id="102" w:name="_Toc291499394"/>
      <w:bookmarkStart w:id="103" w:name="_Toc224388084"/>
      <w:bookmarkStart w:id="104" w:name="_Toc310503790"/>
      <w:bookmarkStart w:id="105" w:name="_Toc10130"/>
      <w:bookmarkStart w:id="106" w:name="_Toc16418"/>
      <w:bookmarkStart w:id="107" w:name="_Toc321043910"/>
      <w:r>
        <w:t>3.</w:t>
      </w:r>
      <w:r>
        <w:rPr>
          <w:rFonts w:hint="eastAsia"/>
        </w:rPr>
        <w:t>4</w:t>
      </w:r>
      <w:r>
        <w:t>污染物</w:t>
      </w:r>
      <w:r>
        <w:rPr>
          <w:rFonts w:hint="eastAsia"/>
        </w:rPr>
        <w:t>”</w:t>
      </w:r>
      <w:r>
        <w:t>三废</w:t>
      </w:r>
      <w:r>
        <w:rPr>
          <w:rFonts w:hint="eastAsia"/>
        </w:rPr>
        <w:t>”</w:t>
      </w:r>
      <w:r>
        <w:t>排放</w:t>
      </w:r>
      <w:bookmarkEnd w:id="100"/>
      <w:bookmarkEnd w:id="101"/>
      <w:bookmarkEnd w:id="102"/>
      <w:bookmarkEnd w:id="103"/>
      <w:bookmarkEnd w:id="104"/>
      <w:bookmarkEnd w:id="105"/>
      <w:bookmarkEnd w:id="106"/>
      <w:bookmarkEnd w:id="107"/>
    </w:p>
    <w:p w14:paraId="278CE3B3">
      <w:pPr>
        <w:ind w:firstLine="480"/>
      </w:pPr>
      <w:r>
        <w:t>本项目污染物</w:t>
      </w:r>
      <w:r>
        <w:rPr>
          <w:rFonts w:hint="eastAsia"/>
        </w:rPr>
        <w:t>”</w:t>
      </w:r>
      <w:r>
        <w:t>三废</w:t>
      </w:r>
      <w:r>
        <w:rPr>
          <w:rFonts w:hint="eastAsia"/>
        </w:rPr>
        <w:t>”</w:t>
      </w:r>
      <w:r>
        <w:t>产生及排放统计见表3.</w:t>
      </w:r>
      <w:r>
        <w:rPr>
          <w:rFonts w:hint="eastAsia"/>
        </w:rPr>
        <w:t>4</w:t>
      </w:r>
      <w:r>
        <w:t>-1</w:t>
      </w:r>
      <w:r>
        <w:rPr>
          <w:rFonts w:hint="eastAsia"/>
        </w:rPr>
        <w:t>。</w:t>
      </w:r>
    </w:p>
    <w:p w14:paraId="63081926">
      <w:pPr>
        <w:pStyle w:val="11"/>
      </w:pPr>
      <w:r>
        <w:t>表</w:t>
      </w:r>
      <w:r>
        <w:rPr>
          <w:rFonts w:hint="eastAsia"/>
        </w:rPr>
        <w:t>3.4-1</w:t>
      </w:r>
      <w:r>
        <w:t>污染物</w:t>
      </w:r>
      <w:r>
        <w:rPr>
          <w:rFonts w:hint="eastAsia"/>
        </w:rPr>
        <w:t>”</w:t>
      </w:r>
      <w:r>
        <w:t>三废</w:t>
      </w:r>
      <w:r>
        <w:rPr>
          <w:rFonts w:hint="eastAsia"/>
        </w:rPr>
        <w:t>”</w:t>
      </w:r>
      <w:r>
        <w:t>产生及排放统计表</w:t>
      </w:r>
    </w:p>
    <w:tbl>
      <w:tblPr>
        <w:tblStyle w:val="183"/>
        <w:tblW w:w="504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0"/>
        <w:gridCol w:w="954"/>
        <w:gridCol w:w="1279"/>
        <w:gridCol w:w="1495"/>
        <w:gridCol w:w="3102"/>
        <w:gridCol w:w="1128"/>
      </w:tblGrid>
      <w:tr w14:paraId="3E819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9" w:hRule="atLeast"/>
          <w:jc w:val="center"/>
        </w:trPr>
        <w:tc>
          <w:tcPr>
            <w:tcW w:w="820" w:type="pct"/>
            <w:gridSpan w:val="2"/>
            <w:tcBorders>
              <w:tl2br w:val="nil"/>
              <w:tr2bl w:val="nil"/>
            </w:tcBorders>
            <w:vAlign w:val="center"/>
          </w:tcPr>
          <w:p w14:paraId="48B9BFD0">
            <w:pPr>
              <w:spacing w:line="360" w:lineRule="exact"/>
              <w:ind w:firstLine="0" w:firstLineChars="0"/>
              <w:jc w:val="center"/>
              <w:rPr>
                <w:rFonts w:cs="宋体"/>
                <w:sz w:val="21"/>
                <w:szCs w:val="21"/>
              </w:rPr>
            </w:pPr>
            <w:r>
              <w:rPr>
                <w:rFonts w:cs="宋体"/>
                <w:sz w:val="21"/>
                <w:szCs w:val="21"/>
              </w:rPr>
              <w:t>污染源</w:t>
            </w:r>
          </w:p>
        </w:tc>
        <w:tc>
          <w:tcPr>
            <w:tcW w:w="763" w:type="pct"/>
            <w:tcBorders>
              <w:tl2br w:val="nil"/>
              <w:tr2bl w:val="nil"/>
            </w:tcBorders>
            <w:vAlign w:val="center"/>
          </w:tcPr>
          <w:p w14:paraId="190075D1">
            <w:pPr>
              <w:spacing w:line="360" w:lineRule="exact"/>
              <w:ind w:firstLine="0" w:firstLineChars="0"/>
              <w:jc w:val="center"/>
              <w:rPr>
                <w:rFonts w:cs="宋体"/>
                <w:sz w:val="21"/>
                <w:szCs w:val="21"/>
              </w:rPr>
            </w:pPr>
            <w:r>
              <w:rPr>
                <w:rFonts w:cs="宋体"/>
                <w:sz w:val="21"/>
                <w:szCs w:val="21"/>
              </w:rPr>
              <w:t>主要污染物</w:t>
            </w:r>
          </w:p>
        </w:tc>
        <w:tc>
          <w:tcPr>
            <w:tcW w:w="892" w:type="pct"/>
            <w:tcBorders>
              <w:tl2br w:val="nil"/>
              <w:tr2bl w:val="nil"/>
            </w:tcBorders>
            <w:vAlign w:val="center"/>
          </w:tcPr>
          <w:p w14:paraId="41B491F1">
            <w:pPr>
              <w:spacing w:line="360" w:lineRule="exact"/>
              <w:ind w:firstLine="0" w:firstLineChars="0"/>
              <w:jc w:val="center"/>
              <w:rPr>
                <w:rFonts w:cs="宋体"/>
                <w:sz w:val="21"/>
                <w:szCs w:val="21"/>
              </w:rPr>
            </w:pPr>
            <w:r>
              <w:rPr>
                <w:rFonts w:cs="宋体"/>
                <w:sz w:val="21"/>
                <w:szCs w:val="21"/>
              </w:rPr>
              <w:t>产生量</w:t>
            </w:r>
          </w:p>
        </w:tc>
        <w:tc>
          <w:tcPr>
            <w:tcW w:w="1851" w:type="pct"/>
            <w:tcBorders>
              <w:tl2br w:val="nil"/>
              <w:tr2bl w:val="nil"/>
            </w:tcBorders>
            <w:vAlign w:val="center"/>
          </w:tcPr>
          <w:p w14:paraId="474F9B2C">
            <w:pPr>
              <w:spacing w:line="360" w:lineRule="exact"/>
              <w:ind w:firstLine="0" w:firstLineChars="0"/>
              <w:jc w:val="center"/>
              <w:rPr>
                <w:rFonts w:cs="宋体"/>
                <w:sz w:val="21"/>
                <w:szCs w:val="21"/>
              </w:rPr>
            </w:pPr>
            <w:r>
              <w:rPr>
                <w:rFonts w:cs="宋体"/>
                <w:sz w:val="21"/>
                <w:szCs w:val="21"/>
              </w:rPr>
              <w:t>处置措施</w:t>
            </w:r>
          </w:p>
        </w:tc>
        <w:tc>
          <w:tcPr>
            <w:tcW w:w="672" w:type="pct"/>
            <w:tcBorders>
              <w:tl2br w:val="nil"/>
              <w:tr2bl w:val="nil"/>
            </w:tcBorders>
            <w:vAlign w:val="center"/>
          </w:tcPr>
          <w:p w14:paraId="5400D1E8">
            <w:pPr>
              <w:spacing w:line="360" w:lineRule="exact"/>
              <w:ind w:firstLine="0" w:firstLineChars="0"/>
              <w:jc w:val="center"/>
              <w:rPr>
                <w:rFonts w:cs="宋体"/>
                <w:sz w:val="21"/>
                <w:szCs w:val="21"/>
              </w:rPr>
            </w:pPr>
            <w:r>
              <w:rPr>
                <w:rFonts w:cs="宋体"/>
                <w:sz w:val="21"/>
                <w:szCs w:val="21"/>
              </w:rPr>
              <w:t>排放量</w:t>
            </w:r>
          </w:p>
        </w:tc>
      </w:tr>
      <w:tr w14:paraId="2E4DB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1" w:type="pct"/>
            <w:vMerge w:val="restart"/>
            <w:tcBorders>
              <w:tl2br w:val="nil"/>
              <w:tr2bl w:val="nil"/>
            </w:tcBorders>
            <w:textDirection w:val="tbRlV"/>
            <w:vAlign w:val="center"/>
          </w:tcPr>
          <w:p w14:paraId="0BEB089E">
            <w:pPr>
              <w:spacing w:line="360" w:lineRule="exact"/>
              <w:ind w:firstLine="0" w:firstLineChars="0"/>
              <w:jc w:val="center"/>
              <w:rPr>
                <w:rFonts w:cs="宋体"/>
                <w:sz w:val="21"/>
                <w:szCs w:val="21"/>
              </w:rPr>
            </w:pPr>
            <w:r>
              <w:rPr>
                <w:rFonts w:cs="宋体"/>
                <w:sz w:val="21"/>
                <w:szCs w:val="21"/>
              </w:rPr>
              <w:t>废气</w:t>
            </w:r>
          </w:p>
        </w:tc>
        <w:tc>
          <w:tcPr>
            <w:tcW w:w="568" w:type="pct"/>
            <w:vMerge w:val="restart"/>
            <w:tcBorders>
              <w:tl2br w:val="nil"/>
              <w:tr2bl w:val="nil"/>
            </w:tcBorders>
            <w:vAlign w:val="center"/>
          </w:tcPr>
          <w:p w14:paraId="52B645F3">
            <w:pPr>
              <w:spacing w:line="360" w:lineRule="exact"/>
              <w:ind w:firstLine="0" w:firstLineChars="0"/>
              <w:jc w:val="center"/>
              <w:rPr>
                <w:rFonts w:cs="宋体"/>
                <w:sz w:val="21"/>
                <w:szCs w:val="21"/>
              </w:rPr>
            </w:pPr>
            <w:r>
              <w:rPr>
                <w:rFonts w:cs="宋体"/>
                <w:sz w:val="21"/>
                <w:szCs w:val="21"/>
              </w:rPr>
              <w:t>圈舍无组织</w:t>
            </w:r>
          </w:p>
        </w:tc>
        <w:tc>
          <w:tcPr>
            <w:tcW w:w="763" w:type="pct"/>
            <w:tcBorders>
              <w:tl2br w:val="nil"/>
              <w:tr2bl w:val="nil"/>
            </w:tcBorders>
            <w:vAlign w:val="center"/>
          </w:tcPr>
          <w:p w14:paraId="35A67017">
            <w:pPr>
              <w:spacing w:line="360" w:lineRule="exact"/>
              <w:ind w:firstLine="0" w:firstLineChars="0"/>
              <w:jc w:val="center"/>
              <w:rPr>
                <w:sz w:val="21"/>
                <w:szCs w:val="14"/>
              </w:rPr>
            </w:pPr>
            <w:r>
              <w:rPr>
                <w:sz w:val="21"/>
                <w:szCs w:val="21"/>
              </w:rPr>
              <w:t>NH</w:t>
            </w:r>
            <w:r>
              <w:rPr>
                <w:position w:val="-1"/>
                <w:sz w:val="21"/>
                <w:szCs w:val="14"/>
                <w:vertAlign w:val="subscript"/>
              </w:rPr>
              <w:t>3</w:t>
            </w:r>
          </w:p>
        </w:tc>
        <w:tc>
          <w:tcPr>
            <w:tcW w:w="892" w:type="pct"/>
            <w:tcBorders>
              <w:tl2br w:val="nil"/>
              <w:tr2bl w:val="nil"/>
            </w:tcBorders>
            <w:vAlign w:val="center"/>
          </w:tcPr>
          <w:p w14:paraId="4D270303">
            <w:pPr>
              <w:spacing w:line="360" w:lineRule="exact"/>
              <w:ind w:firstLine="0" w:firstLineChars="0"/>
              <w:jc w:val="center"/>
              <w:rPr>
                <w:sz w:val="21"/>
                <w:szCs w:val="21"/>
              </w:rPr>
            </w:pPr>
            <w:r>
              <w:rPr>
                <w:rFonts w:hint="eastAsia"/>
                <w:sz w:val="21"/>
                <w:szCs w:val="21"/>
              </w:rPr>
              <w:t>2.43t</w:t>
            </w:r>
            <w:r>
              <w:rPr>
                <w:sz w:val="21"/>
                <w:szCs w:val="21"/>
              </w:rPr>
              <w:t>/a</w:t>
            </w:r>
          </w:p>
        </w:tc>
        <w:tc>
          <w:tcPr>
            <w:tcW w:w="1851" w:type="pct"/>
            <w:vMerge w:val="restart"/>
            <w:tcBorders>
              <w:tl2br w:val="nil"/>
              <w:tr2bl w:val="nil"/>
            </w:tcBorders>
            <w:vAlign w:val="center"/>
          </w:tcPr>
          <w:p w14:paraId="6CAB7011">
            <w:pPr>
              <w:spacing w:line="360" w:lineRule="exact"/>
              <w:ind w:firstLine="0" w:firstLineChars="0"/>
              <w:jc w:val="center"/>
              <w:rPr>
                <w:rFonts w:cs="宋体"/>
                <w:sz w:val="21"/>
                <w:szCs w:val="21"/>
              </w:rPr>
            </w:pPr>
            <w:r>
              <w:rPr>
                <w:rFonts w:cs="宋体"/>
                <w:sz w:val="21"/>
                <w:szCs w:val="21"/>
              </w:rPr>
              <w:t>圈舍定期喷洒除臭剂，</w:t>
            </w:r>
            <w:r>
              <w:rPr>
                <w:rFonts w:hint="eastAsia" w:cs="宋体"/>
                <w:sz w:val="21"/>
                <w:szCs w:val="21"/>
              </w:rPr>
              <w:t>饲料周工添加EM菌</w:t>
            </w:r>
            <w:r>
              <w:rPr>
                <w:rFonts w:cs="宋体"/>
                <w:sz w:val="21"/>
                <w:szCs w:val="21"/>
              </w:rPr>
              <w:t>；圈舍四周绿化</w:t>
            </w:r>
          </w:p>
        </w:tc>
        <w:tc>
          <w:tcPr>
            <w:tcW w:w="672" w:type="pct"/>
            <w:tcBorders>
              <w:tl2br w:val="nil"/>
              <w:tr2bl w:val="nil"/>
            </w:tcBorders>
            <w:vAlign w:val="center"/>
          </w:tcPr>
          <w:p w14:paraId="07F71E30">
            <w:pPr>
              <w:spacing w:line="360" w:lineRule="exact"/>
              <w:ind w:firstLine="0" w:firstLineChars="0"/>
              <w:jc w:val="center"/>
              <w:rPr>
                <w:sz w:val="21"/>
                <w:szCs w:val="21"/>
              </w:rPr>
            </w:pPr>
            <w:r>
              <w:rPr>
                <w:rFonts w:hint="eastAsia"/>
                <w:sz w:val="21"/>
                <w:szCs w:val="21"/>
              </w:rPr>
              <w:t>0.122</w:t>
            </w:r>
            <w:r>
              <w:rPr>
                <w:sz w:val="21"/>
                <w:szCs w:val="21"/>
              </w:rPr>
              <w:t>t/a</w:t>
            </w:r>
          </w:p>
        </w:tc>
      </w:tr>
      <w:tr w14:paraId="74988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1" w:type="pct"/>
            <w:vMerge w:val="continue"/>
            <w:tcBorders>
              <w:tl2br w:val="nil"/>
              <w:tr2bl w:val="nil"/>
            </w:tcBorders>
            <w:textDirection w:val="tbRlV"/>
            <w:vAlign w:val="center"/>
          </w:tcPr>
          <w:p w14:paraId="770CE018">
            <w:pPr>
              <w:spacing w:line="360" w:lineRule="exact"/>
              <w:ind w:firstLine="0" w:firstLineChars="0"/>
              <w:jc w:val="center"/>
              <w:rPr>
                <w:sz w:val="21"/>
              </w:rPr>
            </w:pPr>
          </w:p>
        </w:tc>
        <w:tc>
          <w:tcPr>
            <w:tcW w:w="568" w:type="pct"/>
            <w:vMerge w:val="continue"/>
            <w:tcBorders>
              <w:tl2br w:val="nil"/>
              <w:tr2bl w:val="nil"/>
            </w:tcBorders>
            <w:vAlign w:val="center"/>
          </w:tcPr>
          <w:p w14:paraId="43FDEFC8">
            <w:pPr>
              <w:spacing w:line="360" w:lineRule="exact"/>
              <w:ind w:firstLine="0" w:firstLineChars="0"/>
              <w:jc w:val="center"/>
              <w:rPr>
                <w:sz w:val="21"/>
              </w:rPr>
            </w:pPr>
          </w:p>
        </w:tc>
        <w:tc>
          <w:tcPr>
            <w:tcW w:w="763" w:type="pct"/>
            <w:tcBorders>
              <w:tl2br w:val="nil"/>
              <w:tr2bl w:val="nil"/>
            </w:tcBorders>
            <w:vAlign w:val="center"/>
          </w:tcPr>
          <w:p w14:paraId="7FE49741">
            <w:pPr>
              <w:spacing w:line="360" w:lineRule="exact"/>
              <w:ind w:firstLine="0" w:firstLineChars="0"/>
              <w:jc w:val="center"/>
              <w:rPr>
                <w:sz w:val="21"/>
                <w:szCs w:val="21"/>
              </w:rPr>
            </w:pPr>
            <w:r>
              <w:rPr>
                <w:sz w:val="21"/>
                <w:szCs w:val="21"/>
              </w:rPr>
              <w:t>H</w:t>
            </w:r>
            <w:r>
              <w:rPr>
                <w:position w:val="-1"/>
                <w:sz w:val="21"/>
                <w:szCs w:val="14"/>
                <w:vertAlign w:val="subscript"/>
              </w:rPr>
              <w:t>2</w:t>
            </w:r>
            <w:r>
              <w:rPr>
                <w:sz w:val="21"/>
                <w:szCs w:val="21"/>
              </w:rPr>
              <w:t>S</w:t>
            </w:r>
          </w:p>
        </w:tc>
        <w:tc>
          <w:tcPr>
            <w:tcW w:w="892" w:type="pct"/>
            <w:tcBorders>
              <w:tl2br w:val="nil"/>
              <w:tr2bl w:val="nil"/>
            </w:tcBorders>
            <w:vAlign w:val="center"/>
          </w:tcPr>
          <w:p w14:paraId="7F8BA360">
            <w:pPr>
              <w:spacing w:line="360" w:lineRule="exact"/>
              <w:ind w:firstLine="0" w:firstLineChars="0"/>
              <w:jc w:val="center"/>
              <w:rPr>
                <w:sz w:val="21"/>
                <w:szCs w:val="21"/>
              </w:rPr>
            </w:pPr>
            <w:r>
              <w:rPr>
                <w:rFonts w:hint="eastAsia"/>
                <w:sz w:val="21"/>
                <w:szCs w:val="21"/>
              </w:rPr>
              <w:t>0.243</w:t>
            </w:r>
            <w:r>
              <w:rPr>
                <w:sz w:val="21"/>
                <w:szCs w:val="21"/>
              </w:rPr>
              <w:t>t/a</w:t>
            </w:r>
          </w:p>
        </w:tc>
        <w:tc>
          <w:tcPr>
            <w:tcW w:w="1851" w:type="pct"/>
            <w:vMerge w:val="continue"/>
            <w:tcBorders>
              <w:tl2br w:val="nil"/>
              <w:tr2bl w:val="nil"/>
            </w:tcBorders>
            <w:vAlign w:val="center"/>
          </w:tcPr>
          <w:p w14:paraId="2B07A95D">
            <w:pPr>
              <w:spacing w:line="360" w:lineRule="exact"/>
              <w:ind w:firstLine="0" w:firstLineChars="0"/>
              <w:jc w:val="center"/>
              <w:rPr>
                <w:sz w:val="21"/>
              </w:rPr>
            </w:pPr>
          </w:p>
        </w:tc>
        <w:tc>
          <w:tcPr>
            <w:tcW w:w="672" w:type="pct"/>
            <w:tcBorders>
              <w:tl2br w:val="nil"/>
              <w:tr2bl w:val="nil"/>
            </w:tcBorders>
            <w:vAlign w:val="center"/>
          </w:tcPr>
          <w:p w14:paraId="5FF928A1">
            <w:pPr>
              <w:spacing w:line="360" w:lineRule="exact"/>
              <w:ind w:firstLine="0" w:firstLineChars="0"/>
              <w:jc w:val="center"/>
              <w:rPr>
                <w:sz w:val="21"/>
                <w:szCs w:val="21"/>
              </w:rPr>
            </w:pPr>
            <w:r>
              <w:rPr>
                <w:rFonts w:hint="eastAsia"/>
                <w:sz w:val="21"/>
                <w:szCs w:val="21"/>
              </w:rPr>
              <w:t>0.012</w:t>
            </w:r>
            <w:r>
              <w:rPr>
                <w:sz w:val="21"/>
                <w:szCs w:val="21"/>
              </w:rPr>
              <w:t>t/a</w:t>
            </w:r>
          </w:p>
        </w:tc>
      </w:tr>
      <w:tr w14:paraId="4A168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1" w:type="pct"/>
            <w:vMerge w:val="continue"/>
            <w:tcBorders>
              <w:tl2br w:val="nil"/>
              <w:tr2bl w:val="nil"/>
            </w:tcBorders>
            <w:textDirection w:val="tbRlV"/>
            <w:vAlign w:val="center"/>
          </w:tcPr>
          <w:p w14:paraId="1B453140">
            <w:pPr>
              <w:spacing w:line="360" w:lineRule="exact"/>
              <w:ind w:firstLine="0" w:firstLineChars="0"/>
              <w:jc w:val="center"/>
              <w:rPr>
                <w:sz w:val="21"/>
              </w:rPr>
            </w:pPr>
          </w:p>
        </w:tc>
        <w:tc>
          <w:tcPr>
            <w:tcW w:w="568" w:type="pct"/>
            <w:vMerge w:val="restart"/>
            <w:tcBorders>
              <w:tl2br w:val="nil"/>
              <w:tr2bl w:val="nil"/>
            </w:tcBorders>
            <w:vAlign w:val="center"/>
          </w:tcPr>
          <w:p w14:paraId="487F1494">
            <w:pPr>
              <w:spacing w:line="360" w:lineRule="exact"/>
              <w:ind w:firstLine="0" w:firstLineChars="0"/>
              <w:jc w:val="center"/>
              <w:rPr>
                <w:sz w:val="21"/>
              </w:rPr>
            </w:pPr>
            <w:r>
              <w:rPr>
                <w:rFonts w:hint="eastAsia"/>
                <w:sz w:val="21"/>
              </w:rPr>
              <w:t>堆肥场</w:t>
            </w:r>
          </w:p>
        </w:tc>
        <w:tc>
          <w:tcPr>
            <w:tcW w:w="763" w:type="pct"/>
            <w:tcBorders>
              <w:tl2br w:val="nil"/>
              <w:tr2bl w:val="nil"/>
            </w:tcBorders>
            <w:vAlign w:val="center"/>
          </w:tcPr>
          <w:p w14:paraId="4E4551AC">
            <w:pPr>
              <w:spacing w:line="360" w:lineRule="exact"/>
              <w:ind w:firstLine="0" w:firstLineChars="0"/>
              <w:jc w:val="center"/>
              <w:rPr>
                <w:sz w:val="21"/>
                <w:szCs w:val="21"/>
              </w:rPr>
            </w:pPr>
            <w:r>
              <w:rPr>
                <w:sz w:val="21"/>
                <w:szCs w:val="21"/>
              </w:rPr>
              <w:t>NH</w:t>
            </w:r>
            <w:r>
              <w:rPr>
                <w:position w:val="-1"/>
                <w:sz w:val="21"/>
                <w:szCs w:val="14"/>
                <w:vertAlign w:val="subscript"/>
              </w:rPr>
              <w:t>3</w:t>
            </w:r>
          </w:p>
        </w:tc>
        <w:tc>
          <w:tcPr>
            <w:tcW w:w="892" w:type="pct"/>
            <w:tcBorders>
              <w:tl2br w:val="nil"/>
              <w:tr2bl w:val="nil"/>
            </w:tcBorders>
            <w:vAlign w:val="center"/>
          </w:tcPr>
          <w:p w14:paraId="545B2081">
            <w:pPr>
              <w:spacing w:line="360" w:lineRule="exact"/>
              <w:ind w:firstLine="0" w:firstLineChars="0"/>
              <w:jc w:val="center"/>
              <w:rPr>
                <w:sz w:val="21"/>
                <w:szCs w:val="21"/>
              </w:rPr>
            </w:pPr>
            <w:r>
              <w:rPr>
                <w:rFonts w:hint="eastAsia"/>
                <w:sz w:val="21"/>
                <w:szCs w:val="21"/>
              </w:rPr>
              <w:t>9kg/a</w:t>
            </w:r>
          </w:p>
        </w:tc>
        <w:tc>
          <w:tcPr>
            <w:tcW w:w="1851" w:type="pct"/>
            <w:vMerge w:val="restart"/>
            <w:tcBorders>
              <w:tl2br w:val="nil"/>
              <w:tr2bl w:val="nil"/>
            </w:tcBorders>
            <w:vAlign w:val="center"/>
          </w:tcPr>
          <w:p w14:paraId="46FAD9B7">
            <w:pPr>
              <w:spacing w:line="360" w:lineRule="exact"/>
              <w:ind w:firstLine="0" w:firstLineChars="0"/>
              <w:jc w:val="center"/>
              <w:rPr>
                <w:sz w:val="21"/>
              </w:rPr>
            </w:pPr>
            <w:r>
              <w:rPr>
                <w:rFonts w:hint="eastAsia"/>
                <w:sz w:val="21"/>
              </w:rPr>
              <w:t>种植树木，喷洒除臭剂</w:t>
            </w:r>
          </w:p>
        </w:tc>
        <w:tc>
          <w:tcPr>
            <w:tcW w:w="672" w:type="pct"/>
            <w:tcBorders>
              <w:tl2br w:val="nil"/>
              <w:tr2bl w:val="nil"/>
            </w:tcBorders>
            <w:vAlign w:val="center"/>
          </w:tcPr>
          <w:p w14:paraId="207F2E0E">
            <w:pPr>
              <w:spacing w:line="360" w:lineRule="exact"/>
              <w:ind w:firstLine="0" w:firstLineChars="0"/>
              <w:jc w:val="center"/>
              <w:rPr>
                <w:sz w:val="21"/>
                <w:szCs w:val="21"/>
              </w:rPr>
            </w:pPr>
            <w:r>
              <w:rPr>
                <w:rFonts w:hint="eastAsia"/>
                <w:sz w:val="21"/>
                <w:szCs w:val="21"/>
              </w:rPr>
              <w:t>3.6kg/a</w:t>
            </w:r>
          </w:p>
        </w:tc>
      </w:tr>
      <w:tr w14:paraId="5542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1" w:type="pct"/>
            <w:vMerge w:val="continue"/>
            <w:tcBorders>
              <w:tl2br w:val="nil"/>
              <w:tr2bl w:val="nil"/>
            </w:tcBorders>
            <w:textDirection w:val="tbRlV"/>
            <w:vAlign w:val="center"/>
          </w:tcPr>
          <w:p w14:paraId="5DBDF2EC">
            <w:pPr>
              <w:spacing w:line="360" w:lineRule="exact"/>
              <w:ind w:firstLine="0" w:firstLineChars="0"/>
              <w:jc w:val="center"/>
              <w:rPr>
                <w:sz w:val="21"/>
              </w:rPr>
            </w:pPr>
          </w:p>
        </w:tc>
        <w:tc>
          <w:tcPr>
            <w:tcW w:w="568" w:type="pct"/>
            <w:vMerge w:val="continue"/>
            <w:tcBorders>
              <w:tl2br w:val="nil"/>
              <w:tr2bl w:val="nil"/>
            </w:tcBorders>
            <w:vAlign w:val="center"/>
          </w:tcPr>
          <w:p w14:paraId="5B1D26E4">
            <w:pPr>
              <w:spacing w:line="360" w:lineRule="exact"/>
              <w:ind w:firstLine="0" w:firstLineChars="0"/>
              <w:jc w:val="center"/>
              <w:rPr>
                <w:sz w:val="21"/>
              </w:rPr>
            </w:pPr>
          </w:p>
        </w:tc>
        <w:tc>
          <w:tcPr>
            <w:tcW w:w="763" w:type="pct"/>
            <w:tcBorders>
              <w:tl2br w:val="nil"/>
              <w:tr2bl w:val="nil"/>
            </w:tcBorders>
            <w:vAlign w:val="center"/>
          </w:tcPr>
          <w:p w14:paraId="0869ECE5">
            <w:pPr>
              <w:spacing w:line="360" w:lineRule="exact"/>
              <w:ind w:firstLine="0" w:firstLineChars="0"/>
              <w:jc w:val="center"/>
              <w:rPr>
                <w:sz w:val="21"/>
                <w:szCs w:val="21"/>
              </w:rPr>
            </w:pPr>
            <w:r>
              <w:rPr>
                <w:sz w:val="21"/>
                <w:szCs w:val="21"/>
              </w:rPr>
              <w:t>H</w:t>
            </w:r>
            <w:r>
              <w:rPr>
                <w:position w:val="-1"/>
                <w:sz w:val="21"/>
                <w:szCs w:val="14"/>
                <w:vertAlign w:val="subscript"/>
              </w:rPr>
              <w:t>2</w:t>
            </w:r>
            <w:r>
              <w:rPr>
                <w:sz w:val="21"/>
                <w:szCs w:val="21"/>
              </w:rPr>
              <w:t>S</w:t>
            </w:r>
          </w:p>
        </w:tc>
        <w:tc>
          <w:tcPr>
            <w:tcW w:w="892" w:type="pct"/>
            <w:tcBorders>
              <w:tl2br w:val="nil"/>
              <w:tr2bl w:val="nil"/>
            </w:tcBorders>
            <w:vAlign w:val="center"/>
          </w:tcPr>
          <w:p w14:paraId="62B1CE87">
            <w:pPr>
              <w:spacing w:line="360" w:lineRule="exact"/>
              <w:ind w:firstLine="0" w:firstLineChars="0"/>
              <w:jc w:val="center"/>
              <w:rPr>
                <w:sz w:val="21"/>
                <w:szCs w:val="21"/>
              </w:rPr>
            </w:pPr>
            <w:r>
              <w:rPr>
                <w:rFonts w:hint="eastAsia"/>
                <w:sz w:val="21"/>
                <w:szCs w:val="21"/>
              </w:rPr>
              <w:t>0.216kg/a</w:t>
            </w:r>
          </w:p>
        </w:tc>
        <w:tc>
          <w:tcPr>
            <w:tcW w:w="1851" w:type="pct"/>
            <w:vMerge w:val="continue"/>
            <w:tcBorders>
              <w:tl2br w:val="nil"/>
              <w:tr2bl w:val="nil"/>
            </w:tcBorders>
            <w:vAlign w:val="center"/>
          </w:tcPr>
          <w:p w14:paraId="5A4CF9DE">
            <w:pPr>
              <w:spacing w:line="360" w:lineRule="exact"/>
              <w:ind w:firstLine="0" w:firstLineChars="0"/>
              <w:jc w:val="center"/>
              <w:rPr>
                <w:sz w:val="21"/>
              </w:rPr>
            </w:pPr>
          </w:p>
        </w:tc>
        <w:tc>
          <w:tcPr>
            <w:tcW w:w="672" w:type="pct"/>
            <w:tcBorders>
              <w:tl2br w:val="nil"/>
              <w:tr2bl w:val="nil"/>
            </w:tcBorders>
            <w:vAlign w:val="center"/>
          </w:tcPr>
          <w:p w14:paraId="561A97E8">
            <w:pPr>
              <w:spacing w:line="360" w:lineRule="exact"/>
              <w:ind w:firstLine="0" w:firstLineChars="0"/>
              <w:jc w:val="center"/>
              <w:rPr>
                <w:sz w:val="21"/>
                <w:szCs w:val="21"/>
              </w:rPr>
            </w:pPr>
            <w:r>
              <w:rPr>
                <w:rFonts w:hint="eastAsia"/>
                <w:sz w:val="21"/>
                <w:szCs w:val="21"/>
              </w:rPr>
              <w:t>0.086kg/a</w:t>
            </w:r>
          </w:p>
        </w:tc>
      </w:tr>
      <w:tr w14:paraId="11FE1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51" w:type="pct"/>
            <w:vMerge w:val="restart"/>
            <w:tcBorders>
              <w:tl2br w:val="nil"/>
              <w:tr2bl w:val="nil"/>
            </w:tcBorders>
            <w:textDirection w:val="tbRlV"/>
            <w:vAlign w:val="center"/>
          </w:tcPr>
          <w:p w14:paraId="75130A91">
            <w:pPr>
              <w:spacing w:line="360" w:lineRule="exact"/>
              <w:ind w:firstLine="0" w:firstLineChars="0"/>
              <w:jc w:val="center"/>
              <w:rPr>
                <w:rFonts w:cs="宋体"/>
                <w:sz w:val="21"/>
                <w:szCs w:val="21"/>
              </w:rPr>
            </w:pPr>
            <w:r>
              <w:rPr>
                <w:rFonts w:cs="宋体"/>
                <w:sz w:val="21"/>
                <w:szCs w:val="21"/>
              </w:rPr>
              <w:t>废水</w:t>
            </w:r>
          </w:p>
        </w:tc>
        <w:tc>
          <w:tcPr>
            <w:tcW w:w="568" w:type="pct"/>
            <w:tcBorders>
              <w:tl2br w:val="nil"/>
              <w:tr2bl w:val="nil"/>
            </w:tcBorders>
            <w:vAlign w:val="center"/>
          </w:tcPr>
          <w:p w14:paraId="76894100">
            <w:pPr>
              <w:spacing w:line="360" w:lineRule="exact"/>
              <w:ind w:firstLine="0" w:firstLineChars="0"/>
              <w:jc w:val="center"/>
              <w:rPr>
                <w:rFonts w:cs="宋体"/>
                <w:sz w:val="21"/>
                <w:szCs w:val="21"/>
              </w:rPr>
            </w:pPr>
            <w:r>
              <w:rPr>
                <w:rFonts w:cs="宋体"/>
                <w:sz w:val="21"/>
                <w:szCs w:val="21"/>
              </w:rPr>
              <w:t>生活办公区</w:t>
            </w:r>
          </w:p>
        </w:tc>
        <w:tc>
          <w:tcPr>
            <w:tcW w:w="763" w:type="pct"/>
            <w:tcBorders>
              <w:tl2br w:val="nil"/>
              <w:tr2bl w:val="nil"/>
            </w:tcBorders>
            <w:vAlign w:val="center"/>
          </w:tcPr>
          <w:p w14:paraId="0A8FA599">
            <w:pPr>
              <w:spacing w:line="360" w:lineRule="exact"/>
              <w:ind w:firstLine="0" w:firstLineChars="0"/>
              <w:jc w:val="center"/>
              <w:rPr>
                <w:rFonts w:cs="宋体"/>
                <w:sz w:val="21"/>
                <w:szCs w:val="21"/>
              </w:rPr>
            </w:pPr>
            <w:r>
              <w:rPr>
                <w:rFonts w:cs="宋体"/>
                <w:sz w:val="21"/>
                <w:szCs w:val="21"/>
              </w:rPr>
              <w:t>生活污水</w:t>
            </w:r>
          </w:p>
        </w:tc>
        <w:tc>
          <w:tcPr>
            <w:tcW w:w="892" w:type="pct"/>
            <w:tcBorders>
              <w:tl2br w:val="nil"/>
              <w:tr2bl w:val="nil"/>
            </w:tcBorders>
            <w:vAlign w:val="center"/>
          </w:tcPr>
          <w:p w14:paraId="43D09727">
            <w:pPr>
              <w:spacing w:line="360" w:lineRule="exact"/>
              <w:ind w:firstLine="0" w:firstLineChars="0"/>
              <w:jc w:val="center"/>
              <w:rPr>
                <w:sz w:val="21"/>
                <w:szCs w:val="21"/>
              </w:rPr>
            </w:pPr>
            <w:r>
              <w:rPr>
                <w:sz w:val="21"/>
                <w:szCs w:val="21"/>
              </w:rPr>
              <w:t>467.2</w:t>
            </w:r>
            <w:r>
              <w:rPr>
                <w:rFonts w:hint="eastAsia"/>
                <w:sz w:val="21"/>
                <w:szCs w:val="21"/>
              </w:rPr>
              <w:t>m</w:t>
            </w:r>
            <w:r>
              <w:rPr>
                <w:rFonts w:hint="eastAsia"/>
                <w:sz w:val="21"/>
                <w:szCs w:val="21"/>
                <w:vertAlign w:val="superscript"/>
              </w:rPr>
              <w:t>3</w:t>
            </w:r>
            <w:r>
              <w:rPr>
                <w:sz w:val="21"/>
                <w:szCs w:val="21"/>
              </w:rPr>
              <w:t>/a</w:t>
            </w:r>
          </w:p>
        </w:tc>
        <w:tc>
          <w:tcPr>
            <w:tcW w:w="1851" w:type="pct"/>
            <w:vMerge w:val="restart"/>
            <w:tcBorders>
              <w:tl2br w:val="nil"/>
              <w:tr2bl w:val="nil"/>
            </w:tcBorders>
            <w:vAlign w:val="center"/>
          </w:tcPr>
          <w:p w14:paraId="34439254">
            <w:pPr>
              <w:spacing w:line="360" w:lineRule="exact"/>
              <w:ind w:firstLine="0" w:firstLineChars="0"/>
              <w:jc w:val="center"/>
              <w:rPr>
                <w:rFonts w:cs="宋体"/>
                <w:sz w:val="21"/>
                <w:szCs w:val="21"/>
              </w:rPr>
            </w:pPr>
            <w:r>
              <w:rPr>
                <w:rFonts w:hint="eastAsia" w:cs="宋体"/>
                <w:sz w:val="21"/>
                <w:szCs w:val="21"/>
              </w:rPr>
              <w:t>排入防渗化粪池，由木垒县污水处理厂处理</w:t>
            </w:r>
            <w:r>
              <w:rPr>
                <w:rFonts w:cs="宋体"/>
                <w:sz w:val="21"/>
                <w:szCs w:val="21"/>
              </w:rPr>
              <w:t>，最终进入污水处理厂</w:t>
            </w:r>
          </w:p>
        </w:tc>
        <w:tc>
          <w:tcPr>
            <w:tcW w:w="672" w:type="pct"/>
            <w:tcBorders>
              <w:tl2br w:val="nil"/>
              <w:tr2bl w:val="nil"/>
            </w:tcBorders>
            <w:vAlign w:val="center"/>
          </w:tcPr>
          <w:p w14:paraId="1F516E38">
            <w:pPr>
              <w:spacing w:line="360" w:lineRule="exact"/>
              <w:ind w:firstLine="0" w:firstLineChars="0"/>
              <w:jc w:val="center"/>
              <w:rPr>
                <w:sz w:val="21"/>
                <w:szCs w:val="21"/>
              </w:rPr>
            </w:pPr>
            <w:r>
              <w:rPr>
                <w:sz w:val="21"/>
                <w:szCs w:val="21"/>
              </w:rPr>
              <w:t>467.2</w:t>
            </w:r>
            <w:r>
              <w:rPr>
                <w:rFonts w:hint="eastAsia"/>
                <w:sz w:val="21"/>
                <w:szCs w:val="21"/>
              </w:rPr>
              <w:t>m</w:t>
            </w:r>
            <w:r>
              <w:rPr>
                <w:rFonts w:hint="eastAsia"/>
                <w:sz w:val="21"/>
                <w:szCs w:val="21"/>
                <w:vertAlign w:val="superscript"/>
              </w:rPr>
              <w:t>3</w:t>
            </w:r>
            <w:r>
              <w:rPr>
                <w:sz w:val="21"/>
                <w:szCs w:val="21"/>
              </w:rPr>
              <w:t>/a</w:t>
            </w:r>
          </w:p>
        </w:tc>
      </w:tr>
      <w:tr w14:paraId="5BA41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51" w:type="pct"/>
            <w:vMerge w:val="continue"/>
            <w:tcBorders>
              <w:tl2br w:val="nil"/>
              <w:tr2bl w:val="nil"/>
            </w:tcBorders>
            <w:textDirection w:val="tbRlV"/>
            <w:vAlign w:val="center"/>
          </w:tcPr>
          <w:p w14:paraId="7957BAC2">
            <w:pPr>
              <w:spacing w:line="360" w:lineRule="exact"/>
              <w:ind w:firstLine="0" w:firstLineChars="0"/>
              <w:jc w:val="center"/>
              <w:rPr>
                <w:rFonts w:cs="宋体"/>
                <w:sz w:val="21"/>
                <w:szCs w:val="21"/>
              </w:rPr>
            </w:pPr>
          </w:p>
        </w:tc>
        <w:tc>
          <w:tcPr>
            <w:tcW w:w="568" w:type="pct"/>
            <w:tcBorders>
              <w:tl2br w:val="nil"/>
              <w:tr2bl w:val="nil"/>
            </w:tcBorders>
            <w:vAlign w:val="center"/>
          </w:tcPr>
          <w:p w14:paraId="314E2F80">
            <w:pPr>
              <w:spacing w:line="360" w:lineRule="exact"/>
              <w:ind w:firstLine="0" w:firstLineChars="0"/>
              <w:jc w:val="center"/>
              <w:rPr>
                <w:rFonts w:hint="eastAsia" w:eastAsia="宋体" w:cs="宋体"/>
                <w:sz w:val="21"/>
                <w:szCs w:val="21"/>
                <w:lang w:val="en-US" w:eastAsia="zh-CN"/>
              </w:rPr>
            </w:pPr>
            <w:r>
              <w:rPr>
                <w:rFonts w:hint="eastAsia" w:cs="宋体"/>
                <w:sz w:val="21"/>
                <w:szCs w:val="21"/>
                <w:lang w:val="en-US" w:eastAsia="zh-CN"/>
              </w:rPr>
              <w:t>堆肥场</w:t>
            </w:r>
          </w:p>
        </w:tc>
        <w:tc>
          <w:tcPr>
            <w:tcW w:w="763" w:type="pct"/>
            <w:tcBorders>
              <w:tl2br w:val="nil"/>
              <w:tr2bl w:val="nil"/>
            </w:tcBorders>
            <w:vAlign w:val="center"/>
          </w:tcPr>
          <w:p w14:paraId="6AB96C01">
            <w:pPr>
              <w:spacing w:line="360" w:lineRule="exact"/>
              <w:ind w:firstLine="0" w:firstLineChars="0"/>
              <w:jc w:val="center"/>
              <w:rPr>
                <w:rFonts w:hint="eastAsia" w:eastAsia="宋体" w:cs="宋体"/>
                <w:sz w:val="21"/>
                <w:szCs w:val="21"/>
                <w:lang w:val="en-US" w:eastAsia="zh-CN"/>
              </w:rPr>
            </w:pPr>
            <w:r>
              <w:rPr>
                <w:rFonts w:hint="eastAsia" w:cs="宋体"/>
                <w:sz w:val="21"/>
                <w:szCs w:val="21"/>
                <w:lang w:val="en-US" w:eastAsia="zh-CN"/>
              </w:rPr>
              <w:t>渗滤液</w:t>
            </w:r>
          </w:p>
        </w:tc>
        <w:tc>
          <w:tcPr>
            <w:tcW w:w="892" w:type="pct"/>
            <w:tcBorders>
              <w:tl2br w:val="nil"/>
              <w:tr2bl w:val="nil"/>
            </w:tcBorders>
            <w:vAlign w:val="center"/>
          </w:tcPr>
          <w:p w14:paraId="21E9B90B">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21.6t/a</w:t>
            </w:r>
          </w:p>
        </w:tc>
        <w:tc>
          <w:tcPr>
            <w:tcW w:w="1851" w:type="pct"/>
            <w:vMerge w:val="continue"/>
            <w:tcBorders>
              <w:tl2br w:val="nil"/>
              <w:tr2bl w:val="nil"/>
            </w:tcBorders>
            <w:vAlign w:val="center"/>
          </w:tcPr>
          <w:p w14:paraId="1FEDFB3D">
            <w:pPr>
              <w:spacing w:line="360" w:lineRule="exact"/>
              <w:ind w:firstLine="0" w:firstLineChars="0"/>
              <w:jc w:val="center"/>
              <w:rPr>
                <w:rFonts w:hint="eastAsia" w:cs="宋体"/>
                <w:sz w:val="21"/>
                <w:szCs w:val="21"/>
              </w:rPr>
            </w:pPr>
          </w:p>
        </w:tc>
        <w:tc>
          <w:tcPr>
            <w:tcW w:w="672" w:type="pct"/>
            <w:tcBorders>
              <w:tl2br w:val="nil"/>
              <w:tr2bl w:val="nil"/>
            </w:tcBorders>
            <w:vAlign w:val="center"/>
          </w:tcPr>
          <w:p w14:paraId="36283CB4">
            <w:pPr>
              <w:spacing w:line="360" w:lineRule="exact"/>
              <w:ind w:firstLine="0" w:firstLineChars="0"/>
              <w:jc w:val="center"/>
              <w:rPr>
                <w:rFonts w:hint="default" w:eastAsia="宋体"/>
                <w:sz w:val="21"/>
                <w:szCs w:val="21"/>
                <w:lang w:val="en-US" w:eastAsia="zh-CN"/>
              </w:rPr>
            </w:pPr>
            <w:r>
              <w:rPr>
                <w:rFonts w:hint="eastAsia"/>
                <w:sz w:val="21"/>
                <w:szCs w:val="21"/>
                <w:lang w:val="en-US" w:eastAsia="zh-CN"/>
              </w:rPr>
              <w:t>21.6t/a</w:t>
            </w:r>
          </w:p>
        </w:tc>
      </w:tr>
      <w:tr w14:paraId="035F1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51" w:type="pct"/>
            <w:vMerge w:val="restart"/>
            <w:tcBorders>
              <w:tl2br w:val="nil"/>
              <w:tr2bl w:val="nil"/>
            </w:tcBorders>
            <w:vAlign w:val="center"/>
          </w:tcPr>
          <w:p w14:paraId="5C78CB09">
            <w:pPr>
              <w:spacing w:line="360" w:lineRule="exact"/>
              <w:ind w:firstLine="0" w:firstLineChars="0"/>
              <w:jc w:val="center"/>
              <w:rPr>
                <w:rFonts w:cs="宋体"/>
                <w:sz w:val="21"/>
                <w:szCs w:val="21"/>
              </w:rPr>
            </w:pPr>
            <w:r>
              <w:rPr>
                <w:rFonts w:cs="宋体"/>
                <w:sz w:val="21"/>
                <w:szCs w:val="21"/>
              </w:rPr>
              <w:t>固体废物</w:t>
            </w:r>
          </w:p>
        </w:tc>
        <w:tc>
          <w:tcPr>
            <w:tcW w:w="568" w:type="pct"/>
            <w:tcBorders>
              <w:tl2br w:val="nil"/>
              <w:tr2bl w:val="nil"/>
            </w:tcBorders>
            <w:vAlign w:val="center"/>
          </w:tcPr>
          <w:p w14:paraId="2111F688">
            <w:pPr>
              <w:spacing w:line="360" w:lineRule="exact"/>
              <w:ind w:firstLine="0" w:firstLineChars="0"/>
              <w:jc w:val="center"/>
              <w:rPr>
                <w:rFonts w:cs="宋体"/>
                <w:sz w:val="21"/>
                <w:szCs w:val="21"/>
              </w:rPr>
            </w:pPr>
            <w:r>
              <w:rPr>
                <w:rFonts w:cs="宋体"/>
                <w:sz w:val="21"/>
                <w:szCs w:val="21"/>
              </w:rPr>
              <w:t>圈舍</w:t>
            </w:r>
          </w:p>
        </w:tc>
        <w:tc>
          <w:tcPr>
            <w:tcW w:w="763" w:type="pct"/>
            <w:tcBorders>
              <w:tl2br w:val="nil"/>
              <w:tr2bl w:val="nil"/>
            </w:tcBorders>
            <w:vAlign w:val="center"/>
          </w:tcPr>
          <w:p w14:paraId="492B8637">
            <w:pPr>
              <w:spacing w:line="360" w:lineRule="exact"/>
              <w:ind w:firstLine="0" w:firstLineChars="0"/>
              <w:jc w:val="center"/>
              <w:rPr>
                <w:rFonts w:cs="宋体"/>
                <w:sz w:val="21"/>
                <w:szCs w:val="21"/>
              </w:rPr>
            </w:pPr>
            <w:r>
              <w:rPr>
                <w:rFonts w:hint="eastAsia" w:cs="宋体"/>
                <w:sz w:val="21"/>
                <w:szCs w:val="21"/>
              </w:rPr>
              <w:t>骆驼粪便</w:t>
            </w:r>
          </w:p>
        </w:tc>
        <w:tc>
          <w:tcPr>
            <w:tcW w:w="892" w:type="pct"/>
            <w:tcBorders>
              <w:tl2br w:val="nil"/>
              <w:tr2bl w:val="nil"/>
            </w:tcBorders>
            <w:vAlign w:val="center"/>
          </w:tcPr>
          <w:p w14:paraId="25C8B869">
            <w:pPr>
              <w:spacing w:line="360" w:lineRule="exact"/>
              <w:ind w:firstLine="0" w:firstLineChars="0"/>
              <w:jc w:val="center"/>
              <w:rPr>
                <w:sz w:val="21"/>
                <w:szCs w:val="21"/>
              </w:rPr>
            </w:pPr>
            <w:r>
              <w:rPr>
                <w:rFonts w:hint="eastAsia"/>
                <w:sz w:val="21"/>
                <w:szCs w:val="21"/>
              </w:rPr>
              <w:t>4.464</w:t>
            </w:r>
            <w:r>
              <w:rPr>
                <w:sz w:val="21"/>
                <w:szCs w:val="21"/>
              </w:rPr>
              <w:t>t/d</w:t>
            </w:r>
          </w:p>
        </w:tc>
        <w:tc>
          <w:tcPr>
            <w:tcW w:w="1851" w:type="pct"/>
            <w:tcBorders>
              <w:tl2br w:val="nil"/>
              <w:tr2bl w:val="nil"/>
            </w:tcBorders>
            <w:vAlign w:val="center"/>
          </w:tcPr>
          <w:p w14:paraId="2057521D">
            <w:pPr>
              <w:spacing w:line="360" w:lineRule="exact"/>
              <w:ind w:firstLine="0" w:firstLineChars="0"/>
              <w:jc w:val="center"/>
              <w:rPr>
                <w:rFonts w:cs="宋体"/>
                <w:sz w:val="21"/>
                <w:szCs w:val="21"/>
              </w:rPr>
            </w:pPr>
            <w:r>
              <w:rPr>
                <w:rFonts w:cs="宋体"/>
                <w:sz w:val="21"/>
                <w:szCs w:val="21"/>
              </w:rPr>
              <w:t>清理后外售作为有机肥使用</w:t>
            </w:r>
          </w:p>
        </w:tc>
        <w:tc>
          <w:tcPr>
            <w:tcW w:w="672" w:type="pct"/>
            <w:tcBorders>
              <w:tl2br w:val="nil"/>
              <w:tr2bl w:val="nil"/>
            </w:tcBorders>
            <w:vAlign w:val="center"/>
          </w:tcPr>
          <w:p w14:paraId="50F5DE54">
            <w:pPr>
              <w:spacing w:line="360" w:lineRule="exact"/>
              <w:ind w:firstLine="0" w:firstLineChars="0"/>
              <w:jc w:val="center"/>
              <w:rPr>
                <w:sz w:val="21"/>
                <w:szCs w:val="21"/>
              </w:rPr>
            </w:pPr>
            <w:r>
              <w:rPr>
                <w:rFonts w:hint="eastAsia"/>
                <w:sz w:val="21"/>
                <w:szCs w:val="21"/>
              </w:rPr>
              <w:t>4.464</w:t>
            </w:r>
            <w:r>
              <w:rPr>
                <w:sz w:val="21"/>
                <w:szCs w:val="21"/>
              </w:rPr>
              <w:t>t/d</w:t>
            </w:r>
          </w:p>
        </w:tc>
      </w:tr>
      <w:tr w14:paraId="237E6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0" w:hRule="atLeast"/>
          <w:jc w:val="center"/>
        </w:trPr>
        <w:tc>
          <w:tcPr>
            <w:tcW w:w="251" w:type="pct"/>
            <w:vMerge w:val="continue"/>
            <w:tcBorders>
              <w:tl2br w:val="nil"/>
              <w:tr2bl w:val="nil"/>
            </w:tcBorders>
            <w:textDirection w:val="tbRlV"/>
            <w:vAlign w:val="center"/>
          </w:tcPr>
          <w:p w14:paraId="719EB617">
            <w:pPr>
              <w:spacing w:line="360" w:lineRule="exact"/>
              <w:ind w:firstLine="0" w:firstLineChars="0"/>
              <w:jc w:val="center"/>
              <w:rPr>
                <w:sz w:val="21"/>
              </w:rPr>
            </w:pPr>
          </w:p>
        </w:tc>
        <w:tc>
          <w:tcPr>
            <w:tcW w:w="568" w:type="pct"/>
            <w:tcBorders>
              <w:tl2br w:val="nil"/>
              <w:tr2bl w:val="nil"/>
            </w:tcBorders>
            <w:vAlign w:val="center"/>
          </w:tcPr>
          <w:p w14:paraId="70BC882A">
            <w:pPr>
              <w:spacing w:line="360" w:lineRule="exact"/>
              <w:ind w:firstLine="0" w:firstLineChars="0"/>
              <w:jc w:val="center"/>
              <w:rPr>
                <w:rFonts w:cs="宋体"/>
                <w:sz w:val="21"/>
                <w:szCs w:val="21"/>
              </w:rPr>
            </w:pPr>
            <w:r>
              <w:rPr>
                <w:rFonts w:cs="宋体"/>
                <w:sz w:val="21"/>
                <w:szCs w:val="21"/>
              </w:rPr>
              <w:t>养殖区</w:t>
            </w:r>
          </w:p>
        </w:tc>
        <w:tc>
          <w:tcPr>
            <w:tcW w:w="763" w:type="pct"/>
            <w:tcBorders>
              <w:tl2br w:val="nil"/>
              <w:tr2bl w:val="nil"/>
            </w:tcBorders>
            <w:vAlign w:val="center"/>
          </w:tcPr>
          <w:p w14:paraId="0BC09E2F">
            <w:pPr>
              <w:spacing w:line="360" w:lineRule="exact"/>
              <w:ind w:firstLine="0" w:firstLineChars="0"/>
              <w:jc w:val="center"/>
              <w:rPr>
                <w:rFonts w:cs="宋体"/>
                <w:sz w:val="21"/>
                <w:szCs w:val="21"/>
              </w:rPr>
            </w:pPr>
            <w:r>
              <w:rPr>
                <w:rFonts w:cs="宋体"/>
                <w:sz w:val="21"/>
                <w:szCs w:val="21"/>
              </w:rPr>
              <w:t>病死</w:t>
            </w:r>
            <w:r>
              <w:rPr>
                <w:rFonts w:hint="eastAsia" w:cs="宋体"/>
                <w:sz w:val="21"/>
                <w:szCs w:val="21"/>
              </w:rPr>
              <w:t>骆驼</w:t>
            </w:r>
          </w:p>
        </w:tc>
        <w:tc>
          <w:tcPr>
            <w:tcW w:w="892" w:type="pct"/>
            <w:tcBorders>
              <w:tl2br w:val="nil"/>
              <w:tr2bl w:val="nil"/>
            </w:tcBorders>
            <w:vAlign w:val="center"/>
          </w:tcPr>
          <w:p w14:paraId="77812C57">
            <w:pPr>
              <w:spacing w:line="360" w:lineRule="exact"/>
              <w:ind w:firstLine="0" w:firstLineChars="0"/>
              <w:jc w:val="center"/>
              <w:rPr>
                <w:sz w:val="21"/>
                <w:szCs w:val="21"/>
              </w:rPr>
            </w:pPr>
            <w:r>
              <w:rPr>
                <w:rFonts w:hint="eastAsia"/>
                <w:sz w:val="21"/>
                <w:szCs w:val="21"/>
              </w:rPr>
              <w:t>2</w:t>
            </w:r>
            <w:r>
              <w:rPr>
                <w:sz w:val="21"/>
                <w:szCs w:val="21"/>
              </w:rPr>
              <w:t>t/a</w:t>
            </w:r>
          </w:p>
        </w:tc>
        <w:tc>
          <w:tcPr>
            <w:tcW w:w="1851" w:type="pct"/>
            <w:tcBorders>
              <w:tl2br w:val="nil"/>
              <w:tr2bl w:val="nil"/>
            </w:tcBorders>
            <w:vAlign w:val="center"/>
          </w:tcPr>
          <w:p w14:paraId="318EF972">
            <w:pPr>
              <w:spacing w:line="360" w:lineRule="exact"/>
              <w:ind w:firstLine="0" w:firstLineChars="0"/>
              <w:jc w:val="center"/>
              <w:rPr>
                <w:rFonts w:cs="宋体"/>
                <w:sz w:val="21"/>
                <w:szCs w:val="21"/>
              </w:rPr>
            </w:pPr>
            <w:r>
              <w:rPr>
                <w:rFonts w:hint="eastAsia" w:cs="宋体"/>
                <w:sz w:val="21"/>
                <w:szCs w:val="21"/>
              </w:rPr>
              <w:t>外委第三方处置</w:t>
            </w:r>
          </w:p>
        </w:tc>
        <w:tc>
          <w:tcPr>
            <w:tcW w:w="672" w:type="pct"/>
            <w:tcBorders>
              <w:tl2br w:val="nil"/>
              <w:tr2bl w:val="nil"/>
            </w:tcBorders>
            <w:vAlign w:val="center"/>
          </w:tcPr>
          <w:p w14:paraId="55045D5C">
            <w:pPr>
              <w:spacing w:line="360" w:lineRule="exact"/>
              <w:ind w:firstLine="0" w:firstLineChars="0"/>
              <w:jc w:val="center"/>
              <w:rPr>
                <w:sz w:val="21"/>
                <w:szCs w:val="21"/>
              </w:rPr>
            </w:pPr>
            <w:r>
              <w:rPr>
                <w:rFonts w:hint="eastAsia"/>
                <w:sz w:val="21"/>
                <w:szCs w:val="21"/>
              </w:rPr>
              <w:t>2</w:t>
            </w:r>
            <w:r>
              <w:rPr>
                <w:sz w:val="21"/>
                <w:szCs w:val="21"/>
              </w:rPr>
              <w:t>t/a</w:t>
            </w:r>
          </w:p>
        </w:tc>
      </w:tr>
      <w:tr w14:paraId="15ED2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251" w:type="pct"/>
            <w:vMerge w:val="continue"/>
            <w:tcBorders>
              <w:tl2br w:val="nil"/>
              <w:tr2bl w:val="nil"/>
            </w:tcBorders>
            <w:textDirection w:val="tbRlV"/>
            <w:vAlign w:val="center"/>
          </w:tcPr>
          <w:p w14:paraId="447C32F8">
            <w:pPr>
              <w:spacing w:line="360" w:lineRule="exact"/>
              <w:ind w:firstLine="0" w:firstLineChars="0"/>
              <w:jc w:val="center"/>
              <w:rPr>
                <w:rFonts w:cs="宋体"/>
                <w:sz w:val="21"/>
                <w:szCs w:val="21"/>
              </w:rPr>
            </w:pPr>
          </w:p>
        </w:tc>
        <w:tc>
          <w:tcPr>
            <w:tcW w:w="568" w:type="pct"/>
            <w:tcBorders>
              <w:tl2br w:val="nil"/>
              <w:tr2bl w:val="nil"/>
            </w:tcBorders>
            <w:vAlign w:val="center"/>
          </w:tcPr>
          <w:p w14:paraId="6BBC2636">
            <w:pPr>
              <w:spacing w:line="360" w:lineRule="exact"/>
              <w:ind w:firstLine="0" w:firstLineChars="0"/>
              <w:jc w:val="center"/>
              <w:rPr>
                <w:rFonts w:cs="宋体"/>
                <w:sz w:val="21"/>
                <w:szCs w:val="21"/>
              </w:rPr>
            </w:pPr>
            <w:r>
              <w:rPr>
                <w:rFonts w:cs="宋体"/>
                <w:sz w:val="21"/>
                <w:szCs w:val="21"/>
              </w:rPr>
              <w:t>兽医站</w:t>
            </w:r>
          </w:p>
        </w:tc>
        <w:tc>
          <w:tcPr>
            <w:tcW w:w="763" w:type="pct"/>
            <w:tcBorders>
              <w:tl2br w:val="nil"/>
              <w:tr2bl w:val="nil"/>
            </w:tcBorders>
            <w:vAlign w:val="center"/>
          </w:tcPr>
          <w:p w14:paraId="2C12E8D1">
            <w:pPr>
              <w:spacing w:line="360" w:lineRule="exact"/>
              <w:ind w:firstLine="0" w:firstLineChars="0"/>
              <w:jc w:val="center"/>
              <w:rPr>
                <w:rFonts w:cs="宋体"/>
                <w:sz w:val="21"/>
                <w:szCs w:val="21"/>
              </w:rPr>
            </w:pPr>
            <w:r>
              <w:rPr>
                <w:rFonts w:cs="宋体"/>
                <w:sz w:val="21"/>
                <w:szCs w:val="21"/>
              </w:rPr>
              <w:t>医疗垃圾</w:t>
            </w:r>
          </w:p>
        </w:tc>
        <w:tc>
          <w:tcPr>
            <w:tcW w:w="892" w:type="pct"/>
            <w:tcBorders>
              <w:tl2br w:val="nil"/>
              <w:tr2bl w:val="nil"/>
            </w:tcBorders>
            <w:vAlign w:val="center"/>
          </w:tcPr>
          <w:p w14:paraId="6C7A75DC">
            <w:pPr>
              <w:spacing w:line="360" w:lineRule="exact"/>
              <w:ind w:firstLine="0" w:firstLineChars="0"/>
              <w:jc w:val="center"/>
              <w:rPr>
                <w:sz w:val="21"/>
                <w:szCs w:val="21"/>
              </w:rPr>
            </w:pPr>
            <w:r>
              <w:rPr>
                <w:sz w:val="21"/>
                <w:szCs w:val="21"/>
              </w:rPr>
              <w:t>0.03t/a</w:t>
            </w:r>
          </w:p>
        </w:tc>
        <w:tc>
          <w:tcPr>
            <w:tcW w:w="1851" w:type="pct"/>
            <w:tcBorders>
              <w:tl2br w:val="nil"/>
              <w:tr2bl w:val="nil"/>
            </w:tcBorders>
            <w:vAlign w:val="center"/>
          </w:tcPr>
          <w:p w14:paraId="31087441">
            <w:pPr>
              <w:spacing w:line="360" w:lineRule="exact"/>
              <w:ind w:firstLine="0" w:firstLineChars="0"/>
              <w:jc w:val="center"/>
              <w:rPr>
                <w:rFonts w:cs="宋体"/>
                <w:sz w:val="21"/>
                <w:szCs w:val="21"/>
              </w:rPr>
            </w:pPr>
            <w:r>
              <w:rPr>
                <w:rFonts w:hint="eastAsia" w:cs="宋体"/>
                <w:sz w:val="21"/>
                <w:szCs w:val="21"/>
              </w:rPr>
              <w:t>由兽医站带走，不在场区暂存</w:t>
            </w:r>
          </w:p>
        </w:tc>
        <w:tc>
          <w:tcPr>
            <w:tcW w:w="672" w:type="pct"/>
            <w:tcBorders>
              <w:tl2br w:val="nil"/>
              <w:tr2bl w:val="nil"/>
            </w:tcBorders>
            <w:vAlign w:val="center"/>
          </w:tcPr>
          <w:p w14:paraId="2C60BADB">
            <w:pPr>
              <w:spacing w:line="360" w:lineRule="exact"/>
              <w:ind w:firstLine="0" w:firstLineChars="0"/>
              <w:jc w:val="center"/>
              <w:rPr>
                <w:sz w:val="21"/>
                <w:szCs w:val="21"/>
              </w:rPr>
            </w:pPr>
            <w:r>
              <w:rPr>
                <w:sz w:val="21"/>
                <w:szCs w:val="21"/>
              </w:rPr>
              <w:t>0.03t/a</w:t>
            </w:r>
          </w:p>
        </w:tc>
      </w:tr>
      <w:tr w14:paraId="69775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1" w:type="pct"/>
            <w:vMerge w:val="continue"/>
            <w:tcBorders>
              <w:tl2br w:val="nil"/>
              <w:tr2bl w:val="nil"/>
            </w:tcBorders>
            <w:textDirection w:val="tbRlV"/>
            <w:vAlign w:val="center"/>
          </w:tcPr>
          <w:p w14:paraId="45850FD4">
            <w:pPr>
              <w:spacing w:line="360" w:lineRule="exact"/>
              <w:ind w:firstLine="0" w:firstLineChars="0"/>
              <w:jc w:val="center"/>
              <w:rPr>
                <w:sz w:val="21"/>
              </w:rPr>
            </w:pPr>
          </w:p>
        </w:tc>
        <w:tc>
          <w:tcPr>
            <w:tcW w:w="568" w:type="pct"/>
            <w:tcBorders>
              <w:tl2br w:val="nil"/>
              <w:tr2bl w:val="nil"/>
            </w:tcBorders>
            <w:vAlign w:val="center"/>
          </w:tcPr>
          <w:p w14:paraId="1CBD033F">
            <w:pPr>
              <w:spacing w:line="360" w:lineRule="exact"/>
              <w:ind w:firstLine="0" w:firstLineChars="0"/>
              <w:jc w:val="center"/>
              <w:rPr>
                <w:rFonts w:cs="宋体"/>
                <w:sz w:val="21"/>
                <w:szCs w:val="21"/>
              </w:rPr>
            </w:pPr>
            <w:r>
              <w:rPr>
                <w:rFonts w:hint="eastAsia" w:cs="宋体"/>
                <w:sz w:val="21"/>
                <w:szCs w:val="21"/>
              </w:rPr>
              <w:t>骆驼圈舍</w:t>
            </w:r>
          </w:p>
        </w:tc>
        <w:tc>
          <w:tcPr>
            <w:tcW w:w="763" w:type="pct"/>
            <w:tcBorders>
              <w:tl2br w:val="nil"/>
              <w:tr2bl w:val="nil"/>
            </w:tcBorders>
            <w:vAlign w:val="center"/>
          </w:tcPr>
          <w:p w14:paraId="1A324974">
            <w:pPr>
              <w:spacing w:line="360" w:lineRule="exact"/>
              <w:ind w:firstLine="0" w:firstLineChars="0"/>
              <w:jc w:val="center"/>
              <w:rPr>
                <w:rFonts w:cs="宋体"/>
                <w:sz w:val="21"/>
                <w:szCs w:val="21"/>
              </w:rPr>
            </w:pPr>
            <w:r>
              <w:rPr>
                <w:rFonts w:cs="宋体"/>
                <w:sz w:val="21"/>
                <w:szCs w:val="21"/>
              </w:rPr>
              <w:t>废包装材料</w:t>
            </w:r>
          </w:p>
        </w:tc>
        <w:tc>
          <w:tcPr>
            <w:tcW w:w="892" w:type="pct"/>
            <w:tcBorders>
              <w:tl2br w:val="nil"/>
              <w:tr2bl w:val="nil"/>
            </w:tcBorders>
            <w:vAlign w:val="center"/>
          </w:tcPr>
          <w:p w14:paraId="16389826">
            <w:pPr>
              <w:spacing w:line="360" w:lineRule="exact"/>
              <w:ind w:firstLine="0" w:firstLineChars="0"/>
              <w:jc w:val="center"/>
              <w:rPr>
                <w:sz w:val="21"/>
                <w:szCs w:val="21"/>
              </w:rPr>
            </w:pPr>
            <w:r>
              <w:rPr>
                <w:sz w:val="21"/>
                <w:szCs w:val="21"/>
              </w:rPr>
              <w:t>1.2t/a</w:t>
            </w:r>
          </w:p>
        </w:tc>
        <w:tc>
          <w:tcPr>
            <w:tcW w:w="1851" w:type="pct"/>
            <w:tcBorders>
              <w:tl2br w:val="nil"/>
              <w:tr2bl w:val="nil"/>
            </w:tcBorders>
            <w:vAlign w:val="center"/>
          </w:tcPr>
          <w:p w14:paraId="14319557">
            <w:pPr>
              <w:spacing w:line="360" w:lineRule="exact"/>
              <w:ind w:firstLine="0" w:firstLineChars="0"/>
              <w:jc w:val="center"/>
              <w:rPr>
                <w:rFonts w:cs="宋体"/>
                <w:sz w:val="21"/>
                <w:szCs w:val="21"/>
              </w:rPr>
            </w:pPr>
            <w:r>
              <w:rPr>
                <w:rFonts w:cs="宋体"/>
                <w:sz w:val="21"/>
                <w:szCs w:val="21"/>
              </w:rPr>
              <w:t>交由废物回收单位处置</w:t>
            </w:r>
          </w:p>
        </w:tc>
        <w:tc>
          <w:tcPr>
            <w:tcW w:w="672" w:type="pct"/>
            <w:tcBorders>
              <w:tl2br w:val="nil"/>
              <w:tr2bl w:val="nil"/>
            </w:tcBorders>
            <w:vAlign w:val="center"/>
          </w:tcPr>
          <w:p w14:paraId="4D3AF289">
            <w:pPr>
              <w:spacing w:line="360" w:lineRule="exact"/>
              <w:ind w:firstLine="0" w:firstLineChars="0"/>
              <w:jc w:val="center"/>
              <w:rPr>
                <w:sz w:val="21"/>
                <w:szCs w:val="21"/>
              </w:rPr>
            </w:pPr>
            <w:r>
              <w:rPr>
                <w:sz w:val="21"/>
                <w:szCs w:val="21"/>
              </w:rPr>
              <w:t>1.2t/a</w:t>
            </w:r>
          </w:p>
        </w:tc>
      </w:tr>
      <w:tr w14:paraId="66D03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251" w:type="pct"/>
            <w:vMerge w:val="continue"/>
            <w:tcBorders>
              <w:tl2br w:val="nil"/>
              <w:tr2bl w:val="nil"/>
            </w:tcBorders>
            <w:textDirection w:val="tbRlV"/>
            <w:vAlign w:val="center"/>
          </w:tcPr>
          <w:p w14:paraId="22C45884">
            <w:pPr>
              <w:spacing w:line="360" w:lineRule="exact"/>
              <w:ind w:firstLine="0" w:firstLineChars="0"/>
              <w:jc w:val="center"/>
              <w:rPr>
                <w:sz w:val="21"/>
              </w:rPr>
            </w:pPr>
          </w:p>
        </w:tc>
        <w:tc>
          <w:tcPr>
            <w:tcW w:w="568" w:type="pct"/>
            <w:tcBorders>
              <w:tl2br w:val="nil"/>
              <w:tr2bl w:val="nil"/>
            </w:tcBorders>
            <w:vAlign w:val="center"/>
          </w:tcPr>
          <w:p w14:paraId="6184815D">
            <w:pPr>
              <w:spacing w:line="360" w:lineRule="exact"/>
              <w:ind w:firstLine="0" w:firstLineChars="0"/>
              <w:jc w:val="center"/>
              <w:rPr>
                <w:rFonts w:cs="宋体"/>
                <w:sz w:val="21"/>
                <w:szCs w:val="21"/>
              </w:rPr>
            </w:pPr>
            <w:r>
              <w:rPr>
                <w:rFonts w:cs="宋体"/>
                <w:sz w:val="21"/>
                <w:szCs w:val="21"/>
              </w:rPr>
              <w:t>生活办公区</w:t>
            </w:r>
          </w:p>
        </w:tc>
        <w:tc>
          <w:tcPr>
            <w:tcW w:w="763" w:type="pct"/>
            <w:tcBorders>
              <w:tl2br w:val="nil"/>
              <w:tr2bl w:val="nil"/>
            </w:tcBorders>
            <w:vAlign w:val="center"/>
          </w:tcPr>
          <w:p w14:paraId="3363BC94">
            <w:pPr>
              <w:spacing w:line="360" w:lineRule="exact"/>
              <w:ind w:firstLine="0" w:firstLineChars="0"/>
              <w:jc w:val="center"/>
              <w:rPr>
                <w:rFonts w:cs="宋体"/>
                <w:sz w:val="21"/>
                <w:szCs w:val="21"/>
              </w:rPr>
            </w:pPr>
            <w:r>
              <w:rPr>
                <w:rFonts w:cs="宋体"/>
                <w:sz w:val="21"/>
                <w:szCs w:val="21"/>
              </w:rPr>
              <w:t>生活垃圾</w:t>
            </w:r>
          </w:p>
        </w:tc>
        <w:tc>
          <w:tcPr>
            <w:tcW w:w="892" w:type="pct"/>
            <w:tcBorders>
              <w:tl2br w:val="nil"/>
              <w:tr2bl w:val="nil"/>
            </w:tcBorders>
            <w:vAlign w:val="center"/>
          </w:tcPr>
          <w:p w14:paraId="144653E8">
            <w:pPr>
              <w:spacing w:line="360" w:lineRule="exact"/>
              <w:ind w:firstLine="0" w:firstLineChars="0"/>
              <w:jc w:val="center"/>
              <w:rPr>
                <w:sz w:val="21"/>
                <w:szCs w:val="21"/>
              </w:rPr>
            </w:pPr>
            <w:r>
              <w:rPr>
                <w:sz w:val="21"/>
                <w:szCs w:val="21"/>
              </w:rPr>
              <w:t>3.65t/a</w:t>
            </w:r>
          </w:p>
        </w:tc>
        <w:tc>
          <w:tcPr>
            <w:tcW w:w="1851" w:type="pct"/>
            <w:tcBorders>
              <w:tl2br w:val="nil"/>
              <w:tr2bl w:val="nil"/>
            </w:tcBorders>
            <w:vAlign w:val="center"/>
          </w:tcPr>
          <w:p w14:paraId="690DB276">
            <w:pPr>
              <w:spacing w:line="360" w:lineRule="exact"/>
              <w:ind w:firstLine="0" w:firstLineChars="0"/>
              <w:jc w:val="center"/>
              <w:rPr>
                <w:rFonts w:cs="宋体"/>
                <w:sz w:val="21"/>
                <w:szCs w:val="21"/>
              </w:rPr>
            </w:pPr>
            <w:r>
              <w:rPr>
                <w:rFonts w:cs="宋体"/>
                <w:sz w:val="21"/>
                <w:szCs w:val="21"/>
              </w:rPr>
              <w:t>由环卫部门运至垃圾填埋场</w:t>
            </w:r>
          </w:p>
        </w:tc>
        <w:tc>
          <w:tcPr>
            <w:tcW w:w="672" w:type="pct"/>
            <w:tcBorders>
              <w:tl2br w:val="nil"/>
              <w:tr2bl w:val="nil"/>
            </w:tcBorders>
            <w:vAlign w:val="center"/>
          </w:tcPr>
          <w:p w14:paraId="4D844823">
            <w:pPr>
              <w:spacing w:line="360" w:lineRule="exact"/>
              <w:ind w:firstLine="0" w:firstLineChars="0"/>
              <w:jc w:val="center"/>
              <w:rPr>
                <w:sz w:val="21"/>
                <w:szCs w:val="21"/>
              </w:rPr>
            </w:pPr>
            <w:r>
              <w:rPr>
                <w:sz w:val="21"/>
                <w:szCs w:val="21"/>
              </w:rPr>
              <w:t>3.65t/a</w:t>
            </w:r>
          </w:p>
        </w:tc>
      </w:tr>
      <w:tr w14:paraId="3C26B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251" w:type="pct"/>
            <w:tcBorders>
              <w:tl2br w:val="nil"/>
              <w:tr2bl w:val="nil"/>
            </w:tcBorders>
            <w:textDirection w:val="tbRlV"/>
            <w:vAlign w:val="center"/>
          </w:tcPr>
          <w:p w14:paraId="5CC54AB7">
            <w:pPr>
              <w:spacing w:line="360" w:lineRule="exact"/>
              <w:ind w:firstLine="0" w:firstLineChars="0"/>
              <w:jc w:val="center"/>
              <w:rPr>
                <w:rFonts w:cs="宋体"/>
                <w:sz w:val="21"/>
                <w:szCs w:val="21"/>
              </w:rPr>
            </w:pPr>
            <w:r>
              <w:rPr>
                <w:rFonts w:cs="宋体"/>
                <w:sz w:val="21"/>
                <w:szCs w:val="21"/>
              </w:rPr>
              <w:t>噪声</w:t>
            </w:r>
          </w:p>
        </w:tc>
        <w:tc>
          <w:tcPr>
            <w:tcW w:w="1331" w:type="pct"/>
            <w:gridSpan w:val="2"/>
            <w:tcBorders>
              <w:tl2br w:val="nil"/>
              <w:tr2bl w:val="nil"/>
            </w:tcBorders>
            <w:vAlign w:val="center"/>
          </w:tcPr>
          <w:p w14:paraId="17D03B21">
            <w:pPr>
              <w:spacing w:line="360" w:lineRule="exact"/>
              <w:ind w:firstLine="0" w:firstLineChars="0"/>
              <w:jc w:val="center"/>
              <w:rPr>
                <w:sz w:val="21"/>
                <w:szCs w:val="21"/>
              </w:rPr>
            </w:pPr>
            <w:r>
              <w:rPr>
                <w:rFonts w:cs="宋体"/>
                <w:sz w:val="21"/>
                <w:szCs w:val="21"/>
              </w:rPr>
              <w:t>工艺设备运行噪声，声级在</w:t>
            </w:r>
            <w:r>
              <w:rPr>
                <w:sz w:val="21"/>
                <w:szCs w:val="21"/>
              </w:rPr>
              <w:t>75~95dB</w:t>
            </w:r>
          </w:p>
          <w:p w14:paraId="2A792300">
            <w:pPr>
              <w:spacing w:line="360" w:lineRule="exact"/>
              <w:ind w:firstLine="0" w:firstLineChars="0"/>
              <w:jc w:val="center"/>
              <w:rPr>
                <w:rFonts w:cs="宋体"/>
                <w:sz w:val="21"/>
                <w:szCs w:val="21"/>
              </w:rPr>
            </w:pPr>
            <w:r>
              <w:rPr>
                <w:rFonts w:hint="eastAsia" w:cs="宋体"/>
                <w:sz w:val="21"/>
                <w:szCs w:val="21"/>
              </w:rPr>
              <w:t>（</w:t>
            </w:r>
            <w:r>
              <w:rPr>
                <w:sz w:val="21"/>
                <w:szCs w:val="21"/>
              </w:rPr>
              <w:t>A</w:t>
            </w:r>
            <w:r>
              <w:rPr>
                <w:rFonts w:hint="eastAsia" w:cs="宋体"/>
                <w:sz w:val="21"/>
                <w:szCs w:val="21"/>
              </w:rPr>
              <w:t>）</w:t>
            </w:r>
            <w:r>
              <w:rPr>
                <w:rFonts w:cs="宋体"/>
                <w:sz w:val="21"/>
                <w:szCs w:val="21"/>
              </w:rPr>
              <w:t>之间</w:t>
            </w:r>
          </w:p>
        </w:tc>
        <w:tc>
          <w:tcPr>
            <w:tcW w:w="3416" w:type="pct"/>
            <w:gridSpan w:val="3"/>
            <w:tcBorders>
              <w:tl2br w:val="nil"/>
              <w:tr2bl w:val="nil"/>
            </w:tcBorders>
            <w:vAlign w:val="center"/>
          </w:tcPr>
          <w:p w14:paraId="044091D1">
            <w:pPr>
              <w:spacing w:line="360" w:lineRule="exact"/>
              <w:ind w:firstLine="0" w:firstLineChars="0"/>
              <w:jc w:val="center"/>
              <w:rPr>
                <w:rFonts w:cs="宋体"/>
                <w:sz w:val="21"/>
                <w:szCs w:val="21"/>
              </w:rPr>
            </w:pPr>
            <w:r>
              <w:rPr>
                <w:rFonts w:cs="宋体"/>
                <w:sz w:val="21"/>
                <w:szCs w:val="21"/>
              </w:rPr>
              <w:t>设备选用低噪声设备，在安装时采取降噪减震措施，全部安装于室内，使用时定期检修，做好设备保养，落实工作间防噪声劳动保护和管理，完善厂区绿化建设</w:t>
            </w:r>
            <w:r>
              <w:rPr>
                <w:rFonts w:hint="eastAsia" w:cs="宋体"/>
                <w:sz w:val="21"/>
                <w:szCs w:val="21"/>
              </w:rPr>
              <w:t>。</w:t>
            </w:r>
          </w:p>
        </w:tc>
      </w:tr>
    </w:tbl>
    <w:p w14:paraId="34716143">
      <w:pPr>
        <w:pStyle w:val="4"/>
      </w:pPr>
      <w:bookmarkStart w:id="108" w:name="_Toc89619337"/>
      <w:bookmarkStart w:id="109" w:name="_Toc13258"/>
      <w:bookmarkStart w:id="110" w:name="_Toc30919"/>
      <w:bookmarkStart w:id="111" w:name="_Toc117518268"/>
      <w:bookmarkStart w:id="112" w:name="_Toc117517838"/>
      <w:bookmarkStart w:id="113" w:name="_Toc117518183"/>
      <w:bookmarkStart w:id="114" w:name="_Toc117518348"/>
      <w:bookmarkStart w:id="115" w:name="_Toc117518102"/>
      <w:bookmarkStart w:id="116" w:name="_Toc117518553"/>
      <w:bookmarkStart w:id="117" w:name="_Toc347242003"/>
      <w:r>
        <w:rPr>
          <w:rFonts w:hint="eastAsia"/>
        </w:rPr>
        <w:t>3.5总量控制</w:t>
      </w:r>
      <w:bookmarkEnd w:id="108"/>
      <w:bookmarkEnd w:id="109"/>
    </w:p>
    <w:p w14:paraId="7CAD1A6F">
      <w:pPr>
        <w:ind w:firstLine="480"/>
      </w:pPr>
      <w:bookmarkStart w:id="118" w:name="_Toc27076"/>
      <w:r>
        <w:t>结合本项目的特征污染物，</w:t>
      </w:r>
      <w:bookmarkEnd w:id="118"/>
      <w:r>
        <w:t>本项目无建议总量控制指标</w:t>
      </w:r>
      <w:r>
        <w:rPr>
          <w:rFonts w:hint="eastAsia"/>
        </w:rPr>
        <w:t>。</w:t>
      </w:r>
    </w:p>
    <w:p w14:paraId="17DBFF06">
      <w:pPr>
        <w:pStyle w:val="4"/>
      </w:pPr>
      <w:bookmarkStart w:id="119" w:name="_Toc89619338"/>
      <w:bookmarkStart w:id="120" w:name="_Toc26725"/>
      <w:r>
        <w:t>3.</w:t>
      </w:r>
      <w:r>
        <w:rPr>
          <w:rFonts w:hint="eastAsia"/>
        </w:rPr>
        <w:t>6</w:t>
      </w:r>
      <w:r>
        <w:t>清洁生产概述</w:t>
      </w:r>
      <w:bookmarkEnd w:id="110"/>
      <w:bookmarkEnd w:id="111"/>
      <w:bookmarkEnd w:id="112"/>
      <w:bookmarkEnd w:id="113"/>
      <w:bookmarkEnd w:id="114"/>
      <w:bookmarkEnd w:id="115"/>
      <w:bookmarkEnd w:id="116"/>
      <w:bookmarkEnd w:id="117"/>
      <w:bookmarkEnd w:id="119"/>
      <w:bookmarkEnd w:id="120"/>
    </w:p>
    <w:p w14:paraId="6DD355D4">
      <w:pPr>
        <w:pStyle w:val="5"/>
      </w:pPr>
      <w:bookmarkStart w:id="121" w:name="_Toc321043931"/>
      <w:bookmarkStart w:id="122" w:name="_Toc291499424"/>
      <w:bookmarkStart w:id="123" w:name="_Toc289360120"/>
      <w:bookmarkStart w:id="124" w:name="_Toc224388100"/>
      <w:bookmarkStart w:id="125" w:name="_Toc299381556"/>
      <w:bookmarkStart w:id="126" w:name="_Toc310503813"/>
      <w:bookmarkStart w:id="127" w:name="_Toc300831158"/>
      <w:bookmarkStart w:id="128" w:name="_Toc106663476"/>
      <w:r>
        <w:t>3.</w:t>
      </w:r>
      <w:r>
        <w:rPr>
          <w:rFonts w:hint="eastAsia"/>
        </w:rPr>
        <w:t>6</w:t>
      </w:r>
      <w:r>
        <w:t>.1清洁生产</w:t>
      </w:r>
      <w:bookmarkEnd w:id="121"/>
      <w:bookmarkEnd w:id="122"/>
      <w:bookmarkEnd w:id="123"/>
      <w:bookmarkEnd w:id="124"/>
      <w:bookmarkEnd w:id="125"/>
      <w:bookmarkEnd w:id="126"/>
      <w:bookmarkEnd w:id="127"/>
      <w:r>
        <w:rPr>
          <w:rFonts w:hint="eastAsia"/>
        </w:rPr>
        <w:t>的意义</w:t>
      </w:r>
      <w:bookmarkEnd w:id="128"/>
    </w:p>
    <w:p w14:paraId="5F909F3F">
      <w:pPr>
        <w:ind w:firstLine="480"/>
      </w:pPr>
      <w:r>
        <w:t>清洁生产是贯彻可持续发展战略方针的重要举措</w:t>
      </w:r>
      <w:r>
        <w:rPr>
          <w:rFonts w:hint="eastAsia"/>
        </w:rPr>
        <w:t>。</w:t>
      </w:r>
      <w:r>
        <w:t>清洁生产是指将综合预防的环境策略持续地应用于生产过程和产品中，以便减少对人类和环境的风险性</w:t>
      </w:r>
      <w:r>
        <w:rPr>
          <w:rFonts w:hint="eastAsia"/>
        </w:rPr>
        <w:t>。</w:t>
      </w:r>
      <w:r>
        <w:t>它主要包括生产过程和产品二个部分</w:t>
      </w:r>
      <w:r>
        <w:rPr>
          <w:rFonts w:hint="eastAsia"/>
        </w:rPr>
        <w:t>。</w:t>
      </w:r>
      <w:r>
        <w:t>对生产过程而言，清洁生产包括节约原材料和能源，淘汰有毒原材料并在全部排放物和废物离开生产过程以前减少它的数量和毒性；对产品而言，清洁生产策略旨在减少产品在整个生产周期过程（包括从原料提炼到产品的最终处置）中对人类和环境的影响</w:t>
      </w:r>
      <w:r>
        <w:rPr>
          <w:rFonts w:hint="eastAsia"/>
        </w:rPr>
        <w:t>。</w:t>
      </w:r>
      <w:r>
        <w:t>污染预防是当今世界也是我国政府提倡的环境保护政策</w:t>
      </w:r>
      <w:r>
        <w:rPr>
          <w:rFonts w:hint="eastAsia"/>
        </w:rPr>
        <w:t>。</w:t>
      </w:r>
      <w:r>
        <w:t>实施清洁生产是可持续发展战略的要求，力求工业提高能效，开发更清洁的技术，更新、代替对环境有害的产品和原材料，实现环境和资源的保护和有效管理；实行清洁生产是控制环境污染的有效手段；实行清洁生产可大大降低末端处理的负担；实行清洁生产可提高企业的市场竞争力</w:t>
      </w:r>
      <w:r>
        <w:rPr>
          <w:rFonts w:hint="eastAsia"/>
        </w:rPr>
        <w:t>。</w:t>
      </w:r>
    </w:p>
    <w:p w14:paraId="4A3A3031">
      <w:pPr>
        <w:ind w:firstLine="480"/>
      </w:pPr>
      <w:r>
        <w:t>本项目为</w:t>
      </w:r>
      <w:r>
        <w:rPr>
          <w:rFonts w:hint="eastAsia"/>
        </w:rPr>
        <w:t>骆驼养殖</w:t>
      </w:r>
      <w:r>
        <w:t>项目，本次评价清洁生产的思路是结合养殖场中废物产生的特点，提出清洁生产方案和循环经济措施，力争达到</w:t>
      </w:r>
      <w:r>
        <w:rPr>
          <w:rFonts w:hint="eastAsia"/>
        </w:rPr>
        <w:t>”</w:t>
      </w:r>
      <w:r>
        <w:t>节能、降耗、减污、增效</w:t>
      </w:r>
      <w:r>
        <w:rPr>
          <w:rFonts w:hint="eastAsia"/>
        </w:rPr>
        <w:t>”</w:t>
      </w:r>
      <w:r>
        <w:t>的目的，从而降低生产成本，减少末端污染物的产生量和排放量</w:t>
      </w:r>
      <w:r>
        <w:rPr>
          <w:rFonts w:hint="eastAsia"/>
        </w:rPr>
        <w:t>。</w:t>
      </w:r>
      <w:r>
        <w:t>通过采用清洁生产和循环利用技术，要明显减降企业生产过程对环境的影响，提高原材料及能源的使用效率，减少资源的浪费，降低生产成本，减少污染物的产生量及排放量，促进企业的技术进步，提高企业的经济效益和管理水平</w:t>
      </w:r>
      <w:r>
        <w:rPr>
          <w:rFonts w:hint="eastAsia"/>
        </w:rPr>
        <w:t>。</w:t>
      </w:r>
    </w:p>
    <w:p w14:paraId="3557AEC1">
      <w:pPr>
        <w:pStyle w:val="5"/>
      </w:pPr>
      <w:bookmarkStart w:id="129" w:name="_Toc106663477"/>
      <w:r>
        <w:rPr>
          <w:rFonts w:hint="eastAsia"/>
        </w:rPr>
        <w:t>3.6.2清洁生产水平分析</w:t>
      </w:r>
      <w:bookmarkEnd w:id="129"/>
    </w:p>
    <w:p w14:paraId="7FD7EB9D">
      <w:pPr>
        <w:pStyle w:val="6"/>
        <w:ind w:firstLine="482"/>
      </w:pPr>
      <w:r>
        <w:t>3.</w:t>
      </w:r>
      <w:r>
        <w:rPr>
          <w:rFonts w:hint="eastAsia"/>
        </w:rPr>
        <w:t>6</w:t>
      </w:r>
      <w:r>
        <w:t>.</w:t>
      </w:r>
      <w:r>
        <w:rPr>
          <w:rFonts w:hint="eastAsia"/>
        </w:rPr>
        <w:t>2</w:t>
      </w:r>
      <w:r>
        <w:t>.1清洁生产定性评价指标</w:t>
      </w:r>
    </w:p>
    <w:p w14:paraId="1976ED82">
      <w:pPr>
        <w:ind w:firstLine="480"/>
      </w:pPr>
      <w:r>
        <w:rPr>
          <w:rFonts w:hint="eastAsia"/>
        </w:rPr>
        <w:t>1、养殖清洁性分析</w:t>
      </w:r>
    </w:p>
    <w:p w14:paraId="0282574B">
      <w:pPr>
        <w:ind w:firstLine="480"/>
      </w:pPr>
      <w:r>
        <w:rPr>
          <w:rFonts w:hint="eastAsia"/>
        </w:rPr>
        <w:t>（</w:t>
      </w:r>
      <w:r>
        <w:t>1</w:t>
      </w:r>
      <w:r>
        <w:rPr>
          <w:rFonts w:hint="eastAsia"/>
        </w:rPr>
        <w:t>）项目采取适度规模化养殖方式，有利于采用能耗物耗小、污染物排放量少的清洁生产工艺，提高经济效益，提高环境质量。</w:t>
      </w:r>
    </w:p>
    <w:p w14:paraId="5D5B7B29">
      <w:pPr>
        <w:ind w:firstLine="480"/>
      </w:pPr>
      <w:r>
        <w:rPr>
          <w:rFonts w:hint="eastAsia"/>
        </w:rPr>
        <w:t>（</w:t>
      </w:r>
      <w:r>
        <w:t>2</w:t>
      </w:r>
      <w:r>
        <w:rPr>
          <w:rFonts w:hint="eastAsia"/>
        </w:rPr>
        <w:t>）项目养殖场设施完善，驼舍结构合理，设计和建设时将充分考虑环保的要求，驼舍里的粪便经堆肥后加工成有机肥，实现资源化消耗。</w:t>
      </w:r>
    </w:p>
    <w:p w14:paraId="1990C677">
      <w:pPr>
        <w:ind w:firstLine="480"/>
      </w:pPr>
      <w:r>
        <w:rPr>
          <w:rFonts w:hint="eastAsia"/>
        </w:rPr>
        <w:t>（</w:t>
      </w:r>
      <w:r>
        <w:t>3</w:t>
      </w:r>
      <w:r>
        <w:rPr>
          <w:rFonts w:hint="eastAsia"/>
        </w:rPr>
        <w:t>）项目废水送化粪池处理后，排入污水池，经无害化处理后作为液体有机肥灌溉期用于周边牧草地施肥，非灌溉期在场区覆膜污水池进行储存。通过本项目的建设，养殖场内可达到真正意义上的“零排放”，很大程度上减轻了对环境的污染。</w:t>
      </w:r>
    </w:p>
    <w:p w14:paraId="621A834B">
      <w:pPr>
        <w:ind w:firstLine="480"/>
      </w:pPr>
      <w:r>
        <w:rPr>
          <w:rFonts w:hint="eastAsia"/>
        </w:rPr>
        <w:t>2、粪便处置方式清洁性分析</w:t>
      </w:r>
    </w:p>
    <w:p w14:paraId="2E2BB9B3">
      <w:pPr>
        <w:ind w:firstLine="480"/>
      </w:pPr>
      <w:r>
        <w:rPr>
          <w:rFonts w:hint="eastAsia"/>
        </w:rPr>
        <w:t>本项目驼粪经堆肥后进一步加工成有机肥后外售，最终实现减量化、资源化、无害化，该工艺符合清洁生产的要求。</w:t>
      </w:r>
    </w:p>
    <w:p w14:paraId="5E7FDF9E">
      <w:pPr>
        <w:ind w:firstLine="480"/>
      </w:pPr>
      <w:r>
        <w:rPr>
          <w:rFonts w:hint="eastAsia"/>
        </w:rPr>
        <w:t>3、</w:t>
      </w:r>
      <w:r>
        <w:t>生产过程及设备分析</w:t>
      </w:r>
    </w:p>
    <w:p w14:paraId="6AB29733">
      <w:pPr>
        <w:ind w:firstLine="480"/>
      </w:pPr>
      <w:r>
        <w:rPr>
          <w:rFonts w:hint="eastAsia"/>
        </w:rPr>
        <w:t>项目生产过程中，各工序分工明确，既便于管理，又能保证生产作业线连续、短捷、方便。另外，内外运输配合协调，避免因往返运输和作业线交叉而造成不必要的浪费，人货分流通畅，生产管理方便，符合清洁生产的要求。</w:t>
      </w:r>
    </w:p>
    <w:p w14:paraId="605F6175">
      <w:pPr>
        <w:ind w:firstLine="480"/>
      </w:pPr>
      <w:r>
        <w:rPr>
          <w:rFonts w:hint="eastAsia"/>
        </w:rPr>
        <w:t>4</w:t>
      </w:r>
      <w:r>
        <w:t>、资源能源利用指标</w:t>
      </w:r>
    </w:p>
    <w:p w14:paraId="462AAEDA">
      <w:pPr>
        <w:ind w:firstLine="480"/>
      </w:pPr>
      <w:r>
        <w:rPr>
          <w:rFonts w:hint="eastAsia"/>
        </w:rPr>
        <w:t>本项目所采取的节能措施如下：</w:t>
      </w:r>
    </w:p>
    <w:p w14:paraId="6E82C9DE">
      <w:pPr>
        <w:ind w:firstLine="480"/>
      </w:pPr>
      <w:r>
        <w:rPr>
          <w:rFonts w:hint="eastAsia"/>
        </w:rPr>
        <w:t>（</w:t>
      </w:r>
      <w:r>
        <w:t>1</w:t>
      </w:r>
      <w:r>
        <w:rPr>
          <w:rFonts w:hint="eastAsia"/>
        </w:rPr>
        <w:t>）按生产流向，合理地布置设备，减少物料往返运送次数，从而节省能源；总图布置上力求紧凑，要求贮存和成品仓库等都要靠近生产车间，按物料流向布置，缩短原料及成品的输送距离，尽量避免产品大量二次倒运，从而节省能源。</w:t>
      </w:r>
    </w:p>
    <w:p w14:paraId="2A874056">
      <w:pPr>
        <w:ind w:firstLine="480"/>
      </w:pPr>
      <w:r>
        <w:rPr>
          <w:rFonts w:hint="eastAsia"/>
        </w:rPr>
        <w:t>（</w:t>
      </w:r>
      <w:r>
        <w:t>2</w:t>
      </w:r>
      <w:r>
        <w:rPr>
          <w:rFonts w:hint="eastAsia"/>
        </w:rPr>
        <w:t>）选择节能型设备，如风机、水泵及节能的物料输送系统。</w:t>
      </w:r>
    </w:p>
    <w:p w14:paraId="21BBF24B">
      <w:pPr>
        <w:ind w:firstLine="480"/>
      </w:pPr>
      <w:r>
        <w:rPr>
          <w:rFonts w:hint="eastAsia"/>
        </w:rPr>
        <w:t>（</w:t>
      </w:r>
      <w:r>
        <w:t>3</w:t>
      </w:r>
      <w:r>
        <w:rPr>
          <w:rFonts w:hint="eastAsia"/>
        </w:rPr>
        <w:t>）全场供电系统均选用节能型变压器，选择合理的补偿方案，使功率因数保持在</w:t>
      </w:r>
      <w:r>
        <w:t>90%</w:t>
      </w:r>
      <w:r>
        <w:rPr>
          <w:rFonts w:hint="eastAsia"/>
        </w:rPr>
        <w:t>以上，选择节能型电机，选择最优的供电方案，力求降低电能的损耗。</w:t>
      </w:r>
    </w:p>
    <w:p w14:paraId="424AF2ED">
      <w:pPr>
        <w:ind w:firstLine="480"/>
      </w:pPr>
      <w:r>
        <w:rPr>
          <w:rFonts w:hint="eastAsia"/>
        </w:rPr>
        <w:t>（</w:t>
      </w:r>
      <w:r>
        <w:t>4</w:t>
      </w:r>
      <w:r>
        <w:rPr>
          <w:rFonts w:hint="eastAsia"/>
        </w:rPr>
        <w:t>）养殖场为保护环境并对驼粪便进行资源化利用，将骆驼粪便拉运至堆肥场进行处理后外售。</w:t>
      </w:r>
    </w:p>
    <w:p w14:paraId="5056331B">
      <w:pPr>
        <w:ind w:firstLine="480"/>
      </w:pPr>
      <w:r>
        <w:rPr>
          <w:rFonts w:hint="eastAsia"/>
        </w:rPr>
        <w:t>综上所述，本项目通过采取了多项节能、降耗措施后，体现了清洁生产的要求。</w:t>
      </w:r>
    </w:p>
    <w:p w14:paraId="15F377D1">
      <w:pPr>
        <w:ind w:firstLine="480"/>
      </w:pPr>
      <w:r>
        <w:t>4、污染物产生和排放</w:t>
      </w:r>
    </w:p>
    <w:p w14:paraId="38483AB5">
      <w:pPr>
        <w:ind w:firstLine="480"/>
      </w:pPr>
      <w:r>
        <w:rPr>
          <w:rFonts w:hint="eastAsia"/>
        </w:rPr>
        <w:t>本项目驼尿大部分进入驼粪少量自然风干，废水送化粪池处理后，排入污水处理厂，无废水排放。</w:t>
      </w:r>
    </w:p>
    <w:p w14:paraId="46010AEB">
      <w:pPr>
        <w:ind w:firstLine="480"/>
      </w:pPr>
      <w:r>
        <w:rPr>
          <w:rFonts w:hint="eastAsia"/>
        </w:rPr>
        <w:t>项目废气主要是无组织排放的废气，通过采取相应的治理措施后，均可达标排放。</w:t>
      </w:r>
    </w:p>
    <w:p w14:paraId="310CB90E">
      <w:pPr>
        <w:ind w:firstLine="480"/>
      </w:pPr>
      <w:r>
        <w:rPr>
          <w:rFonts w:hint="eastAsia"/>
        </w:rPr>
        <w:t>粪便用于有机肥生产，其他固体废物全部得到综合利用与妥善处置，实现了废物零排放</w:t>
      </w:r>
    </w:p>
    <w:p w14:paraId="50242633">
      <w:pPr>
        <w:ind w:firstLine="480"/>
      </w:pPr>
      <w:r>
        <w:t>5、环境管理要求</w:t>
      </w:r>
    </w:p>
    <w:p w14:paraId="15DA63BF">
      <w:pPr>
        <w:widowControl/>
        <w:ind w:firstLine="480"/>
        <w:jc w:val="left"/>
        <w:rPr>
          <w:rFonts w:hint="eastAsia" w:ascii="宋体" w:hAnsi="宋体" w:cs="宋体"/>
          <w:szCs w:val="24"/>
          <w:lang w:bidi="ar"/>
        </w:rPr>
      </w:pPr>
      <w:r>
        <w:rPr>
          <w:rFonts w:hint="eastAsia" w:ascii="宋体" w:hAnsi="宋体" w:cs="宋体"/>
          <w:szCs w:val="24"/>
          <w:lang w:bidi="ar"/>
        </w:rPr>
        <w:t>（</w:t>
      </w:r>
      <w:r>
        <w:rPr>
          <w:rFonts w:ascii="微软雅黑" w:hAnsi="微软雅黑" w:eastAsia="微软雅黑" w:cs="微软雅黑"/>
          <w:szCs w:val="24"/>
          <w:lang w:bidi="ar"/>
        </w:rPr>
        <w:t>1</w:t>
      </w:r>
      <w:r>
        <w:rPr>
          <w:rFonts w:hint="eastAsia" w:ascii="宋体" w:hAnsi="宋体" w:cs="宋体"/>
          <w:szCs w:val="24"/>
          <w:lang w:bidi="ar"/>
        </w:rPr>
        <w:t>）本项目的建设符合国家产业政策，选址、平面布置及污染防治措施符合《畜禽养殖业污染防治技术规范》（</w:t>
      </w:r>
      <w:r>
        <w:rPr>
          <w:szCs w:val="24"/>
          <w:lang w:bidi="ar"/>
        </w:rPr>
        <w:t>HJ/T81-2001</w:t>
      </w:r>
      <w:r>
        <w:rPr>
          <w:rFonts w:hint="eastAsia" w:ascii="宋体" w:hAnsi="宋体" w:cs="宋体"/>
          <w:szCs w:val="24"/>
          <w:lang w:bidi="ar"/>
        </w:rPr>
        <w:t>）、《畜禽规模养殖污染防治条例》、《畜禽养殖业污染治理工程技术规范》（HJ497-2009）、《畜禽粪便无害化处理技术规范》等技术文件的要求。</w:t>
      </w:r>
    </w:p>
    <w:p w14:paraId="76315B78">
      <w:pPr>
        <w:widowControl/>
        <w:ind w:firstLine="480"/>
        <w:jc w:val="left"/>
        <w:rPr>
          <w:rFonts w:hint="eastAsia" w:ascii="宋体" w:hAnsi="宋体" w:cs="宋体"/>
          <w:szCs w:val="24"/>
          <w:lang w:bidi="ar"/>
        </w:rPr>
      </w:pPr>
      <w:r>
        <w:rPr>
          <w:rFonts w:hint="eastAsia" w:ascii="宋体" w:hAnsi="宋体" w:cs="宋体"/>
          <w:szCs w:val="24"/>
          <w:lang w:bidi="ar"/>
        </w:rPr>
        <w:t>项目建成后企业将设立健全的环境管理机构和专职管理人员，制订较完善环境管理制度，严格控制各种污染物的产生及排放，严格控制风险事故的发生。项目将配备必要的专业人员，配置必要的监测仪器设备，配合当地环境保护管理部门做好本厂的环境保护工作。</w:t>
      </w:r>
    </w:p>
    <w:p w14:paraId="5E8EF690">
      <w:pPr>
        <w:widowControl/>
        <w:ind w:firstLine="480"/>
        <w:jc w:val="left"/>
        <w:rPr>
          <w:rFonts w:hint="eastAsia" w:ascii="宋体" w:hAnsi="宋体" w:cs="宋体"/>
          <w:szCs w:val="24"/>
          <w:lang w:bidi="ar"/>
        </w:rPr>
      </w:pPr>
      <w:r>
        <w:rPr>
          <w:rFonts w:hint="eastAsia" w:ascii="宋体" w:hAnsi="宋体" w:cs="宋体"/>
          <w:szCs w:val="24"/>
          <w:lang w:bidi="ar"/>
        </w:rPr>
        <w:t>（2）本项目饲料提倡使用微生物制剂、酶制剂和植物提取液等活性物质，以减少污染物排放和恶臭气体的产生。这些微生物进入家畜体内后，能使肠内的有益细菌增殖，使肠的活动能力增强，从而达到抑制粪尿恶臭的目的。</w:t>
      </w:r>
    </w:p>
    <w:p w14:paraId="2D95E8C7">
      <w:pPr>
        <w:widowControl/>
        <w:ind w:firstLine="480"/>
        <w:jc w:val="left"/>
        <w:rPr>
          <w:rFonts w:hint="eastAsia" w:ascii="宋体" w:hAnsi="宋体" w:cs="宋体"/>
          <w:szCs w:val="24"/>
          <w:lang w:bidi="ar"/>
        </w:rPr>
      </w:pPr>
      <w:r>
        <w:rPr>
          <w:rFonts w:hint="eastAsia" w:ascii="宋体" w:hAnsi="宋体" w:cs="宋体"/>
          <w:szCs w:val="24"/>
          <w:lang w:bidi="ar"/>
        </w:rPr>
        <w:t>（3）驼舍和有机肥生产区域的恶臭收集后采用《畜禽养殖业污染治理工程技术规范》（HJ497-2009）推荐的生物除臭法处理以尽可能消除对区域大气环境的影响。骆驼产生的粪便用于生产有机肥，从而实现废物的无害化和资源化。</w:t>
      </w:r>
      <w:r>
        <w:rPr>
          <w:rFonts w:hint="eastAsia" w:ascii="宋体" w:hAnsi="宋体" w:cs="宋体"/>
          <w:szCs w:val="24"/>
          <w:lang w:val="en-US" w:eastAsia="zh-CN" w:bidi="ar"/>
        </w:rPr>
        <w:t>渗滤液同</w:t>
      </w:r>
      <w:r>
        <w:rPr>
          <w:rFonts w:hint="eastAsia" w:ascii="宋体" w:hAnsi="宋体" w:cs="宋体"/>
          <w:szCs w:val="24"/>
          <w:lang w:bidi="ar"/>
        </w:rPr>
        <w:t>生活污水送化粪池处理后，排入污水处理厂，驼尿大部分进入驼粪少量自然风干，不涉及驼舍冲洗废水。病死骆驼的处置按照《畜禽养殖业污染治理工程技术规范》（HJ497-2009）要求进行处置。通过采取环保治理措施，项目废气、废水、噪声、固废等污染物能够做到达标排放。</w:t>
      </w:r>
    </w:p>
    <w:p w14:paraId="6B0FD46F">
      <w:pPr>
        <w:widowControl/>
        <w:ind w:firstLine="480"/>
        <w:jc w:val="left"/>
        <w:rPr>
          <w:rFonts w:hint="eastAsia" w:ascii="宋体" w:hAnsi="宋体" w:cs="宋体"/>
          <w:szCs w:val="24"/>
          <w:lang w:bidi="ar"/>
        </w:rPr>
      </w:pPr>
      <w:r>
        <w:rPr>
          <w:rFonts w:hint="eastAsia" w:ascii="宋体" w:hAnsi="宋体" w:cs="宋体"/>
          <w:szCs w:val="24"/>
          <w:lang w:bidi="ar"/>
        </w:rPr>
        <w:t>项目在环境管理方面能够满足清洁生产的要求。</w:t>
      </w:r>
    </w:p>
    <w:p w14:paraId="5955A4BA">
      <w:pPr>
        <w:ind w:firstLine="482"/>
        <w:rPr>
          <w:b/>
          <w:bCs/>
        </w:rPr>
      </w:pPr>
      <w:r>
        <w:rPr>
          <w:rFonts w:hint="eastAsia"/>
          <w:b/>
          <w:bCs/>
        </w:rPr>
        <w:t>3.6.2.2清洁生产小结</w:t>
      </w:r>
    </w:p>
    <w:p w14:paraId="459D5DE5">
      <w:pPr>
        <w:ind w:firstLine="480"/>
      </w:pPr>
      <w:r>
        <w:rPr>
          <w:rFonts w:hint="eastAsia"/>
        </w:rPr>
        <w:t>通过与其他畜禽养殖项目对比，本项目符合清洁生产要求。综合上述分析，项目无论从原料利用上还是废物资源化利用方面，均能够体现出本项目具有多样化的循环经济途径。因此，企业应积极开拓循环经济理念，实现废物多重化、最大化循环利用，同时可拉长产业链条，拓展企业产业化成长发展模式，本项目将骆驼养殖向规模化、现代化转变。</w:t>
      </w:r>
    </w:p>
    <w:p w14:paraId="4127EA5D">
      <w:pPr>
        <w:ind w:firstLine="482"/>
        <w:rPr>
          <w:b/>
          <w:bCs/>
        </w:rPr>
      </w:pPr>
      <w:r>
        <w:rPr>
          <w:rFonts w:hint="eastAsia"/>
          <w:b/>
          <w:bCs/>
        </w:rPr>
        <w:t>3.6.2.3清洁生产建议</w:t>
      </w:r>
    </w:p>
    <w:p w14:paraId="3356D943">
      <w:pPr>
        <w:ind w:firstLine="480"/>
      </w:pPr>
      <w:r>
        <w:t>经分析，拟建项目虽然符合清洁生产的要求，但还有进一步加强清洁生产的潜力，为此提出如下建议：</w:t>
      </w:r>
    </w:p>
    <w:p w14:paraId="25D9B343">
      <w:pPr>
        <w:ind w:firstLine="480"/>
      </w:pPr>
      <w:r>
        <w:rPr>
          <w:rFonts w:hint="eastAsia"/>
        </w:rPr>
        <w:t>（</w:t>
      </w:r>
      <w:r>
        <w:t>1</w:t>
      </w:r>
      <w:r>
        <w:rPr>
          <w:rFonts w:hint="eastAsia"/>
        </w:rPr>
        <w:t>）</w:t>
      </w:r>
      <w:r>
        <w:t>注重生产现场技术管理，保证生产过程的连续性、比例性和协调性</w:t>
      </w:r>
      <w:r>
        <w:rPr>
          <w:rFonts w:hint="eastAsia"/>
        </w:rPr>
        <w:t>。</w:t>
      </w:r>
    </w:p>
    <w:p w14:paraId="2BBED59A">
      <w:pPr>
        <w:ind w:firstLine="480"/>
      </w:pPr>
      <w:r>
        <w:rPr>
          <w:rFonts w:hint="eastAsia"/>
        </w:rPr>
        <w:t>（</w:t>
      </w:r>
      <w:r>
        <w:t>2</w:t>
      </w:r>
      <w:r>
        <w:rPr>
          <w:rFonts w:hint="eastAsia"/>
        </w:rPr>
        <w:t>）</w:t>
      </w:r>
      <w:r>
        <w:t>生产过程中必须加强循环利用和再资源化，对排放物的有效处理和回收利用，既可创造经济效益，又可减少污染</w:t>
      </w:r>
      <w:r>
        <w:rPr>
          <w:rFonts w:hint="eastAsia"/>
        </w:rPr>
        <w:t>。</w:t>
      </w:r>
    </w:p>
    <w:p w14:paraId="53153AA1">
      <w:pPr>
        <w:ind w:firstLine="480"/>
      </w:pPr>
      <w:r>
        <w:rPr>
          <w:rFonts w:hint="eastAsia"/>
        </w:rPr>
        <w:t>（</w:t>
      </w:r>
      <w:r>
        <w:t>3</w:t>
      </w:r>
      <w:r>
        <w:rPr>
          <w:rFonts w:hint="eastAsia"/>
        </w:rPr>
        <w:t>）</w:t>
      </w:r>
      <w:r>
        <w:t>进一步降低电耗、水耗，降低单位产品消耗水平，从而降低产品成本，增强市场竞争力</w:t>
      </w:r>
      <w:r>
        <w:rPr>
          <w:rFonts w:hint="eastAsia"/>
        </w:rPr>
        <w:t>。</w:t>
      </w:r>
    </w:p>
    <w:p w14:paraId="7077097A">
      <w:pPr>
        <w:ind w:firstLine="480"/>
      </w:pPr>
      <w:r>
        <w:rPr>
          <w:rFonts w:hint="eastAsia"/>
        </w:rPr>
        <w:t>（</w:t>
      </w:r>
      <w:r>
        <w:t>4</w:t>
      </w:r>
      <w:r>
        <w:rPr>
          <w:rFonts w:hint="eastAsia"/>
        </w:rPr>
        <w:t>）</w:t>
      </w:r>
      <w:r>
        <w:t>进一步减少生产过程中的跑、冒、滴、漏，降低对环境造成的危害</w:t>
      </w:r>
      <w:r>
        <w:rPr>
          <w:rFonts w:hint="eastAsia"/>
        </w:rPr>
        <w:t>。</w:t>
      </w:r>
    </w:p>
    <w:p w14:paraId="21B3891B">
      <w:pPr>
        <w:ind w:firstLine="480"/>
      </w:pPr>
      <w:r>
        <w:rPr>
          <w:rFonts w:hint="eastAsia"/>
        </w:rPr>
        <w:t>（</w:t>
      </w:r>
      <w:r>
        <w:t>5</w:t>
      </w:r>
      <w:r>
        <w:rPr>
          <w:rFonts w:hint="eastAsia"/>
        </w:rPr>
        <w:t>）</w:t>
      </w:r>
      <w:r>
        <w:t>落实环评报告书所提出的各项污染防治措施，加强污染防治设施的运行维护和管理，确保对周围环境影响的最小化</w:t>
      </w:r>
      <w:r>
        <w:rPr>
          <w:rFonts w:hint="eastAsia"/>
        </w:rPr>
        <w:t>。</w:t>
      </w:r>
    </w:p>
    <w:p w14:paraId="7F9F86FA">
      <w:pPr>
        <w:ind w:firstLine="480"/>
      </w:pPr>
      <w:r>
        <w:rPr>
          <w:rFonts w:hint="eastAsia"/>
        </w:rPr>
        <w:t>（</w:t>
      </w:r>
      <w:r>
        <w:t>6</w:t>
      </w:r>
      <w:r>
        <w:rPr>
          <w:rFonts w:hint="eastAsia"/>
        </w:rPr>
        <w:t>）</w:t>
      </w:r>
      <w:r>
        <w:t>建立严格完善的生产管理制度，加强业务培训和宣传教育工作，使每个职工树立节能意识，环保意识，保障清洁生产的目的顺利实施</w:t>
      </w:r>
      <w:r>
        <w:rPr>
          <w:rFonts w:hint="eastAsia"/>
        </w:rPr>
        <w:t>。</w:t>
      </w:r>
    </w:p>
    <w:p w14:paraId="4EA16837">
      <w:pPr>
        <w:ind w:firstLine="480"/>
        <w:sectPr>
          <w:headerReference r:id="rId20" w:type="default"/>
          <w:footerReference r:id="rId21"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r>
        <w:rPr>
          <w:rFonts w:hint="eastAsia"/>
        </w:rPr>
        <w:t>（</w:t>
      </w:r>
      <w:r>
        <w:t>7</w:t>
      </w:r>
      <w:r>
        <w:rPr>
          <w:rFonts w:hint="eastAsia"/>
        </w:rPr>
        <w:t>）</w:t>
      </w:r>
      <w:r>
        <w:t>拟建项目应参照ISO14000标准的要求建立并运行环境管理体系，不断健全环境管理手册、程序文件及作业文件，进一步理顺全厂环境管理的关系，抓好企业环境管理</w:t>
      </w:r>
      <w:r>
        <w:rPr>
          <w:rFonts w:hint="eastAsia"/>
        </w:rPr>
        <w:t>。</w:t>
      </w:r>
      <w:r>
        <w:t>同时开展清洁生产审核，持续改进和提高企业环境管理水平</w:t>
      </w:r>
      <w:r>
        <w:rPr>
          <w:rFonts w:hint="eastAsia"/>
        </w:rPr>
        <w:t>。</w:t>
      </w:r>
    </w:p>
    <w:p w14:paraId="701B3367">
      <w:pPr>
        <w:pStyle w:val="3"/>
      </w:pPr>
      <w:bookmarkStart w:id="130" w:name="_Toc89619339"/>
      <w:r>
        <w:rPr>
          <w:rFonts w:hint="eastAsia"/>
        </w:rPr>
        <w:t>4、环境现状调查与评价</w:t>
      </w:r>
      <w:bookmarkEnd w:id="130"/>
    </w:p>
    <w:p w14:paraId="5E8FE011">
      <w:pPr>
        <w:pStyle w:val="4"/>
        <w:tabs>
          <w:tab w:val="left" w:pos="2400"/>
        </w:tabs>
      </w:pPr>
      <w:bookmarkStart w:id="131" w:name="_Toc89619340"/>
      <w:r>
        <w:rPr>
          <w:rFonts w:hint="eastAsia"/>
        </w:rPr>
        <w:t>4.1自然环境概况</w:t>
      </w:r>
      <w:bookmarkEnd w:id="131"/>
    </w:p>
    <w:p w14:paraId="5093CA83">
      <w:pPr>
        <w:pStyle w:val="5"/>
      </w:pPr>
      <w:bookmarkStart w:id="132" w:name="_Toc106663480"/>
      <w:r>
        <w:rPr>
          <w:rFonts w:hint="eastAsia"/>
        </w:rPr>
        <w:t>4.1.1地理位置</w:t>
      </w:r>
      <w:bookmarkEnd w:id="132"/>
    </w:p>
    <w:p w14:paraId="50CCD15D">
      <w:pPr>
        <w:ind w:firstLine="480"/>
      </w:pPr>
      <w:r>
        <w:t>木垒哈萨克自治县是新疆维吾尔自治区昌吉回族自治州最东边的一个县，位于天山北麓，准噶尔盆地东南缘，奇台县以东，巴里坤县以西，南倚天山与鄯善县隔山相望，北与蒙古国交界，总面积22171km</w:t>
      </w:r>
      <w:r>
        <w:rPr>
          <w:vertAlign w:val="superscript"/>
        </w:rPr>
        <w:t>2</w:t>
      </w:r>
      <w:r>
        <w:rPr>
          <w:rFonts w:hint="eastAsia"/>
        </w:rPr>
        <w:t>。</w:t>
      </w:r>
    </w:p>
    <w:p w14:paraId="5C88CB74">
      <w:pPr>
        <w:ind w:firstLine="480"/>
      </w:pPr>
      <w:r>
        <w:t>本项目位于昌吉州</w:t>
      </w:r>
      <w:r>
        <w:rPr>
          <w:rFonts w:hint="eastAsia"/>
        </w:rPr>
        <w:t>木垒县雀仁乡西北侧约3.9km处</w:t>
      </w:r>
      <w:r>
        <w:t>，项目</w:t>
      </w:r>
      <w:r>
        <w:rPr>
          <w:rFonts w:hint="eastAsia"/>
        </w:rPr>
        <w:t>四周均为农田。</w:t>
      </w:r>
      <w:r>
        <w:t>项目中心地理坐标：</w:t>
      </w:r>
      <w:r>
        <w:rPr>
          <w:rFonts w:hint="eastAsia"/>
        </w:rPr>
        <w:t>90°6′55.79986″</w:t>
      </w:r>
      <w:r>
        <w:t>E，</w:t>
      </w:r>
      <w:r>
        <w:rPr>
          <w:rFonts w:hint="eastAsia"/>
        </w:rPr>
        <w:t>44°9′50.18874″</w:t>
      </w:r>
      <w:r>
        <w:t>N</w:t>
      </w:r>
      <w:r>
        <w:rPr>
          <w:rFonts w:hint="eastAsia"/>
        </w:rPr>
        <w:t>。</w:t>
      </w:r>
    </w:p>
    <w:p w14:paraId="06F205D9">
      <w:pPr>
        <w:pStyle w:val="5"/>
      </w:pPr>
      <w:bookmarkStart w:id="133" w:name="_Toc106663481"/>
      <w:r>
        <w:rPr>
          <w:rFonts w:hint="eastAsia"/>
        </w:rPr>
        <w:t>4.1.2地形、地貌</w:t>
      </w:r>
      <w:bookmarkEnd w:id="133"/>
    </w:p>
    <w:p w14:paraId="0DD70E1B">
      <w:pPr>
        <w:spacing w:line="500" w:lineRule="exact"/>
        <w:ind w:firstLine="480"/>
        <w:rPr>
          <w:szCs w:val="24"/>
        </w:rPr>
      </w:pPr>
      <w:r>
        <w:rPr>
          <w:rFonts w:hint="eastAsia"/>
          <w:szCs w:val="24"/>
        </w:rPr>
        <w:t>木垒哈萨克自治县地处阿尔泰构造带，博格达构造带和准噶尔地块交汇处。木垒县地形地貌为三面环山，向西开阔的簸箕状地貌形态，南部博格达山区为天山山脉的东延部分，海拔绝大部分在3000m以下，位于本县西南边境的最高峰，海拔3482m；北部北塔山和大、小哈甫提克山系阿尔泰山向东延伸的余脉，海拔大部分在2000m以下；东部蒙罗克山向南延伸，与博格达山余脉衔接，海拔3105m以下，因此形成南、北、东三山相接围绕，中部低洼向西开口的半壁槽状盆地，山前丘陵延山体宽达20～30km。南部山前丘陵以下为冲洪积扇区，形成一望无垠的平原戈壁，盆地中部横卧着两道由西向东的沙梁，复杂的地形包括山地、丘陵、平原和沙漠四个不同的地貌单元。各单元地貌特征如下：</w:t>
      </w:r>
    </w:p>
    <w:p w14:paraId="0E44E519">
      <w:pPr>
        <w:spacing w:line="500" w:lineRule="exact"/>
        <w:ind w:firstLine="480"/>
        <w:rPr>
          <w:szCs w:val="24"/>
        </w:rPr>
      </w:pPr>
      <w:r>
        <w:rPr>
          <w:rFonts w:hint="eastAsia"/>
          <w:szCs w:val="24"/>
        </w:rPr>
        <w:t>南部山区：南部博格达山属天山东段末梢，海拔在3482～1700m，山势由西向东递减，最高峰位于西吉尔南部，海拔3482m，这段山体均由比较坚硬的古生代火山凝灰岩、泥页岩、板岩等组成，因而山势雄伟高峻。全县6条山水河流均分布于博斯坦河以西的山区，这一地区地形起伏相对高差大，坡陡谷窄，河谷发育，部分地区基岩裸露，形成悬崖陡壁。博斯坦河以东的山区，山势逐渐低缓，海拔多在2000m左右，山地低矮，岩石裸露，无常年性河流分布。</w:t>
      </w:r>
    </w:p>
    <w:p w14:paraId="0415A7E8">
      <w:pPr>
        <w:spacing w:line="500" w:lineRule="exact"/>
        <w:ind w:firstLine="480"/>
        <w:rPr>
          <w:szCs w:val="24"/>
        </w:rPr>
      </w:pPr>
      <w:r>
        <w:rPr>
          <w:rFonts w:hint="eastAsia"/>
          <w:szCs w:val="24"/>
        </w:rPr>
        <w:t>山前丘陵区：南部山前丘陵海拔1200～1700m，由于地形的复杂多变，使东西部丘陵形成明显的差异，博斯坦河以西的山前丘陵分布有大小河沟33条，山前缓坡被冲刷切割成梁槽相间的缓坡浅丘，地层为厚层土砾石层，覆盖着较厚的黄土状细土，梁顶浑圆而坡缓，25度以下的山坡大多已被开垦为旱地，部分25度以上的山坡也已被开垦，这一地区是木垒县旱地作物的主要种植区。博斯坦河以东的山前丘陵由于降水较西部丘陵少，自西向东土层逐渐变薄，植被逐渐稀疏，山坡被风化岩石碎片覆盖，旱地种植较少。</w:t>
      </w:r>
    </w:p>
    <w:p w14:paraId="4DD72F1F">
      <w:pPr>
        <w:spacing w:line="500" w:lineRule="exact"/>
        <w:ind w:firstLine="480"/>
        <w:rPr>
          <w:szCs w:val="24"/>
        </w:rPr>
      </w:pPr>
      <w:r>
        <w:rPr>
          <w:rFonts w:hint="eastAsia"/>
          <w:szCs w:val="24"/>
        </w:rPr>
        <w:t>中部平原区：自山前丘陵以北到中部沙漠以南为辽阔的平原戈壁，整个地貌属冲洪积平原，海拔700～1200m，地势平坦、坡度较小，覆盖有厚度不等的冲积－洪积黄土。博斯坦牧场以西的平原区，土层较厚，宜耕性好，是木垒县灌溉农业的主要种植区，新户乡和奇木公路一带，为河灌区，雀仁乡周边地段地下水位较高，为井灌区。博斯坦牧场以东的平原区，因降水少，河流发育差，无灌溉条件，农业耕地较少。</w:t>
      </w:r>
    </w:p>
    <w:p w14:paraId="533788CF">
      <w:pPr>
        <w:spacing w:line="500" w:lineRule="exact"/>
        <w:ind w:firstLine="480"/>
        <w:rPr>
          <w:szCs w:val="24"/>
        </w:rPr>
      </w:pPr>
      <w:r>
        <w:rPr>
          <w:rFonts w:hint="eastAsia"/>
          <w:szCs w:val="24"/>
        </w:rPr>
        <w:t>北部沙漠、戈壁区：位于木垒县境内中北部，海拔600～800m，沙漠区属古尔班通古特沙漠的东段末梢，为东西走向的条带状，分两道沙梁横贯东西，多为固定和半固定垄状沙丘和平沙地，沙丘高约50～60m。二道沙梁以北的戈壁，土壤基质砾质化，由大面积的裸岩砾石地。</w:t>
      </w:r>
    </w:p>
    <w:p w14:paraId="14885128">
      <w:pPr>
        <w:spacing w:line="500" w:lineRule="exact"/>
        <w:ind w:firstLine="480"/>
        <w:rPr>
          <w:szCs w:val="24"/>
        </w:rPr>
      </w:pPr>
      <w:r>
        <w:rPr>
          <w:rFonts w:hint="eastAsia"/>
          <w:szCs w:val="24"/>
        </w:rPr>
        <w:t>北部山区：主要指北塔山和大、小哈甫提克山地，海拔多在2000m以下，山体矮小，地形复杂，地质结构凌乱，山体走向不一，阳坡由于风化作用，地表多被风化石片覆盖。</w:t>
      </w:r>
    </w:p>
    <w:p w14:paraId="4C9E2AD8">
      <w:pPr>
        <w:pStyle w:val="5"/>
      </w:pPr>
      <w:bookmarkStart w:id="134" w:name="_Toc106663483"/>
      <w:r>
        <w:rPr>
          <w:rFonts w:hint="eastAsia"/>
        </w:rPr>
        <w:t>4.1.3水文地质</w:t>
      </w:r>
      <w:bookmarkEnd w:id="134"/>
    </w:p>
    <w:p w14:paraId="6ADE8CF6">
      <w:pPr>
        <w:spacing w:line="500" w:lineRule="exact"/>
        <w:ind w:firstLine="480"/>
      </w:pPr>
      <w:r>
        <w:t>木垒县境内河流均属山溪性河流，皆发源于天山山脉博格达山北坡，源头海拔1500～3340m，共有英格堡河、水磨沟河、东城河、木垒河、白杨河、博斯塘河6条河流</w:t>
      </w:r>
      <w:r>
        <w:rPr>
          <w:rFonts w:hint="eastAsia"/>
        </w:rPr>
        <w:t>。</w:t>
      </w:r>
      <w:r>
        <w:t>6条河流均位于南部山区，呈东西向平行排列</w:t>
      </w:r>
      <w:r>
        <w:rPr>
          <w:rFonts w:hint="eastAsia"/>
        </w:rPr>
        <w:t>。</w:t>
      </w:r>
      <w:r>
        <w:t>6条河流中以木垒河的年径流量为最大，该河多年平均年径流量为0.4424×10</w:t>
      </w:r>
      <w:r>
        <w:rPr>
          <w:vertAlign w:val="superscript"/>
        </w:rPr>
        <w:t>8</w:t>
      </w:r>
      <w:r>
        <w:t>m</w:t>
      </w:r>
      <w:r>
        <w:rPr>
          <w:vertAlign w:val="superscript"/>
        </w:rPr>
        <w:t>3</w:t>
      </w:r>
      <w:r>
        <w:t>，年最大径流量为1984年的1.052×10</w:t>
      </w:r>
      <w:r>
        <w:rPr>
          <w:vertAlign w:val="superscript"/>
        </w:rPr>
        <w:t>8</w:t>
      </w:r>
      <w:r>
        <w:t>m</w:t>
      </w:r>
      <w:r>
        <w:rPr>
          <w:vertAlign w:val="superscript"/>
        </w:rPr>
        <w:t>3</w:t>
      </w:r>
      <w:r>
        <w:t>，年最小径流量为1974年的0.2066×10</w:t>
      </w:r>
      <w:r>
        <w:rPr>
          <w:vertAlign w:val="superscript"/>
        </w:rPr>
        <w:t>8</w:t>
      </w:r>
      <w:r>
        <w:t>m</w:t>
      </w:r>
      <w:r>
        <w:rPr>
          <w:vertAlign w:val="superscript"/>
        </w:rPr>
        <w:t>3</w:t>
      </w:r>
      <w:r>
        <w:t>；另5条河的多年平均年径流量均小于0.2×108m3，具体数值分别为英格堡河0.0814×108m3、水磨沟河0.0877×10</w:t>
      </w:r>
      <w:r>
        <w:rPr>
          <w:vertAlign w:val="superscript"/>
        </w:rPr>
        <w:t>8</w:t>
      </w:r>
      <w:r>
        <w:t>m</w:t>
      </w:r>
      <w:r>
        <w:rPr>
          <w:vertAlign w:val="superscript"/>
        </w:rPr>
        <w:t>3</w:t>
      </w:r>
      <w:r>
        <w:t>、东城河0.0795×10</w:t>
      </w:r>
      <w:r>
        <w:rPr>
          <w:vertAlign w:val="superscript"/>
        </w:rPr>
        <w:t>8</w:t>
      </w:r>
      <w:r>
        <w:t>m</w:t>
      </w:r>
      <w:r>
        <w:rPr>
          <w:vertAlign w:val="superscript"/>
        </w:rPr>
        <w:t>3</w:t>
      </w:r>
      <w:r>
        <w:t>、白杨河0.07307×10</w:t>
      </w:r>
      <w:r>
        <w:rPr>
          <w:vertAlign w:val="superscript"/>
        </w:rPr>
        <w:t>8</w:t>
      </w:r>
      <w:r>
        <w:t>m</w:t>
      </w:r>
      <w:r>
        <w:rPr>
          <w:vertAlign w:val="superscript"/>
        </w:rPr>
        <w:t>3</w:t>
      </w:r>
      <w:r>
        <w:t>、博斯塘河0.0801×10</w:t>
      </w:r>
      <w:r>
        <w:rPr>
          <w:vertAlign w:val="superscript"/>
        </w:rPr>
        <w:t>8</w:t>
      </w:r>
      <w:r>
        <w:t>m</w:t>
      </w:r>
      <w:r>
        <w:rPr>
          <w:vertAlign w:val="superscript"/>
        </w:rPr>
        <w:t>3</w:t>
      </w:r>
      <w:r>
        <w:rPr>
          <w:rFonts w:hint="eastAsia"/>
        </w:rPr>
        <w:t>。</w:t>
      </w:r>
      <w:r>
        <w:t>6条河的集水面积分别为英格堡河60.6km</w:t>
      </w:r>
      <w:r>
        <w:rPr>
          <w:vertAlign w:val="superscript"/>
        </w:rPr>
        <w:t>2</w:t>
      </w:r>
      <w:r>
        <w:t>、水磨沟河89.5km</w:t>
      </w:r>
      <w:r>
        <w:rPr>
          <w:vertAlign w:val="superscript"/>
        </w:rPr>
        <w:t>2</w:t>
      </w:r>
      <w:r>
        <w:t>、东城河83.8km</w:t>
      </w:r>
      <w:r>
        <w:rPr>
          <w:vertAlign w:val="superscript"/>
        </w:rPr>
        <w:t>2</w:t>
      </w:r>
      <w:r>
        <w:t>、木垒河467km</w:t>
      </w:r>
      <w:r>
        <w:rPr>
          <w:vertAlign w:val="superscript"/>
        </w:rPr>
        <w:t>2</w:t>
      </w:r>
      <w:r>
        <w:t>、白杨河80km</w:t>
      </w:r>
      <w:r>
        <w:rPr>
          <w:vertAlign w:val="superscript"/>
        </w:rPr>
        <w:t>2</w:t>
      </w:r>
      <w:r>
        <w:t>、博斯塘河74.5km</w:t>
      </w:r>
      <w:r>
        <w:rPr>
          <w:vertAlign w:val="superscript"/>
        </w:rPr>
        <w:t>2</w:t>
      </w:r>
      <w:r>
        <w:rPr>
          <w:rFonts w:hint="eastAsia"/>
        </w:rPr>
        <w:t>。</w:t>
      </w:r>
    </w:p>
    <w:p w14:paraId="76D2BA2A">
      <w:pPr>
        <w:spacing w:line="500" w:lineRule="exact"/>
        <w:ind w:firstLine="480"/>
      </w:pPr>
      <w:r>
        <w:t>除上述6条河流外，木垒县境内山区还分布有17条泉水沟和81处泉眼</w:t>
      </w:r>
      <w:r>
        <w:rPr>
          <w:rFonts w:hint="eastAsia"/>
        </w:rPr>
        <w:t>。</w:t>
      </w:r>
      <w:r>
        <w:t>17条泉水沟中有16条位于南部山区，这16条泉水沟分别为庙尔沟、菜籽沟、孙家沟、沈家沟、芦塘沟、响水河子、沙尔塞克、哈什湖、大浪沙、小浪沙、七城子、白石头沟、江湖里、乌宗布拉克、大石头沟及西地沟</w:t>
      </w:r>
      <w:r>
        <w:rPr>
          <w:rFonts w:hint="eastAsia"/>
        </w:rPr>
        <w:t>。</w:t>
      </w:r>
      <w:r>
        <w:t>16条泉水沟中小浪沙、七城子、白石头沟、江湖里、乌宗布拉克、大石头沟及西地沟等7条泉水沟集中分布在大石头乡一带；另9条泉水沟则散布于6条河流之间</w:t>
      </w:r>
      <w:r>
        <w:rPr>
          <w:rFonts w:hint="eastAsia"/>
        </w:rPr>
        <w:t>。</w:t>
      </w:r>
      <w:r>
        <w:t>还有1条泉水沟蒙勒克山泉水沟位于木垒境内东部山区</w:t>
      </w:r>
      <w:r>
        <w:rPr>
          <w:rFonts w:hint="eastAsia"/>
        </w:rPr>
        <w:t>。</w:t>
      </w:r>
      <w:r>
        <w:t>泉水沟年径流量为0.1224×10</w:t>
      </w:r>
      <w:r>
        <w:rPr>
          <w:vertAlign w:val="superscript"/>
        </w:rPr>
        <w:t>8</w:t>
      </w:r>
      <w:r>
        <w:t>m</w:t>
      </w:r>
      <w:r>
        <w:rPr>
          <w:vertAlign w:val="superscript"/>
        </w:rPr>
        <w:t>3</w:t>
      </w:r>
      <w:r>
        <w:rPr>
          <w:rFonts w:hint="eastAsia"/>
        </w:rPr>
        <w:t>。</w:t>
      </w:r>
      <w:r>
        <w:t>81处泉眼则散布于南、北、东山区、年径流量共0.0676×108m</w:t>
      </w:r>
      <w:r>
        <w:rPr>
          <w:vertAlign w:val="superscript"/>
        </w:rPr>
        <w:t>3</w:t>
      </w:r>
      <w:r>
        <w:rPr>
          <w:rFonts w:hint="eastAsia"/>
        </w:rPr>
        <w:t>。</w:t>
      </w:r>
      <w:r>
        <w:t>总计山泉年径流量为0.1900×10</w:t>
      </w:r>
      <w:r>
        <w:rPr>
          <w:vertAlign w:val="superscript"/>
        </w:rPr>
        <w:t>8</w:t>
      </w:r>
      <w:r>
        <w:t>m</w:t>
      </w:r>
      <w:r>
        <w:rPr>
          <w:vertAlign w:val="superscript"/>
        </w:rPr>
        <w:t>3</w:t>
      </w:r>
      <w:r>
        <w:rPr>
          <w:rFonts w:hint="eastAsia"/>
        </w:rPr>
        <w:t>。</w:t>
      </w:r>
    </w:p>
    <w:p w14:paraId="0D3CE6C1">
      <w:pPr>
        <w:spacing w:line="500" w:lineRule="exact"/>
        <w:ind w:firstLine="480"/>
      </w:pPr>
      <w:r>
        <w:t>因山小源近流程短，源头又无现代冰川补给，地表径流受降水控制和影响，年内和年际变化都较大</w:t>
      </w:r>
      <w:r>
        <w:rPr>
          <w:rFonts w:hint="eastAsia"/>
        </w:rPr>
        <w:t>。</w:t>
      </w:r>
    </w:p>
    <w:p w14:paraId="746D3993">
      <w:pPr>
        <w:spacing w:line="500" w:lineRule="exact"/>
        <w:ind w:firstLine="480"/>
      </w:pPr>
      <w:r>
        <w:t>全县共有16座拦蓄水库，其中中型水库1座，小（Ⅰ）型水库8座，小（Ⅱ）型水库7座，设计蓄水总库容达到4267万m</w:t>
      </w:r>
      <w:r>
        <w:rPr>
          <w:vertAlign w:val="superscript"/>
        </w:rPr>
        <w:t>3</w:t>
      </w:r>
      <w:r>
        <w:rPr>
          <w:rFonts w:hint="eastAsia"/>
        </w:rPr>
        <w:t>。</w:t>
      </w:r>
      <w:r>
        <w:t>全县共有坎儿井17条；成井613眼</w:t>
      </w:r>
      <w:r>
        <w:rPr>
          <w:rFonts w:hint="eastAsia"/>
        </w:rPr>
        <w:t>。</w:t>
      </w:r>
      <w:r>
        <w:t>木垒县六条河流都建有引水工程，引水流量为0.5～15m</w:t>
      </w:r>
      <w:r>
        <w:rPr>
          <w:vertAlign w:val="superscript"/>
        </w:rPr>
        <w:t>3</w:t>
      </w:r>
      <w:r>
        <w:t>/s，共有各类渠道1341km，其中防渗渠道1287km</w:t>
      </w:r>
      <w:r>
        <w:rPr>
          <w:rFonts w:hint="eastAsia"/>
        </w:rPr>
        <w:t>。</w:t>
      </w:r>
    </w:p>
    <w:p w14:paraId="1D46B6D6">
      <w:pPr>
        <w:pStyle w:val="5"/>
      </w:pPr>
      <w:bookmarkStart w:id="135" w:name="_Toc106663484"/>
      <w:r>
        <w:rPr>
          <w:rFonts w:hint="eastAsia"/>
        </w:rPr>
        <w:t>4.1.4气候、气象</w:t>
      </w:r>
      <w:bookmarkEnd w:id="135"/>
    </w:p>
    <w:p w14:paraId="3CE10217">
      <w:pPr>
        <w:spacing w:line="480" w:lineRule="exact"/>
        <w:ind w:firstLine="480"/>
        <w:rPr>
          <w:szCs w:val="24"/>
        </w:rPr>
      </w:pPr>
      <w:r>
        <w:rPr>
          <w:rFonts w:hint="eastAsia"/>
          <w:szCs w:val="24"/>
        </w:rPr>
        <w:t>木垒县地处欧亚大陆中心，远离海洋，只有西风气流把大西洋上空的湿润空气，经过长途跋涉带入我区，形成降水。从西伯利亚来的强冷空气，从西北方入侵县境，常造成大风和降温天气。由于木垒县所处地理位置和地形地貌的差异，大部分地区的气候特点是：冬季寒冷而漫长，夏季短而比较凉爽，光照充足，春、夏多风，降水少，属大陆性气候</w:t>
      </w:r>
    </w:p>
    <w:p w14:paraId="1F19F7BC">
      <w:pPr>
        <w:spacing w:line="480" w:lineRule="exact"/>
        <w:ind w:firstLine="480"/>
        <w:rPr>
          <w:szCs w:val="24"/>
        </w:rPr>
      </w:pPr>
      <w:r>
        <w:rPr>
          <w:rFonts w:hint="eastAsia"/>
          <w:szCs w:val="24"/>
        </w:rPr>
        <w:t>受地形地貌、植被的影响，地区差异性明显：平原小于山区，西部多于东部。沙漠区年降水量100～150mm，戈壁平原地带常年降水量150～250mm，山前丘陵区在照壁山以西为250mm～400mm，以东250mm左右。每年降水量主要集中在4～9月，占全年降水量的80%。</w:t>
      </w:r>
    </w:p>
    <w:p w14:paraId="4241B6CC">
      <w:pPr>
        <w:spacing w:line="480" w:lineRule="exact"/>
        <w:ind w:firstLine="480"/>
        <w:rPr>
          <w:szCs w:val="24"/>
        </w:rPr>
      </w:pPr>
      <w:r>
        <w:rPr>
          <w:rFonts w:hint="eastAsia"/>
          <w:szCs w:val="24"/>
        </w:rPr>
        <w:t>木垒蒸发量存在垂直分带及水平分带性。木垒河以西山前丘陵蒸发量一般为200～2100mm，木垒河以东为2100～2200mm，戈壁平原及沙漠区为2200～2430mm。蒸发主要集中于每年的5～9月份，占全年蒸发量的72.3%。</w:t>
      </w:r>
    </w:p>
    <w:p w14:paraId="6E0E7F3B">
      <w:pPr>
        <w:spacing w:line="480" w:lineRule="exact"/>
        <w:ind w:firstLine="480"/>
        <w:rPr>
          <w:szCs w:val="24"/>
        </w:rPr>
      </w:pPr>
      <w:r>
        <w:rPr>
          <w:rFonts w:hint="eastAsia"/>
          <w:szCs w:val="24"/>
        </w:rPr>
        <w:t>木垒县由于地形地貌的不同，温度具有明显的差异：秋季和春季相差不大，冬季和夏季气温相差悬殊。</w:t>
      </w:r>
    </w:p>
    <w:p w14:paraId="3D33F371">
      <w:pPr>
        <w:spacing w:line="480" w:lineRule="exact"/>
        <w:ind w:firstLine="480"/>
        <w:rPr>
          <w:szCs w:val="24"/>
        </w:rPr>
      </w:pPr>
      <w:r>
        <w:rPr>
          <w:rFonts w:hint="eastAsia"/>
          <w:szCs w:val="24"/>
        </w:rPr>
        <w:t>各地风速除山区外，其余各地均较大，其中以大石头地区最大，其次为雀仁乡。春夏多西风，秋季西风、南风各半。</w:t>
      </w:r>
    </w:p>
    <w:p w14:paraId="0D0F1D61">
      <w:pPr>
        <w:spacing w:line="480" w:lineRule="exact"/>
        <w:ind w:firstLine="480"/>
        <w:rPr>
          <w:szCs w:val="24"/>
        </w:rPr>
      </w:pPr>
      <w:r>
        <w:rPr>
          <w:rFonts w:hint="eastAsia"/>
          <w:szCs w:val="24"/>
        </w:rPr>
        <w:t>木垒县近30年常规气候统计资料如下：</w:t>
      </w:r>
    </w:p>
    <w:p w14:paraId="17E6D839">
      <w:pPr>
        <w:spacing w:line="480" w:lineRule="exact"/>
        <w:ind w:firstLine="480"/>
        <w:rPr>
          <w:szCs w:val="24"/>
        </w:rPr>
      </w:pPr>
      <w:r>
        <w:rPr>
          <w:rFonts w:hint="eastAsia"/>
          <w:szCs w:val="24"/>
        </w:rPr>
        <w:t>年平均气温5.3℃</w:t>
      </w:r>
    </w:p>
    <w:p w14:paraId="0E01CF36">
      <w:pPr>
        <w:spacing w:line="480" w:lineRule="exact"/>
        <w:ind w:firstLine="480"/>
        <w:rPr>
          <w:szCs w:val="24"/>
        </w:rPr>
      </w:pPr>
      <w:r>
        <w:rPr>
          <w:rFonts w:hint="eastAsia"/>
          <w:szCs w:val="24"/>
        </w:rPr>
        <w:t>极端最高气温36.5℃</w:t>
      </w:r>
    </w:p>
    <w:p w14:paraId="76770F8C">
      <w:pPr>
        <w:spacing w:line="480" w:lineRule="exact"/>
        <w:ind w:firstLine="480"/>
        <w:rPr>
          <w:szCs w:val="24"/>
        </w:rPr>
      </w:pPr>
      <w:r>
        <w:rPr>
          <w:rFonts w:hint="eastAsia"/>
          <w:szCs w:val="24"/>
        </w:rPr>
        <w:t>极端最低气温-31.0℃</w:t>
      </w:r>
    </w:p>
    <w:p w14:paraId="509C7242">
      <w:pPr>
        <w:spacing w:line="480" w:lineRule="exact"/>
        <w:ind w:firstLine="480"/>
        <w:rPr>
          <w:szCs w:val="24"/>
        </w:rPr>
      </w:pPr>
      <w:r>
        <w:rPr>
          <w:rFonts w:hint="eastAsia"/>
          <w:szCs w:val="24"/>
        </w:rPr>
        <w:t>年平均本站气压875.3hPa</w:t>
      </w:r>
    </w:p>
    <w:p w14:paraId="1CD82652">
      <w:pPr>
        <w:spacing w:line="480" w:lineRule="exact"/>
        <w:ind w:firstLine="480"/>
        <w:rPr>
          <w:szCs w:val="24"/>
        </w:rPr>
      </w:pPr>
      <w:r>
        <w:rPr>
          <w:rFonts w:hint="eastAsia"/>
          <w:szCs w:val="24"/>
        </w:rPr>
        <w:t>年平均水气压5.6</w:t>
      </w:r>
    </w:p>
    <w:p w14:paraId="2B42D130">
      <w:pPr>
        <w:spacing w:line="480" w:lineRule="exact"/>
        <w:ind w:firstLine="480"/>
        <w:rPr>
          <w:szCs w:val="24"/>
        </w:rPr>
      </w:pPr>
      <w:r>
        <w:rPr>
          <w:rFonts w:hint="eastAsia"/>
          <w:szCs w:val="24"/>
        </w:rPr>
        <w:t>年平均相对湿度55%</w:t>
      </w:r>
    </w:p>
    <w:p w14:paraId="3D5FD729">
      <w:pPr>
        <w:spacing w:line="480" w:lineRule="exact"/>
        <w:ind w:firstLine="480"/>
        <w:rPr>
          <w:szCs w:val="24"/>
        </w:rPr>
      </w:pPr>
      <w:r>
        <w:rPr>
          <w:rFonts w:hint="eastAsia"/>
          <w:szCs w:val="24"/>
        </w:rPr>
        <w:t>最小相对湿度4%</w:t>
      </w:r>
    </w:p>
    <w:p w14:paraId="20CE06A1">
      <w:pPr>
        <w:spacing w:line="480" w:lineRule="exact"/>
        <w:ind w:firstLine="480"/>
        <w:rPr>
          <w:szCs w:val="24"/>
        </w:rPr>
      </w:pPr>
      <w:r>
        <w:rPr>
          <w:rFonts w:hint="eastAsia"/>
          <w:szCs w:val="24"/>
        </w:rPr>
        <w:t>年平均风速3.8m/s</w:t>
      </w:r>
    </w:p>
    <w:p w14:paraId="1AE113F3">
      <w:pPr>
        <w:spacing w:line="480" w:lineRule="exact"/>
        <w:ind w:firstLine="480"/>
        <w:rPr>
          <w:szCs w:val="24"/>
        </w:rPr>
      </w:pPr>
      <w:r>
        <w:rPr>
          <w:rFonts w:hint="eastAsia"/>
          <w:szCs w:val="24"/>
        </w:rPr>
        <w:t>主导风向SSW</w:t>
      </w:r>
    </w:p>
    <w:p w14:paraId="47C7135D">
      <w:pPr>
        <w:spacing w:line="480" w:lineRule="exact"/>
        <w:ind w:firstLine="480"/>
        <w:rPr>
          <w:szCs w:val="24"/>
        </w:rPr>
      </w:pPr>
      <w:r>
        <w:rPr>
          <w:rFonts w:hint="eastAsia"/>
          <w:szCs w:val="24"/>
        </w:rPr>
        <w:t>十分钟平均最大风速3.16m/s</w:t>
      </w:r>
    </w:p>
    <w:p w14:paraId="3B3EB891">
      <w:pPr>
        <w:spacing w:line="480" w:lineRule="exact"/>
        <w:ind w:firstLine="480"/>
        <w:rPr>
          <w:szCs w:val="24"/>
        </w:rPr>
      </w:pPr>
      <w:r>
        <w:rPr>
          <w:rFonts w:hint="eastAsia"/>
          <w:szCs w:val="24"/>
        </w:rPr>
        <w:t>年平均降水量326.4mm</w:t>
      </w:r>
    </w:p>
    <w:p w14:paraId="703B6E16">
      <w:pPr>
        <w:spacing w:line="480" w:lineRule="exact"/>
        <w:ind w:firstLine="0" w:firstLineChars="0"/>
        <w:rPr>
          <w:b/>
          <w:bCs/>
          <w:sz w:val="28"/>
          <w:szCs w:val="32"/>
        </w:rPr>
      </w:pPr>
      <w:r>
        <w:rPr>
          <w:rFonts w:hint="eastAsia"/>
          <w:b/>
          <w:bCs/>
          <w:sz w:val="28"/>
          <w:szCs w:val="32"/>
        </w:rPr>
        <w:t>4.1.5自然资源</w:t>
      </w:r>
    </w:p>
    <w:p w14:paraId="32FB32E9">
      <w:pPr>
        <w:pStyle w:val="53"/>
        <w:adjustRightInd/>
        <w:spacing w:line="480" w:lineRule="exact"/>
        <w:ind w:left="0" w:firstLine="480" w:firstLineChars="200"/>
        <w:jc w:val="both"/>
        <w:textAlignment w:val="auto"/>
        <w:rPr>
          <w:rFonts w:ascii="Times New Roman" w:eastAsia="宋体" w:cs="宋体"/>
          <w:szCs w:val="24"/>
        </w:rPr>
      </w:pPr>
      <w:r>
        <w:rPr>
          <w:rFonts w:hint="eastAsia" w:ascii="Times New Roman" w:eastAsia="宋体" w:cs="宋体"/>
          <w:szCs w:val="24"/>
        </w:rPr>
        <w:t>（1）土壤与植被</w:t>
      </w:r>
    </w:p>
    <w:p w14:paraId="69DCE44B">
      <w:pPr>
        <w:pStyle w:val="53"/>
        <w:adjustRightInd/>
        <w:spacing w:line="480" w:lineRule="exact"/>
        <w:ind w:left="0" w:firstLine="480" w:firstLineChars="200"/>
        <w:jc w:val="both"/>
        <w:textAlignment w:val="auto"/>
        <w:rPr>
          <w:rFonts w:ascii="Times New Roman" w:eastAsia="宋体" w:cs="宋体"/>
          <w:szCs w:val="24"/>
        </w:rPr>
      </w:pPr>
      <w:r>
        <w:rPr>
          <w:rFonts w:hint="eastAsia" w:ascii="Times New Roman" w:eastAsia="宋体" w:cs="宋体"/>
          <w:szCs w:val="24"/>
        </w:rPr>
        <w:t>木垒县南部山区主要土类为黑钙土、栗钙土和草甸土，土壤中有机质含量较高，大浪沙以西的山区由于地势高峻，受湿润气流的影响，植被垂直带发育较完整。海拔2700～3482m的山地，植被由苔草、蒿草、珠牙蓼、委陵菜、高山早熟禾、羊茅、火绒草等组成，草层高度4～8cm，盖度30%～80%。海拔1700～2700m的地带土壤肥沃，雨量充沛，植被种类丰富，在阴坡由高大的雪岭云杉、杨树、柳树、桦树等组成，阳坡沟谷林间空地由禾本科、菊科、牛儿苗科、豆科、莎草科、蔷薇科等植物组成不同群落，草层高度20～60m，植被盖度50%～80%。大浪沙以东至大石头地区，地形逐渐低缓，气候变干，植被种类由西部的旱生或中旱生为主逐渐转向以旱生和超旱生为主，种类和数量明显减少。</w:t>
      </w:r>
    </w:p>
    <w:p w14:paraId="5A2EEE4E">
      <w:pPr>
        <w:pStyle w:val="53"/>
        <w:adjustRightInd/>
        <w:spacing w:line="480" w:lineRule="exact"/>
        <w:ind w:left="0" w:firstLine="480" w:firstLineChars="200"/>
        <w:jc w:val="both"/>
        <w:textAlignment w:val="auto"/>
        <w:rPr>
          <w:rFonts w:ascii="Times New Roman" w:eastAsia="宋体" w:cs="宋体"/>
          <w:szCs w:val="24"/>
        </w:rPr>
      </w:pPr>
      <w:r>
        <w:rPr>
          <w:rFonts w:hint="eastAsia" w:ascii="Times New Roman" w:eastAsia="宋体" w:cs="宋体"/>
          <w:szCs w:val="24"/>
        </w:rPr>
        <w:t>山前丘陵带在大浪沙以西至英格堡一带主要土类以栗钙土和棕钙土为主，有少量灌耕土，有机质及养分含量高，土地肥沃，土层深厚，这一地区气候比较湿。润，植被以草甸草原为主，常见植物有铁杆蒿、灌木亚菊、糙苏、老观草、唇香花、蓬子菜、羊茅、早熟禾、苔草等，灌木有蔷薇、兔儿条、锦鸡儿等，草层高度10～25cm，总盖度20%～80%。大浪沙以东至大石头一带气候较干旱，降水较西部少，土壤为栗钙土、棕钙土和草甸土，土地贫瘠，有机质含量低，土层较薄，一般厚度30～50cm。植被主要以荒漠草原为主，油锦鸡儿、针茅、羊茅、冰草、沙生针茅、蒿子、沙葱、小蓬、地肤、苔草、驼绒黎、假木贼、麻黄等组成不同群落，这一地区干旱多风，地表常以砂砾石和风化碎石覆盖，草层高度一般在5～20cm，总盖度30%～40%。</w:t>
      </w:r>
    </w:p>
    <w:p w14:paraId="5579171A">
      <w:pPr>
        <w:pStyle w:val="53"/>
        <w:adjustRightInd/>
        <w:spacing w:line="480" w:lineRule="exact"/>
        <w:ind w:left="0" w:firstLine="480" w:firstLineChars="200"/>
        <w:jc w:val="both"/>
        <w:textAlignment w:val="auto"/>
        <w:rPr>
          <w:rFonts w:ascii="Times New Roman" w:eastAsia="宋体" w:cs="宋体"/>
          <w:szCs w:val="24"/>
        </w:rPr>
      </w:pPr>
      <w:r>
        <w:rPr>
          <w:rFonts w:hint="eastAsia" w:ascii="Times New Roman" w:eastAsia="宋体" w:cs="宋体"/>
          <w:szCs w:val="24"/>
        </w:rPr>
        <w:t>中部平原南起山前丘陵下部，北至沙漠南缘，包括整个冲积、洪积平原，土壤主要有棕钙土、灰漠土、灌耕土、盐土、风沙土等。骆驼路以南为中上戈壁，为河灌区，土壤以棕钙土为主，并有部分灌耕土、灰漠土，土层厚度60～100cm，土壤质地板结，保水保肥性能差，有机质缺乏。骆驼路以北为下戈壁，属井灌区，土壤有灰漠土、盐土、风沙土，土层厚1～2m，土壤易板结，部分地区被风蚀、沙化明显，有机质含量低，pH值9～9.5，属碱性土壤。沙漠以南的广大平原区，植被主要以蒿子、地肤、驼绒黎和一年生植物叉毛蓬、角果黎、猪毛菜等组成的荒漠植被，草层高度5～20cm，植被盖度20%～40%。</w:t>
      </w:r>
    </w:p>
    <w:p w14:paraId="21782873">
      <w:pPr>
        <w:pStyle w:val="53"/>
        <w:adjustRightInd/>
        <w:spacing w:line="480" w:lineRule="exact"/>
        <w:ind w:left="0" w:firstLine="480" w:firstLineChars="200"/>
        <w:jc w:val="both"/>
        <w:textAlignment w:val="auto"/>
        <w:rPr>
          <w:rFonts w:ascii="Times New Roman" w:eastAsia="宋体" w:cs="宋体"/>
          <w:szCs w:val="24"/>
        </w:rPr>
      </w:pPr>
      <w:r>
        <w:rPr>
          <w:rFonts w:hint="eastAsia" w:ascii="Times New Roman" w:eastAsia="宋体" w:cs="宋体"/>
          <w:szCs w:val="24"/>
        </w:rPr>
        <w:t>北部沙漠、戈壁区南起平原北缘，北至北塔山南缘，土壤为风沙土、盐土和草甸土，沙漠区植被主要由梭梭、沙蒿、柽柳、盐节木、沙蒿、驼绒黎、琵琶柴、三芒草、曲尖麻黄、猪毛菜、沙米等组成，盖度一般在20%～45%。二道沙梁以北的地区，土壤基质均不同程度地出现砾质化，植被主要由超旱生灌木、半灌木组成，一年生草本逐渐消失，有曲尖麻黄、中麻黄、霸王、梭梭、猪毛菜、琵琶柴、假木贼、驼绒黎、戈壁针茅等灌木、半灌木及短命草本植物组成，草层高度10～20cm，植被盖度10%～30%。在北塔山盐池周围、哈依纳尔哈斯木托浪格等地有散生片状胡杨林，伴生有柽柳。</w:t>
      </w:r>
    </w:p>
    <w:p w14:paraId="19B47BC0">
      <w:pPr>
        <w:pStyle w:val="53"/>
        <w:adjustRightInd/>
        <w:spacing w:line="480" w:lineRule="exact"/>
        <w:ind w:left="0" w:firstLine="480" w:firstLineChars="200"/>
        <w:jc w:val="both"/>
        <w:textAlignment w:val="auto"/>
        <w:rPr>
          <w:rFonts w:ascii="Times New Roman" w:eastAsia="宋体"/>
          <w:bCs/>
        </w:rPr>
      </w:pPr>
      <w:r>
        <w:rPr>
          <w:rFonts w:hint="eastAsia" w:ascii="Times New Roman" w:eastAsia="宋体" w:cs="宋体"/>
          <w:szCs w:val="24"/>
        </w:rPr>
        <w:t>北部山区山势较低，石质面积大，土壤为淡棕钙土、淡栗钙土，北坡沟谷处西伯利亚落叶松零星分布，阴坡沟槽有忍冬、绣线菊、圆柏、山楂树、锦鸡儿等灌木半灌木。该区水源缺乏，水草组合极差，植被有曲尖麻黄、中麻黄、假木贼、木本猪毛菜、驼绒黎和少量戈壁针茅、细柄茅等，草层高度10～20cm，盖度一般在20%～30%。</w:t>
      </w:r>
    </w:p>
    <w:p w14:paraId="3BFC4287">
      <w:pPr>
        <w:pStyle w:val="53"/>
        <w:adjustRightInd/>
        <w:spacing w:line="480" w:lineRule="exact"/>
        <w:ind w:left="0" w:firstLine="480" w:firstLineChars="200"/>
        <w:jc w:val="both"/>
        <w:textAlignment w:val="auto"/>
        <w:rPr>
          <w:rFonts w:ascii="Times New Roman" w:eastAsia="宋体" w:cs="宋体"/>
          <w:szCs w:val="24"/>
        </w:rPr>
      </w:pPr>
      <w:r>
        <w:rPr>
          <w:rFonts w:hint="eastAsia" w:ascii="Times New Roman" w:eastAsia="宋体" w:cs="宋体"/>
          <w:szCs w:val="24"/>
        </w:rPr>
        <w:t>（2）野生动物</w:t>
      </w:r>
    </w:p>
    <w:p w14:paraId="5790FD59">
      <w:pPr>
        <w:pStyle w:val="53"/>
        <w:adjustRightInd/>
        <w:spacing w:line="480" w:lineRule="exact"/>
        <w:ind w:left="0" w:firstLine="480" w:firstLineChars="200"/>
        <w:jc w:val="both"/>
        <w:textAlignment w:val="auto"/>
        <w:rPr>
          <w:rFonts w:ascii="Times New Roman" w:eastAsia="宋体"/>
          <w:bCs/>
        </w:rPr>
      </w:pPr>
      <w:r>
        <w:rPr>
          <w:rFonts w:hint="eastAsia" w:ascii="Times New Roman" w:eastAsia="宋体" w:cs="宋体"/>
          <w:szCs w:val="24"/>
        </w:rPr>
        <w:t>木垒哈萨克自治县主要分布各类脊椎动物26目，55科，178种；鸟类16目，36科，127种；兽类6目，12科，38种。国家一级保护动物5种，国家二级保护动物19种。其中鸟类一级有金雕、玉带海雕、波斑鸨等三种，二级15种，主要为隼形目和号鸟形目的种类；兽类一级有雪豹、北山羊等2种，二级有石貂、猞猁、盘羊、鹅喉羚等4种。</w:t>
      </w:r>
    </w:p>
    <w:p w14:paraId="70542408">
      <w:pPr>
        <w:pStyle w:val="53"/>
        <w:adjustRightInd/>
        <w:spacing w:line="480" w:lineRule="exact"/>
        <w:ind w:left="0" w:firstLine="480" w:firstLineChars="200"/>
        <w:jc w:val="both"/>
        <w:textAlignment w:val="auto"/>
        <w:rPr>
          <w:rFonts w:ascii="Times New Roman" w:eastAsia="宋体" w:cs="宋体"/>
          <w:szCs w:val="24"/>
        </w:rPr>
      </w:pPr>
      <w:r>
        <w:rPr>
          <w:rFonts w:hint="eastAsia" w:ascii="Times New Roman" w:eastAsia="宋体" w:cs="宋体"/>
          <w:szCs w:val="24"/>
        </w:rPr>
        <w:t>（3）区域矿产资源概况</w:t>
      </w:r>
    </w:p>
    <w:p w14:paraId="66F74BE7">
      <w:pPr>
        <w:pStyle w:val="53"/>
        <w:adjustRightInd/>
        <w:spacing w:line="480" w:lineRule="exact"/>
        <w:ind w:left="0" w:firstLine="480" w:firstLineChars="200"/>
        <w:jc w:val="both"/>
        <w:textAlignment w:val="auto"/>
        <w:rPr>
          <w:rFonts w:ascii="Times New Roman" w:eastAsia="宋体"/>
          <w:bCs/>
        </w:rPr>
      </w:pPr>
      <w:r>
        <w:rPr>
          <w:rFonts w:hint="eastAsia" w:ascii="Times New Roman" w:eastAsia="宋体" w:cs="宋体"/>
          <w:szCs w:val="24"/>
        </w:rPr>
        <w:t>木垒哈萨克自治县境内矿产资源主要有煤、铜、金、石灰石、菱铁矿、湖盐、沸石、辉绿岩、方解石、云母、石棉矿、石墨、黄铁矿、辉铜矿、滑石、石英矿、砂页岩、磁铁矿、赤铁矿、铅锌矿、钾盐等三十多种。</w:t>
      </w:r>
    </w:p>
    <w:p w14:paraId="3827C6A5">
      <w:pPr>
        <w:pStyle w:val="4"/>
      </w:pPr>
      <w:bookmarkStart w:id="136" w:name="_Toc89619341"/>
      <w:r>
        <w:rPr>
          <w:rFonts w:hint="eastAsia"/>
        </w:rPr>
        <w:t>4.2环境质量现状调查与评价</w:t>
      </w:r>
      <w:bookmarkEnd w:id="136"/>
    </w:p>
    <w:p w14:paraId="68FC66BB">
      <w:pPr>
        <w:pStyle w:val="5"/>
      </w:pPr>
      <w:bookmarkStart w:id="137" w:name="_Toc106663486"/>
      <w:r>
        <w:rPr>
          <w:rFonts w:hint="eastAsia"/>
        </w:rPr>
        <w:t>4.2.1大气环境现状调查与评价</w:t>
      </w:r>
      <w:bookmarkEnd w:id="137"/>
    </w:p>
    <w:p w14:paraId="35FDF604">
      <w:pPr>
        <w:pStyle w:val="6"/>
        <w:ind w:firstLine="482"/>
      </w:pPr>
      <w:r>
        <w:rPr>
          <w:rFonts w:hint="eastAsia"/>
        </w:rPr>
        <w:t>4.2.1.1环境空气污染物基本项目</w:t>
      </w:r>
    </w:p>
    <w:p w14:paraId="6AD3C860">
      <w:pPr>
        <w:spacing w:line="500" w:lineRule="exact"/>
        <w:ind w:firstLine="480"/>
        <w:rPr>
          <w:szCs w:val="24"/>
        </w:rPr>
      </w:pPr>
      <w:r>
        <w:rPr>
          <w:rFonts w:hint="eastAsia"/>
          <w:szCs w:val="24"/>
        </w:rPr>
        <w:t>根据《环境影响评价技术导则大气环境》（HJ2.2-2018）的要求，分别对基本污染物的环境质量现状进行评价。木垒县2022年SO</w:t>
      </w:r>
      <w:r>
        <w:rPr>
          <w:rFonts w:hint="eastAsia"/>
          <w:szCs w:val="24"/>
          <w:vertAlign w:val="subscript"/>
        </w:rPr>
        <w:t>2</w:t>
      </w:r>
      <w:r>
        <w:rPr>
          <w:rFonts w:hint="eastAsia"/>
          <w:szCs w:val="24"/>
        </w:rPr>
        <w:t>、NO</w:t>
      </w:r>
      <w:r>
        <w:rPr>
          <w:rFonts w:hint="eastAsia"/>
          <w:szCs w:val="24"/>
          <w:vertAlign w:val="subscript"/>
        </w:rPr>
        <w:t>2</w:t>
      </w:r>
      <w:r>
        <w:rPr>
          <w:rFonts w:hint="eastAsia"/>
          <w:szCs w:val="24"/>
        </w:rPr>
        <w:t>、PM</w:t>
      </w:r>
      <w:r>
        <w:rPr>
          <w:rFonts w:hint="eastAsia"/>
          <w:szCs w:val="24"/>
          <w:vertAlign w:val="subscript"/>
        </w:rPr>
        <w:t>10</w:t>
      </w:r>
      <w:r>
        <w:rPr>
          <w:rFonts w:hint="eastAsia"/>
          <w:szCs w:val="24"/>
        </w:rPr>
        <w:t>、PM</w:t>
      </w:r>
      <w:r>
        <w:rPr>
          <w:rFonts w:hint="eastAsia"/>
          <w:szCs w:val="24"/>
          <w:vertAlign w:val="subscript"/>
        </w:rPr>
        <w:t>2.5</w:t>
      </w:r>
      <w:r>
        <w:rPr>
          <w:rFonts w:hint="eastAsia"/>
          <w:szCs w:val="24"/>
        </w:rPr>
        <w:t>年均浓度分别为11μg/m</w:t>
      </w:r>
      <w:r>
        <w:rPr>
          <w:rFonts w:hint="eastAsia"/>
          <w:szCs w:val="24"/>
          <w:vertAlign w:val="superscript"/>
        </w:rPr>
        <w:t>3</w:t>
      </w:r>
      <w:r>
        <w:rPr>
          <w:rFonts w:hint="eastAsia"/>
          <w:szCs w:val="24"/>
        </w:rPr>
        <w:t>、23μg/m</w:t>
      </w:r>
      <w:r>
        <w:rPr>
          <w:rFonts w:hint="eastAsia"/>
          <w:szCs w:val="24"/>
          <w:vertAlign w:val="superscript"/>
        </w:rPr>
        <w:t>3</w:t>
      </w:r>
      <w:r>
        <w:rPr>
          <w:rFonts w:hint="eastAsia"/>
          <w:szCs w:val="24"/>
        </w:rPr>
        <w:t>、78μ</w:t>
      </w:r>
      <w:r>
        <w:rPr>
          <w:szCs w:val="24"/>
        </w:rPr>
        <w:t>g</w:t>
      </w:r>
      <w:r>
        <w:rPr>
          <w:rFonts w:hint="eastAsia"/>
          <w:szCs w:val="24"/>
        </w:rPr>
        <w:t>/m</w:t>
      </w:r>
      <w:r>
        <w:rPr>
          <w:rFonts w:hint="eastAsia"/>
          <w:szCs w:val="24"/>
          <w:vertAlign w:val="superscript"/>
        </w:rPr>
        <w:t>3</w:t>
      </w:r>
      <w:r>
        <w:rPr>
          <w:rFonts w:hint="eastAsia"/>
          <w:szCs w:val="24"/>
        </w:rPr>
        <w:t>、45μg/m</w:t>
      </w:r>
      <w:r>
        <w:rPr>
          <w:rFonts w:hint="eastAsia"/>
          <w:szCs w:val="24"/>
          <w:vertAlign w:val="superscript"/>
        </w:rPr>
        <w:t>3</w:t>
      </w:r>
      <w:r>
        <w:rPr>
          <w:rFonts w:hint="eastAsia"/>
          <w:szCs w:val="24"/>
        </w:rPr>
        <w:t>；CO24小时平均第95百分位数为1.7mg/m</w:t>
      </w:r>
      <w:r>
        <w:rPr>
          <w:rFonts w:hint="eastAsia"/>
          <w:szCs w:val="24"/>
          <w:vertAlign w:val="superscript"/>
        </w:rPr>
        <w:t>3</w:t>
      </w:r>
      <w:r>
        <w:rPr>
          <w:rFonts w:hint="eastAsia"/>
          <w:szCs w:val="24"/>
        </w:rPr>
        <w:t>，O</w:t>
      </w:r>
      <w:r>
        <w:rPr>
          <w:rFonts w:hint="eastAsia"/>
          <w:szCs w:val="24"/>
          <w:vertAlign w:val="subscript"/>
        </w:rPr>
        <w:t>3</w:t>
      </w:r>
      <w:r>
        <w:rPr>
          <w:rFonts w:hint="eastAsia"/>
          <w:szCs w:val="24"/>
        </w:rPr>
        <w:t>日最大8小时平均第90百分位数为147μg/m</w:t>
      </w:r>
      <w:r>
        <w:rPr>
          <w:rFonts w:hint="eastAsia"/>
          <w:szCs w:val="24"/>
          <w:vertAlign w:val="superscript"/>
        </w:rPr>
        <w:t>3</w:t>
      </w:r>
      <w:r>
        <w:rPr>
          <w:rFonts w:hint="eastAsia"/>
          <w:szCs w:val="24"/>
        </w:rPr>
        <w:t>；超过《环境空气质量标准》（GB3095-2012）中二级标准限值的污染物为PM</w:t>
      </w:r>
      <w:r>
        <w:rPr>
          <w:rFonts w:hint="eastAsia"/>
          <w:szCs w:val="24"/>
          <w:vertAlign w:val="subscript"/>
        </w:rPr>
        <w:t>10</w:t>
      </w:r>
      <w:r>
        <w:rPr>
          <w:rFonts w:hint="eastAsia"/>
          <w:szCs w:val="24"/>
        </w:rPr>
        <w:t>、PM</w:t>
      </w:r>
      <w:r>
        <w:rPr>
          <w:rFonts w:hint="eastAsia"/>
          <w:szCs w:val="24"/>
          <w:vertAlign w:val="subscript"/>
        </w:rPr>
        <w:t>2.5</w:t>
      </w:r>
      <w:r>
        <w:rPr>
          <w:rFonts w:hint="eastAsia"/>
          <w:szCs w:val="24"/>
        </w:rPr>
        <w:t>。</w:t>
      </w:r>
    </w:p>
    <w:p w14:paraId="59BAEB4E">
      <w:pPr>
        <w:ind w:firstLine="480"/>
      </w:pPr>
      <w:r>
        <w:rPr>
          <w:rFonts w:hint="eastAsia"/>
        </w:rPr>
        <w:t>（1）数据来源</w:t>
      </w:r>
    </w:p>
    <w:p w14:paraId="72E206D8">
      <w:pPr>
        <w:ind w:firstLine="480"/>
      </w:pPr>
      <w:r>
        <w:rPr>
          <w:rFonts w:hint="eastAsia"/>
        </w:rPr>
        <w:t>根据《环境影响评价技术导则大气环境》（HJ2.2-2018）对环境质量现状数据的要求，本次选择木垒县监测站2022年的监测数据为本次环境空气质量评价的数据。</w:t>
      </w:r>
    </w:p>
    <w:p w14:paraId="642D81CE">
      <w:pPr>
        <w:ind w:firstLine="480"/>
      </w:pPr>
      <w:r>
        <w:rPr>
          <w:rFonts w:hint="eastAsia"/>
        </w:rPr>
        <w:t>（2）评价标准</w:t>
      </w:r>
    </w:p>
    <w:p w14:paraId="40D9A70F">
      <w:pPr>
        <w:ind w:firstLine="480"/>
      </w:pPr>
      <w:r>
        <w:rPr>
          <w:rFonts w:hint="eastAsia"/>
        </w:rPr>
        <w:t>项目所在区域环境空气质量执行《环境空气质量标准》（GB3095-2012）二级标准。环境空气质量标准限值见表4.2-1。</w:t>
      </w:r>
    </w:p>
    <w:p w14:paraId="78EAC183">
      <w:pPr>
        <w:pStyle w:val="11"/>
        <w:rPr>
          <w:sz w:val="24"/>
        </w:rPr>
      </w:pPr>
      <w:r>
        <w:rPr>
          <w:rFonts w:hint="eastAsia"/>
          <w:sz w:val="24"/>
        </w:rPr>
        <w:t>表4.2-1环境空气污染物基本项目浓度限值</w:t>
      </w:r>
    </w:p>
    <w:tbl>
      <w:tblPr>
        <w:tblStyle w:val="39"/>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autofit"/>
        <w:tblCellMar>
          <w:top w:w="0" w:type="dxa"/>
          <w:left w:w="108" w:type="dxa"/>
          <w:bottom w:w="0" w:type="dxa"/>
          <w:right w:w="108" w:type="dxa"/>
        </w:tblCellMar>
      </w:tblPr>
      <w:tblGrid>
        <w:gridCol w:w="983"/>
        <w:gridCol w:w="2876"/>
        <w:gridCol w:w="1226"/>
        <w:gridCol w:w="1226"/>
        <w:gridCol w:w="983"/>
        <w:gridCol w:w="1226"/>
      </w:tblGrid>
      <w:tr w14:paraId="25E76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54" w:hRule="atLeast"/>
          <w:tblHeader/>
          <w:jc w:val="center"/>
        </w:trPr>
        <w:tc>
          <w:tcPr>
            <w:tcW w:w="576" w:type="pct"/>
            <w:tcBorders>
              <w:tl2br w:val="nil"/>
              <w:tr2bl w:val="nil"/>
            </w:tcBorders>
            <w:vAlign w:val="center"/>
          </w:tcPr>
          <w:p w14:paraId="610EC157">
            <w:pPr>
              <w:adjustRightInd w:val="0"/>
              <w:snapToGrid w:val="0"/>
              <w:ind w:firstLine="0" w:firstLineChars="0"/>
              <w:jc w:val="center"/>
              <w:rPr>
                <w:sz w:val="21"/>
                <w:szCs w:val="21"/>
              </w:rPr>
            </w:pPr>
            <w:r>
              <w:rPr>
                <w:sz w:val="21"/>
                <w:szCs w:val="21"/>
              </w:rPr>
              <w:t>污染物</w:t>
            </w:r>
          </w:p>
        </w:tc>
        <w:tc>
          <w:tcPr>
            <w:tcW w:w="1686" w:type="pct"/>
            <w:tcBorders>
              <w:tl2br w:val="nil"/>
              <w:tr2bl w:val="nil"/>
            </w:tcBorders>
            <w:vAlign w:val="center"/>
          </w:tcPr>
          <w:p w14:paraId="0E1BFF19">
            <w:pPr>
              <w:adjustRightInd w:val="0"/>
              <w:snapToGrid w:val="0"/>
              <w:ind w:firstLine="0" w:firstLineChars="0"/>
              <w:jc w:val="center"/>
              <w:rPr>
                <w:sz w:val="21"/>
                <w:szCs w:val="21"/>
              </w:rPr>
            </w:pPr>
            <w:r>
              <w:rPr>
                <w:sz w:val="21"/>
                <w:szCs w:val="21"/>
              </w:rPr>
              <w:t>年评价指标</w:t>
            </w:r>
          </w:p>
        </w:tc>
        <w:tc>
          <w:tcPr>
            <w:tcW w:w="719" w:type="pct"/>
            <w:tcBorders>
              <w:tl2br w:val="nil"/>
              <w:tr2bl w:val="nil"/>
            </w:tcBorders>
            <w:vAlign w:val="center"/>
          </w:tcPr>
          <w:p w14:paraId="63162969">
            <w:pPr>
              <w:adjustRightInd w:val="0"/>
              <w:snapToGrid w:val="0"/>
              <w:ind w:firstLine="0" w:firstLineChars="0"/>
              <w:jc w:val="center"/>
              <w:rPr>
                <w:sz w:val="21"/>
                <w:szCs w:val="21"/>
              </w:rPr>
            </w:pPr>
            <w:r>
              <w:rPr>
                <w:sz w:val="21"/>
                <w:szCs w:val="21"/>
              </w:rPr>
              <w:t>现状浓度</w:t>
            </w:r>
          </w:p>
        </w:tc>
        <w:tc>
          <w:tcPr>
            <w:tcW w:w="719" w:type="pct"/>
            <w:tcBorders>
              <w:tl2br w:val="nil"/>
              <w:tr2bl w:val="nil"/>
            </w:tcBorders>
            <w:vAlign w:val="center"/>
          </w:tcPr>
          <w:p w14:paraId="643F9E59">
            <w:pPr>
              <w:adjustRightInd w:val="0"/>
              <w:snapToGrid w:val="0"/>
              <w:ind w:firstLine="0" w:firstLineChars="0"/>
              <w:jc w:val="center"/>
              <w:rPr>
                <w:sz w:val="21"/>
                <w:szCs w:val="21"/>
              </w:rPr>
            </w:pPr>
            <w:r>
              <w:rPr>
                <w:sz w:val="21"/>
                <w:szCs w:val="21"/>
              </w:rPr>
              <w:t>评价标准</w:t>
            </w:r>
          </w:p>
        </w:tc>
        <w:tc>
          <w:tcPr>
            <w:tcW w:w="576" w:type="pct"/>
            <w:tcBorders>
              <w:tl2br w:val="nil"/>
              <w:tr2bl w:val="nil"/>
            </w:tcBorders>
            <w:vAlign w:val="center"/>
          </w:tcPr>
          <w:p w14:paraId="77AAAA2D">
            <w:pPr>
              <w:adjustRightInd w:val="0"/>
              <w:snapToGrid w:val="0"/>
              <w:ind w:firstLine="0" w:firstLineChars="0"/>
              <w:jc w:val="center"/>
              <w:rPr>
                <w:sz w:val="21"/>
                <w:szCs w:val="21"/>
              </w:rPr>
            </w:pPr>
            <w:r>
              <w:rPr>
                <w:sz w:val="21"/>
                <w:szCs w:val="21"/>
              </w:rPr>
              <w:t>占标率</w:t>
            </w:r>
          </w:p>
        </w:tc>
        <w:tc>
          <w:tcPr>
            <w:tcW w:w="719" w:type="pct"/>
            <w:tcBorders>
              <w:tl2br w:val="nil"/>
              <w:tr2bl w:val="nil"/>
            </w:tcBorders>
            <w:vAlign w:val="center"/>
          </w:tcPr>
          <w:p w14:paraId="694F6520">
            <w:pPr>
              <w:adjustRightInd w:val="0"/>
              <w:snapToGrid w:val="0"/>
              <w:ind w:firstLine="0" w:firstLineChars="0"/>
              <w:jc w:val="center"/>
              <w:rPr>
                <w:sz w:val="21"/>
                <w:szCs w:val="21"/>
              </w:rPr>
            </w:pPr>
            <w:r>
              <w:rPr>
                <w:sz w:val="21"/>
                <w:szCs w:val="21"/>
              </w:rPr>
              <w:t>达标情况</w:t>
            </w:r>
          </w:p>
        </w:tc>
      </w:tr>
      <w:tr w14:paraId="77C5B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54" w:hRule="atLeast"/>
          <w:jc w:val="center"/>
        </w:trPr>
        <w:tc>
          <w:tcPr>
            <w:tcW w:w="576" w:type="pct"/>
            <w:tcBorders>
              <w:tl2br w:val="nil"/>
              <w:tr2bl w:val="nil"/>
            </w:tcBorders>
            <w:vAlign w:val="center"/>
          </w:tcPr>
          <w:p w14:paraId="38B31078">
            <w:pPr>
              <w:adjustRightInd w:val="0"/>
              <w:snapToGrid w:val="0"/>
              <w:ind w:firstLine="0" w:firstLineChars="0"/>
              <w:jc w:val="center"/>
              <w:rPr>
                <w:sz w:val="21"/>
                <w:szCs w:val="21"/>
              </w:rPr>
            </w:pPr>
            <w:r>
              <w:rPr>
                <w:sz w:val="21"/>
                <w:szCs w:val="21"/>
              </w:rPr>
              <w:t>SO</w:t>
            </w:r>
            <w:r>
              <w:rPr>
                <w:sz w:val="21"/>
                <w:szCs w:val="21"/>
                <w:vertAlign w:val="subscript"/>
              </w:rPr>
              <w:t>2</w:t>
            </w:r>
          </w:p>
        </w:tc>
        <w:tc>
          <w:tcPr>
            <w:tcW w:w="1686" w:type="pct"/>
            <w:tcBorders>
              <w:tl2br w:val="nil"/>
              <w:tr2bl w:val="nil"/>
            </w:tcBorders>
            <w:vAlign w:val="center"/>
          </w:tcPr>
          <w:p w14:paraId="488BA608">
            <w:pPr>
              <w:adjustRightInd w:val="0"/>
              <w:snapToGrid w:val="0"/>
              <w:ind w:firstLine="0" w:firstLineChars="0"/>
              <w:jc w:val="center"/>
              <w:rPr>
                <w:sz w:val="21"/>
                <w:szCs w:val="21"/>
              </w:rPr>
            </w:pPr>
            <w:r>
              <w:rPr>
                <w:sz w:val="21"/>
                <w:szCs w:val="21"/>
              </w:rPr>
              <w:t>年平均质量浓度</w:t>
            </w:r>
          </w:p>
        </w:tc>
        <w:tc>
          <w:tcPr>
            <w:tcW w:w="719" w:type="pct"/>
            <w:tcBorders>
              <w:tl2br w:val="nil"/>
              <w:tr2bl w:val="nil"/>
            </w:tcBorders>
            <w:vAlign w:val="center"/>
          </w:tcPr>
          <w:p w14:paraId="306D63F6">
            <w:pPr>
              <w:pStyle w:val="185"/>
              <w:spacing w:line="360" w:lineRule="auto"/>
              <w:rPr>
                <w:rFonts w:ascii="Times New Roman" w:hAnsi="Times New Roman"/>
                <w:sz w:val="21"/>
                <w:szCs w:val="21"/>
              </w:rPr>
            </w:pPr>
            <w:r>
              <w:rPr>
                <w:rFonts w:hint="eastAsia" w:ascii="Times New Roman" w:hAnsi="Times New Roman" w:cs="宋体"/>
                <w:kern w:val="2"/>
                <w:sz w:val="21"/>
                <w:szCs w:val="21"/>
              </w:rPr>
              <w:t>11</w:t>
            </w:r>
          </w:p>
        </w:tc>
        <w:tc>
          <w:tcPr>
            <w:tcW w:w="719" w:type="pct"/>
            <w:tcBorders>
              <w:tl2br w:val="nil"/>
              <w:tr2bl w:val="nil"/>
            </w:tcBorders>
            <w:vAlign w:val="center"/>
          </w:tcPr>
          <w:p w14:paraId="6FA0B326">
            <w:pPr>
              <w:ind w:firstLine="0" w:firstLineChars="0"/>
              <w:jc w:val="center"/>
              <w:rPr>
                <w:sz w:val="21"/>
                <w:szCs w:val="21"/>
              </w:rPr>
            </w:pPr>
            <w:r>
              <w:rPr>
                <w:sz w:val="21"/>
              </w:rPr>
              <w:t>60</w:t>
            </w:r>
          </w:p>
        </w:tc>
        <w:tc>
          <w:tcPr>
            <w:tcW w:w="576" w:type="pct"/>
            <w:tcBorders>
              <w:tl2br w:val="nil"/>
              <w:tr2bl w:val="nil"/>
            </w:tcBorders>
            <w:vAlign w:val="center"/>
          </w:tcPr>
          <w:p w14:paraId="0305B065">
            <w:pPr>
              <w:pStyle w:val="185"/>
              <w:spacing w:line="360" w:lineRule="auto"/>
              <w:rPr>
                <w:rFonts w:ascii="Times New Roman" w:hAnsi="Times New Roman"/>
                <w:sz w:val="21"/>
                <w:szCs w:val="21"/>
              </w:rPr>
            </w:pPr>
            <w:r>
              <w:rPr>
                <w:rFonts w:hint="eastAsia" w:ascii="Times New Roman" w:hAnsi="Times New Roman" w:cs="宋体"/>
                <w:kern w:val="2"/>
                <w:sz w:val="21"/>
                <w:szCs w:val="21"/>
              </w:rPr>
              <w:t>18.3</w:t>
            </w:r>
          </w:p>
        </w:tc>
        <w:tc>
          <w:tcPr>
            <w:tcW w:w="719" w:type="pct"/>
            <w:tcBorders>
              <w:tl2br w:val="nil"/>
              <w:tr2bl w:val="nil"/>
            </w:tcBorders>
            <w:vAlign w:val="center"/>
          </w:tcPr>
          <w:p w14:paraId="0C4CC246">
            <w:pPr>
              <w:ind w:firstLine="0" w:firstLineChars="0"/>
              <w:jc w:val="center"/>
              <w:rPr>
                <w:sz w:val="21"/>
                <w:szCs w:val="21"/>
              </w:rPr>
            </w:pPr>
            <w:r>
              <w:rPr>
                <w:sz w:val="21"/>
              </w:rPr>
              <w:t>达标</w:t>
            </w:r>
          </w:p>
        </w:tc>
      </w:tr>
      <w:tr w14:paraId="7F62D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PrEx>
        <w:trPr>
          <w:trHeight w:val="454" w:hRule="atLeast"/>
          <w:jc w:val="center"/>
        </w:trPr>
        <w:tc>
          <w:tcPr>
            <w:tcW w:w="576" w:type="pct"/>
            <w:tcBorders>
              <w:tl2br w:val="nil"/>
              <w:tr2bl w:val="nil"/>
            </w:tcBorders>
            <w:vAlign w:val="center"/>
          </w:tcPr>
          <w:p w14:paraId="77317850">
            <w:pPr>
              <w:adjustRightInd w:val="0"/>
              <w:snapToGrid w:val="0"/>
              <w:ind w:firstLine="0" w:firstLineChars="0"/>
              <w:jc w:val="center"/>
              <w:rPr>
                <w:sz w:val="21"/>
                <w:szCs w:val="21"/>
              </w:rPr>
            </w:pPr>
            <w:r>
              <w:rPr>
                <w:sz w:val="21"/>
                <w:szCs w:val="21"/>
              </w:rPr>
              <w:t>NO</w:t>
            </w:r>
            <w:r>
              <w:rPr>
                <w:sz w:val="21"/>
                <w:szCs w:val="21"/>
                <w:vertAlign w:val="subscript"/>
              </w:rPr>
              <w:t>2</w:t>
            </w:r>
          </w:p>
        </w:tc>
        <w:tc>
          <w:tcPr>
            <w:tcW w:w="1686" w:type="pct"/>
            <w:tcBorders>
              <w:tl2br w:val="nil"/>
              <w:tr2bl w:val="nil"/>
            </w:tcBorders>
            <w:vAlign w:val="center"/>
          </w:tcPr>
          <w:p w14:paraId="3FE18455">
            <w:pPr>
              <w:adjustRightInd w:val="0"/>
              <w:snapToGrid w:val="0"/>
              <w:ind w:firstLine="0" w:firstLineChars="0"/>
              <w:jc w:val="center"/>
              <w:rPr>
                <w:sz w:val="21"/>
                <w:szCs w:val="21"/>
              </w:rPr>
            </w:pPr>
            <w:r>
              <w:rPr>
                <w:sz w:val="21"/>
                <w:szCs w:val="21"/>
              </w:rPr>
              <w:t>年平均质量浓度</w:t>
            </w:r>
          </w:p>
        </w:tc>
        <w:tc>
          <w:tcPr>
            <w:tcW w:w="719" w:type="pct"/>
            <w:tcBorders>
              <w:tl2br w:val="nil"/>
              <w:tr2bl w:val="nil"/>
            </w:tcBorders>
            <w:vAlign w:val="center"/>
          </w:tcPr>
          <w:p w14:paraId="499E80AD">
            <w:pPr>
              <w:pStyle w:val="185"/>
              <w:spacing w:line="360" w:lineRule="auto"/>
              <w:rPr>
                <w:rFonts w:ascii="Times New Roman" w:hAnsi="Times New Roman"/>
                <w:sz w:val="21"/>
                <w:szCs w:val="21"/>
              </w:rPr>
            </w:pPr>
            <w:r>
              <w:rPr>
                <w:rFonts w:hint="eastAsia" w:ascii="Times New Roman" w:hAnsi="Times New Roman" w:cs="宋体"/>
                <w:kern w:val="2"/>
                <w:sz w:val="21"/>
                <w:szCs w:val="21"/>
              </w:rPr>
              <w:t>35</w:t>
            </w:r>
          </w:p>
        </w:tc>
        <w:tc>
          <w:tcPr>
            <w:tcW w:w="719" w:type="pct"/>
            <w:tcBorders>
              <w:tl2br w:val="nil"/>
              <w:tr2bl w:val="nil"/>
            </w:tcBorders>
            <w:vAlign w:val="center"/>
          </w:tcPr>
          <w:p w14:paraId="60BB57D8">
            <w:pPr>
              <w:ind w:firstLine="0" w:firstLineChars="0"/>
              <w:jc w:val="center"/>
              <w:rPr>
                <w:sz w:val="21"/>
                <w:szCs w:val="21"/>
              </w:rPr>
            </w:pPr>
            <w:r>
              <w:rPr>
                <w:sz w:val="21"/>
              </w:rPr>
              <w:t>40</w:t>
            </w:r>
          </w:p>
        </w:tc>
        <w:tc>
          <w:tcPr>
            <w:tcW w:w="576" w:type="pct"/>
            <w:tcBorders>
              <w:tl2br w:val="nil"/>
              <w:tr2bl w:val="nil"/>
            </w:tcBorders>
            <w:vAlign w:val="center"/>
          </w:tcPr>
          <w:p w14:paraId="0E25E1FF">
            <w:pPr>
              <w:pStyle w:val="185"/>
              <w:spacing w:line="360" w:lineRule="auto"/>
              <w:rPr>
                <w:rFonts w:ascii="Times New Roman" w:hAnsi="Times New Roman"/>
                <w:sz w:val="21"/>
                <w:szCs w:val="21"/>
              </w:rPr>
            </w:pPr>
            <w:r>
              <w:rPr>
                <w:rFonts w:hint="eastAsia" w:ascii="Times New Roman" w:hAnsi="Times New Roman" w:cs="宋体"/>
                <w:kern w:val="2"/>
                <w:sz w:val="21"/>
                <w:szCs w:val="21"/>
              </w:rPr>
              <w:t>87.5</w:t>
            </w:r>
          </w:p>
        </w:tc>
        <w:tc>
          <w:tcPr>
            <w:tcW w:w="719" w:type="pct"/>
            <w:tcBorders>
              <w:tl2br w:val="nil"/>
              <w:tr2bl w:val="nil"/>
            </w:tcBorders>
            <w:vAlign w:val="center"/>
          </w:tcPr>
          <w:p w14:paraId="5E5BB606">
            <w:pPr>
              <w:ind w:firstLine="0" w:firstLineChars="0"/>
              <w:jc w:val="center"/>
              <w:rPr>
                <w:sz w:val="21"/>
                <w:szCs w:val="21"/>
              </w:rPr>
            </w:pPr>
            <w:r>
              <w:rPr>
                <w:sz w:val="21"/>
              </w:rPr>
              <w:t>达标</w:t>
            </w:r>
          </w:p>
        </w:tc>
      </w:tr>
      <w:tr w14:paraId="2D939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54" w:hRule="atLeast"/>
          <w:jc w:val="center"/>
        </w:trPr>
        <w:tc>
          <w:tcPr>
            <w:tcW w:w="576" w:type="pct"/>
            <w:tcBorders>
              <w:tl2br w:val="nil"/>
              <w:tr2bl w:val="nil"/>
            </w:tcBorders>
            <w:vAlign w:val="center"/>
          </w:tcPr>
          <w:p w14:paraId="0E8A7BE3">
            <w:pPr>
              <w:adjustRightInd w:val="0"/>
              <w:snapToGrid w:val="0"/>
              <w:ind w:firstLine="0" w:firstLineChars="0"/>
              <w:jc w:val="center"/>
              <w:rPr>
                <w:sz w:val="21"/>
                <w:szCs w:val="21"/>
              </w:rPr>
            </w:pPr>
            <w:r>
              <w:rPr>
                <w:sz w:val="21"/>
                <w:szCs w:val="21"/>
              </w:rPr>
              <w:t>PM</w:t>
            </w:r>
            <w:r>
              <w:rPr>
                <w:sz w:val="21"/>
                <w:szCs w:val="21"/>
                <w:vertAlign w:val="subscript"/>
              </w:rPr>
              <w:t>10</w:t>
            </w:r>
          </w:p>
        </w:tc>
        <w:tc>
          <w:tcPr>
            <w:tcW w:w="1686" w:type="pct"/>
            <w:tcBorders>
              <w:tl2br w:val="nil"/>
              <w:tr2bl w:val="nil"/>
            </w:tcBorders>
            <w:vAlign w:val="center"/>
          </w:tcPr>
          <w:p w14:paraId="71BF7F84">
            <w:pPr>
              <w:adjustRightInd w:val="0"/>
              <w:snapToGrid w:val="0"/>
              <w:ind w:firstLine="0" w:firstLineChars="0"/>
              <w:jc w:val="center"/>
              <w:rPr>
                <w:sz w:val="21"/>
                <w:szCs w:val="21"/>
              </w:rPr>
            </w:pPr>
            <w:r>
              <w:rPr>
                <w:sz w:val="21"/>
                <w:szCs w:val="21"/>
              </w:rPr>
              <w:t>年平均质量浓度</w:t>
            </w:r>
          </w:p>
        </w:tc>
        <w:tc>
          <w:tcPr>
            <w:tcW w:w="719" w:type="pct"/>
            <w:tcBorders>
              <w:tl2br w:val="nil"/>
              <w:tr2bl w:val="nil"/>
            </w:tcBorders>
            <w:vAlign w:val="center"/>
          </w:tcPr>
          <w:p w14:paraId="5A8BD2CD">
            <w:pPr>
              <w:pStyle w:val="185"/>
              <w:spacing w:line="360" w:lineRule="auto"/>
              <w:rPr>
                <w:rFonts w:ascii="Times New Roman" w:hAnsi="Times New Roman"/>
                <w:sz w:val="21"/>
                <w:szCs w:val="21"/>
              </w:rPr>
            </w:pPr>
            <w:r>
              <w:rPr>
                <w:rFonts w:hint="eastAsia" w:ascii="Times New Roman" w:hAnsi="Times New Roman" w:cs="宋体"/>
                <w:kern w:val="2"/>
                <w:sz w:val="21"/>
                <w:szCs w:val="21"/>
              </w:rPr>
              <w:t>84</w:t>
            </w:r>
          </w:p>
        </w:tc>
        <w:tc>
          <w:tcPr>
            <w:tcW w:w="719" w:type="pct"/>
            <w:tcBorders>
              <w:tl2br w:val="nil"/>
              <w:tr2bl w:val="nil"/>
            </w:tcBorders>
            <w:vAlign w:val="center"/>
          </w:tcPr>
          <w:p w14:paraId="4122F962">
            <w:pPr>
              <w:ind w:firstLine="0" w:firstLineChars="0"/>
              <w:jc w:val="center"/>
              <w:rPr>
                <w:sz w:val="21"/>
                <w:szCs w:val="21"/>
              </w:rPr>
            </w:pPr>
            <w:r>
              <w:rPr>
                <w:sz w:val="21"/>
              </w:rPr>
              <w:t>70</w:t>
            </w:r>
          </w:p>
        </w:tc>
        <w:tc>
          <w:tcPr>
            <w:tcW w:w="576" w:type="pct"/>
            <w:tcBorders>
              <w:tl2br w:val="nil"/>
              <w:tr2bl w:val="nil"/>
            </w:tcBorders>
            <w:vAlign w:val="center"/>
          </w:tcPr>
          <w:p w14:paraId="75C6088E">
            <w:pPr>
              <w:pStyle w:val="185"/>
              <w:spacing w:line="360" w:lineRule="auto"/>
              <w:rPr>
                <w:rFonts w:ascii="Times New Roman" w:hAnsi="Times New Roman"/>
                <w:sz w:val="21"/>
                <w:szCs w:val="21"/>
              </w:rPr>
            </w:pPr>
            <w:r>
              <w:rPr>
                <w:rFonts w:hint="eastAsia" w:ascii="Times New Roman" w:hAnsi="Times New Roman" w:cs="宋体"/>
                <w:kern w:val="2"/>
                <w:sz w:val="21"/>
                <w:szCs w:val="21"/>
              </w:rPr>
              <w:t>120.0</w:t>
            </w:r>
          </w:p>
        </w:tc>
        <w:tc>
          <w:tcPr>
            <w:tcW w:w="719" w:type="pct"/>
            <w:tcBorders>
              <w:tl2br w:val="nil"/>
              <w:tr2bl w:val="nil"/>
            </w:tcBorders>
            <w:vAlign w:val="center"/>
          </w:tcPr>
          <w:p w14:paraId="49431543">
            <w:pPr>
              <w:ind w:firstLine="0" w:firstLineChars="0"/>
              <w:jc w:val="center"/>
              <w:rPr>
                <w:sz w:val="21"/>
                <w:szCs w:val="21"/>
              </w:rPr>
            </w:pPr>
            <w:r>
              <w:rPr>
                <w:rFonts w:hint="eastAsia"/>
                <w:sz w:val="21"/>
              </w:rPr>
              <w:t>超标</w:t>
            </w:r>
          </w:p>
        </w:tc>
      </w:tr>
      <w:tr w14:paraId="660AC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54" w:hRule="atLeast"/>
          <w:jc w:val="center"/>
        </w:trPr>
        <w:tc>
          <w:tcPr>
            <w:tcW w:w="576" w:type="pct"/>
            <w:tcBorders>
              <w:tl2br w:val="nil"/>
              <w:tr2bl w:val="nil"/>
            </w:tcBorders>
            <w:vAlign w:val="center"/>
          </w:tcPr>
          <w:p w14:paraId="1237A70E">
            <w:pPr>
              <w:adjustRightInd w:val="0"/>
              <w:snapToGrid w:val="0"/>
              <w:ind w:firstLine="0" w:firstLineChars="0"/>
              <w:jc w:val="center"/>
              <w:rPr>
                <w:sz w:val="21"/>
                <w:szCs w:val="21"/>
              </w:rPr>
            </w:pPr>
            <w:r>
              <w:rPr>
                <w:sz w:val="21"/>
                <w:szCs w:val="21"/>
              </w:rPr>
              <w:t>PM</w:t>
            </w:r>
            <w:r>
              <w:rPr>
                <w:sz w:val="21"/>
                <w:szCs w:val="21"/>
                <w:vertAlign w:val="subscript"/>
              </w:rPr>
              <w:t>2.5</w:t>
            </w:r>
          </w:p>
        </w:tc>
        <w:tc>
          <w:tcPr>
            <w:tcW w:w="1686" w:type="pct"/>
            <w:tcBorders>
              <w:tl2br w:val="nil"/>
              <w:tr2bl w:val="nil"/>
            </w:tcBorders>
            <w:vAlign w:val="center"/>
          </w:tcPr>
          <w:p w14:paraId="7C107CA7">
            <w:pPr>
              <w:adjustRightInd w:val="0"/>
              <w:snapToGrid w:val="0"/>
              <w:ind w:firstLine="0" w:firstLineChars="0"/>
              <w:jc w:val="center"/>
              <w:rPr>
                <w:sz w:val="21"/>
                <w:szCs w:val="21"/>
              </w:rPr>
            </w:pPr>
            <w:r>
              <w:rPr>
                <w:sz w:val="21"/>
                <w:szCs w:val="21"/>
              </w:rPr>
              <w:t>年平均质量浓度</w:t>
            </w:r>
          </w:p>
        </w:tc>
        <w:tc>
          <w:tcPr>
            <w:tcW w:w="719" w:type="pct"/>
            <w:tcBorders>
              <w:tl2br w:val="nil"/>
              <w:tr2bl w:val="nil"/>
            </w:tcBorders>
            <w:vAlign w:val="center"/>
          </w:tcPr>
          <w:p w14:paraId="1F8B1831">
            <w:pPr>
              <w:pStyle w:val="185"/>
              <w:spacing w:line="360" w:lineRule="auto"/>
              <w:rPr>
                <w:rFonts w:ascii="Times New Roman" w:hAnsi="Times New Roman"/>
                <w:sz w:val="21"/>
                <w:szCs w:val="21"/>
              </w:rPr>
            </w:pPr>
            <w:r>
              <w:rPr>
                <w:rFonts w:hint="eastAsia" w:ascii="Times New Roman" w:hAnsi="Times New Roman" w:cs="宋体"/>
                <w:kern w:val="2"/>
                <w:sz w:val="21"/>
                <w:szCs w:val="21"/>
              </w:rPr>
              <w:t>52</w:t>
            </w:r>
          </w:p>
        </w:tc>
        <w:tc>
          <w:tcPr>
            <w:tcW w:w="719" w:type="pct"/>
            <w:tcBorders>
              <w:tl2br w:val="nil"/>
              <w:tr2bl w:val="nil"/>
            </w:tcBorders>
            <w:vAlign w:val="center"/>
          </w:tcPr>
          <w:p w14:paraId="362BDDA7">
            <w:pPr>
              <w:ind w:firstLine="0" w:firstLineChars="0"/>
              <w:jc w:val="center"/>
              <w:rPr>
                <w:sz w:val="21"/>
                <w:szCs w:val="21"/>
              </w:rPr>
            </w:pPr>
            <w:r>
              <w:rPr>
                <w:sz w:val="21"/>
              </w:rPr>
              <w:t>35</w:t>
            </w:r>
          </w:p>
        </w:tc>
        <w:tc>
          <w:tcPr>
            <w:tcW w:w="576" w:type="pct"/>
            <w:tcBorders>
              <w:tl2br w:val="nil"/>
              <w:tr2bl w:val="nil"/>
            </w:tcBorders>
            <w:vAlign w:val="center"/>
          </w:tcPr>
          <w:p w14:paraId="4BE31EF1">
            <w:pPr>
              <w:pStyle w:val="185"/>
              <w:spacing w:line="360" w:lineRule="auto"/>
              <w:rPr>
                <w:rFonts w:ascii="Times New Roman" w:hAnsi="Times New Roman"/>
                <w:sz w:val="21"/>
                <w:szCs w:val="21"/>
              </w:rPr>
            </w:pPr>
            <w:r>
              <w:rPr>
                <w:rFonts w:hint="eastAsia" w:ascii="Times New Roman" w:hAnsi="Times New Roman" w:cs="宋体"/>
                <w:kern w:val="2"/>
                <w:sz w:val="21"/>
                <w:szCs w:val="21"/>
              </w:rPr>
              <w:t>145.7</w:t>
            </w:r>
          </w:p>
        </w:tc>
        <w:tc>
          <w:tcPr>
            <w:tcW w:w="719" w:type="pct"/>
            <w:tcBorders>
              <w:tl2br w:val="nil"/>
              <w:tr2bl w:val="nil"/>
            </w:tcBorders>
            <w:vAlign w:val="center"/>
          </w:tcPr>
          <w:p w14:paraId="6326E422">
            <w:pPr>
              <w:ind w:firstLine="0" w:firstLineChars="0"/>
              <w:jc w:val="center"/>
              <w:rPr>
                <w:sz w:val="21"/>
                <w:szCs w:val="21"/>
              </w:rPr>
            </w:pPr>
            <w:r>
              <w:rPr>
                <w:rFonts w:hint="eastAsia"/>
                <w:sz w:val="21"/>
              </w:rPr>
              <w:t>超标</w:t>
            </w:r>
          </w:p>
        </w:tc>
      </w:tr>
      <w:tr w14:paraId="3C017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54" w:hRule="atLeast"/>
          <w:jc w:val="center"/>
        </w:trPr>
        <w:tc>
          <w:tcPr>
            <w:tcW w:w="576" w:type="pct"/>
            <w:tcBorders>
              <w:tl2br w:val="nil"/>
              <w:tr2bl w:val="nil"/>
            </w:tcBorders>
            <w:vAlign w:val="center"/>
          </w:tcPr>
          <w:p w14:paraId="47286E8D">
            <w:pPr>
              <w:adjustRightInd w:val="0"/>
              <w:snapToGrid w:val="0"/>
              <w:ind w:firstLine="0" w:firstLineChars="0"/>
              <w:jc w:val="center"/>
              <w:rPr>
                <w:sz w:val="21"/>
                <w:szCs w:val="21"/>
              </w:rPr>
            </w:pPr>
            <w:r>
              <w:rPr>
                <w:sz w:val="21"/>
                <w:szCs w:val="21"/>
              </w:rPr>
              <w:t>CO</w:t>
            </w:r>
          </w:p>
        </w:tc>
        <w:tc>
          <w:tcPr>
            <w:tcW w:w="1686" w:type="pct"/>
            <w:tcBorders>
              <w:tl2br w:val="nil"/>
              <w:tr2bl w:val="nil"/>
            </w:tcBorders>
            <w:vAlign w:val="center"/>
          </w:tcPr>
          <w:p w14:paraId="7525E0CD">
            <w:pPr>
              <w:adjustRightInd w:val="0"/>
              <w:snapToGrid w:val="0"/>
              <w:ind w:firstLine="0" w:firstLineChars="0"/>
              <w:jc w:val="center"/>
              <w:rPr>
                <w:sz w:val="21"/>
                <w:szCs w:val="21"/>
              </w:rPr>
            </w:pPr>
            <w:r>
              <w:rPr>
                <w:sz w:val="21"/>
                <w:szCs w:val="21"/>
              </w:rPr>
              <w:t>日平均第95百分位数</w:t>
            </w:r>
          </w:p>
        </w:tc>
        <w:tc>
          <w:tcPr>
            <w:tcW w:w="719" w:type="pct"/>
            <w:tcBorders>
              <w:tl2br w:val="nil"/>
              <w:tr2bl w:val="nil"/>
            </w:tcBorders>
            <w:vAlign w:val="center"/>
          </w:tcPr>
          <w:p w14:paraId="492E008C">
            <w:pPr>
              <w:pStyle w:val="185"/>
              <w:spacing w:line="360" w:lineRule="auto"/>
              <w:rPr>
                <w:rFonts w:ascii="Times New Roman" w:hAnsi="Times New Roman"/>
                <w:sz w:val="21"/>
                <w:szCs w:val="21"/>
              </w:rPr>
            </w:pPr>
            <w:r>
              <w:rPr>
                <w:rFonts w:hint="eastAsia" w:ascii="Times New Roman" w:hAnsi="Times New Roman" w:cs="宋体"/>
                <w:kern w:val="2"/>
                <w:sz w:val="21"/>
                <w:szCs w:val="21"/>
              </w:rPr>
              <w:t>2.6</w:t>
            </w:r>
          </w:p>
        </w:tc>
        <w:tc>
          <w:tcPr>
            <w:tcW w:w="719" w:type="pct"/>
            <w:tcBorders>
              <w:tl2br w:val="nil"/>
              <w:tr2bl w:val="nil"/>
            </w:tcBorders>
            <w:vAlign w:val="center"/>
          </w:tcPr>
          <w:p w14:paraId="04D7E03E">
            <w:pPr>
              <w:ind w:firstLine="0" w:firstLineChars="0"/>
              <w:jc w:val="center"/>
              <w:rPr>
                <w:sz w:val="21"/>
                <w:szCs w:val="21"/>
              </w:rPr>
            </w:pPr>
            <w:r>
              <w:rPr>
                <w:sz w:val="21"/>
              </w:rPr>
              <w:t>4mg/m</w:t>
            </w:r>
            <w:r>
              <w:rPr>
                <w:sz w:val="21"/>
                <w:vertAlign w:val="superscript"/>
              </w:rPr>
              <w:t>3</w:t>
            </w:r>
          </w:p>
        </w:tc>
        <w:tc>
          <w:tcPr>
            <w:tcW w:w="576" w:type="pct"/>
            <w:tcBorders>
              <w:tl2br w:val="nil"/>
              <w:tr2bl w:val="nil"/>
            </w:tcBorders>
            <w:vAlign w:val="center"/>
          </w:tcPr>
          <w:p w14:paraId="68C254C8">
            <w:pPr>
              <w:pStyle w:val="185"/>
              <w:spacing w:line="360" w:lineRule="auto"/>
              <w:rPr>
                <w:rFonts w:ascii="Times New Roman" w:hAnsi="Times New Roman"/>
                <w:sz w:val="21"/>
                <w:szCs w:val="21"/>
              </w:rPr>
            </w:pPr>
            <w:r>
              <w:rPr>
                <w:rFonts w:hint="eastAsia" w:ascii="Times New Roman" w:hAnsi="Times New Roman" w:cs="宋体"/>
                <w:kern w:val="2"/>
                <w:sz w:val="21"/>
                <w:szCs w:val="21"/>
              </w:rPr>
              <w:t>65.0</w:t>
            </w:r>
          </w:p>
        </w:tc>
        <w:tc>
          <w:tcPr>
            <w:tcW w:w="719" w:type="pct"/>
            <w:tcBorders>
              <w:tl2br w:val="nil"/>
              <w:tr2bl w:val="nil"/>
            </w:tcBorders>
            <w:vAlign w:val="center"/>
          </w:tcPr>
          <w:p w14:paraId="023B6795">
            <w:pPr>
              <w:ind w:firstLine="0" w:firstLineChars="0"/>
              <w:jc w:val="center"/>
              <w:rPr>
                <w:sz w:val="21"/>
                <w:szCs w:val="21"/>
              </w:rPr>
            </w:pPr>
            <w:r>
              <w:rPr>
                <w:sz w:val="21"/>
              </w:rPr>
              <w:t>达标</w:t>
            </w:r>
          </w:p>
        </w:tc>
      </w:tr>
      <w:tr w14:paraId="6575D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54" w:hRule="atLeast"/>
          <w:jc w:val="center"/>
        </w:trPr>
        <w:tc>
          <w:tcPr>
            <w:tcW w:w="576" w:type="pct"/>
            <w:tcBorders>
              <w:tl2br w:val="nil"/>
              <w:tr2bl w:val="nil"/>
            </w:tcBorders>
            <w:vAlign w:val="center"/>
          </w:tcPr>
          <w:p w14:paraId="1FBE88AA">
            <w:pPr>
              <w:adjustRightInd w:val="0"/>
              <w:snapToGrid w:val="0"/>
              <w:ind w:firstLine="0" w:firstLineChars="0"/>
              <w:jc w:val="center"/>
              <w:rPr>
                <w:sz w:val="21"/>
                <w:szCs w:val="21"/>
              </w:rPr>
            </w:pPr>
            <w:r>
              <w:rPr>
                <w:sz w:val="21"/>
                <w:szCs w:val="21"/>
              </w:rPr>
              <w:t>O</w:t>
            </w:r>
            <w:r>
              <w:rPr>
                <w:sz w:val="21"/>
                <w:szCs w:val="21"/>
                <w:vertAlign w:val="subscript"/>
              </w:rPr>
              <w:t>3</w:t>
            </w:r>
          </w:p>
        </w:tc>
        <w:tc>
          <w:tcPr>
            <w:tcW w:w="1686" w:type="pct"/>
            <w:tcBorders>
              <w:tl2br w:val="nil"/>
              <w:tr2bl w:val="nil"/>
            </w:tcBorders>
            <w:vAlign w:val="center"/>
          </w:tcPr>
          <w:p w14:paraId="6B8DA950">
            <w:pPr>
              <w:adjustRightInd w:val="0"/>
              <w:snapToGrid w:val="0"/>
              <w:ind w:firstLine="0" w:firstLineChars="0"/>
              <w:jc w:val="center"/>
              <w:rPr>
                <w:sz w:val="21"/>
                <w:szCs w:val="21"/>
              </w:rPr>
            </w:pPr>
            <w:r>
              <w:rPr>
                <w:sz w:val="21"/>
                <w:szCs w:val="21"/>
              </w:rPr>
              <w:t>8h最大平均第90百分位</w:t>
            </w:r>
          </w:p>
        </w:tc>
        <w:tc>
          <w:tcPr>
            <w:tcW w:w="719" w:type="pct"/>
            <w:tcBorders>
              <w:tl2br w:val="nil"/>
              <w:tr2bl w:val="nil"/>
            </w:tcBorders>
            <w:vAlign w:val="center"/>
          </w:tcPr>
          <w:p w14:paraId="34A54DCF">
            <w:pPr>
              <w:pStyle w:val="185"/>
              <w:spacing w:line="360" w:lineRule="auto"/>
              <w:rPr>
                <w:rFonts w:ascii="Times New Roman" w:hAnsi="Times New Roman"/>
                <w:sz w:val="21"/>
                <w:szCs w:val="21"/>
              </w:rPr>
            </w:pPr>
            <w:r>
              <w:rPr>
                <w:rFonts w:hint="eastAsia" w:ascii="Times New Roman" w:hAnsi="Times New Roman" w:cs="宋体"/>
                <w:kern w:val="2"/>
                <w:sz w:val="21"/>
                <w:szCs w:val="21"/>
              </w:rPr>
              <w:t>138</w:t>
            </w:r>
          </w:p>
        </w:tc>
        <w:tc>
          <w:tcPr>
            <w:tcW w:w="719" w:type="pct"/>
            <w:tcBorders>
              <w:tl2br w:val="nil"/>
              <w:tr2bl w:val="nil"/>
            </w:tcBorders>
            <w:vAlign w:val="center"/>
          </w:tcPr>
          <w:p w14:paraId="44A6DFD5">
            <w:pPr>
              <w:ind w:firstLine="0" w:firstLineChars="0"/>
              <w:jc w:val="center"/>
              <w:rPr>
                <w:sz w:val="21"/>
                <w:szCs w:val="21"/>
              </w:rPr>
            </w:pPr>
            <w:r>
              <w:rPr>
                <w:sz w:val="21"/>
              </w:rPr>
              <w:t>160</w:t>
            </w:r>
          </w:p>
        </w:tc>
        <w:tc>
          <w:tcPr>
            <w:tcW w:w="576" w:type="pct"/>
            <w:tcBorders>
              <w:tl2br w:val="nil"/>
              <w:tr2bl w:val="nil"/>
            </w:tcBorders>
            <w:vAlign w:val="center"/>
          </w:tcPr>
          <w:p w14:paraId="50E5BBDB">
            <w:pPr>
              <w:pStyle w:val="185"/>
              <w:spacing w:line="360" w:lineRule="auto"/>
              <w:rPr>
                <w:rFonts w:ascii="Times New Roman" w:hAnsi="Times New Roman"/>
                <w:sz w:val="21"/>
                <w:szCs w:val="21"/>
              </w:rPr>
            </w:pPr>
            <w:r>
              <w:rPr>
                <w:rFonts w:hint="eastAsia" w:ascii="Times New Roman" w:hAnsi="Times New Roman" w:cs="宋体"/>
                <w:kern w:val="2"/>
                <w:sz w:val="21"/>
                <w:szCs w:val="21"/>
              </w:rPr>
              <w:t>86.3</w:t>
            </w:r>
          </w:p>
        </w:tc>
        <w:tc>
          <w:tcPr>
            <w:tcW w:w="719" w:type="pct"/>
            <w:tcBorders>
              <w:tl2br w:val="nil"/>
              <w:tr2bl w:val="nil"/>
            </w:tcBorders>
            <w:vAlign w:val="center"/>
          </w:tcPr>
          <w:p w14:paraId="1864935B">
            <w:pPr>
              <w:ind w:firstLine="0" w:firstLineChars="0"/>
              <w:jc w:val="center"/>
              <w:rPr>
                <w:sz w:val="21"/>
                <w:szCs w:val="21"/>
              </w:rPr>
            </w:pPr>
            <w:r>
              <w:rPr>
                <w:sz w:val="21"/>
              </w:rPr>
              <w:t>达标</w:t>
            </w:r>
          </w:p>
        </w:tc>
      </w:tr>
    </w:tbl>
    <w:p w14:paraId="750E333C">
      <w:pPr>
        <w:ind w:firstLine="480"/>
      </w:pPr>
      <w:r>
        <w:rPr>
          <w:rFonts w:hint="eastAsia"/>
        </w:rPr>
        <w:t>（3）评价方法</w:t>
      </w:r>
    </w:p>
    <w:p w14:paraId="3CD07C88">
      <w:pPr>
        <w:ind w:firstLine="480"/>
      </w:pPr>
      <w:r>
        <w:rPr>
          <w:rFonts w:hint="eastAsia"/>
        </w:rPr>
        <w:t>采用标准指数法评价大气污染物在评价区域内的环境质量现状，计算公式如下：</w:t>
      </w:r>
    </w:p>
    <w:p w14:paraId="25465170">
      <w:pPr>
        <w:ind w:firstLine="0" w:firstLineChars="0"/>
        <w:jc w:val="center"/>
      </w:pPr>
      <w:r>
        <w:rPr>
          <w:rFonts w:cs="宋体"/>
          <w:szCs w:val="21"/>
        </w:rPr>
        <w:object>
          <v:shape id="_x0000_i1027" o:spt="75" type="#_x0000_t75" style="height:36pt;width:88.3pt;" o:ole="t" filled="f" o:preferrelative="t" stroked="f" coordsize="21600,21600">
            <v:path/>
            <v:fill on="f" focussize="0,0"/>
            <v:stroke on="f" joinstyle="miter"/>
            <v:imagedata r:id="rId35" o:title=""/>
            <o:lock v:ext="edit" aspectratio="t"/>
            <w10:wrap type="none"/>
            <w10:anchorlock/>
          </v:shape>
          <o:OLEObject Type="Embed" ProgID="Equation.AxMath" ShapeID="_x0000_i1027" DrawAspect="Content" ObjectID="_1468075726" r:id="rId39">
            <o:LockedField>false</o:LockedField>
          </o:OLEObject>
        </w:object>
      </w:r>
    </w:p>
    <w:p w14:paraId="15AEFBF9">
      <w:pPr>
        <w:ind w:firstLine="480"/>
      </w:pPr>
      <w:r>
        <w:rPr>
          <w:rFonts w:hint="eastAsia"/>
        </w:rPr>
        <w:t>式中：P</w:t>
      </w:r>
      <w:r>
        <w:rPr>
          <w:rFonts w:hint="eastAsia"/>
          <w:vertAlign w:val="subscript"/>
        </w:rPr>
        <w:t>i</w:t>
      </w:r>
      <w:r>
        <w:rPr>
          <w:rFonts w:hint="eastAsia"/>
        </w:rPr>
        <w:t>——污染物i的单项污染指数，%；</w:t>
      </w:r>
    </w:p>
    <w:p w14:paraId="75054177">
      <w:pPr>
        <w:ind w:firstLine="1200" w:firstLineChars="500"/>
      </w:pPr>
      <w:r>
        <w:rPr>
          <w:rFonts w:hint="eastAsia"/>
        </w:rPr>
        <w:t>C</w:t>
      </w:r>
      <w:r>
        <w:rPr>
          <w:rFonts w:hint="eastAsia"/>
          <w:vertAlign w:val="subscript"/>
        </w:rPr>
        <w:t>i</w:t>
      </w:r>
      <w:r>
        <w:rPr>
          <w:rFonts w:hint="eastAsia"/>
        </w:rPr>
        <w:t>——污染物i的平均浓度值，</w:t>
      </w:r>
      <w:r>
        <w:t>μg/m</w:t>
      </w:r>
      <w:r>
        <w:rPr>
          <w:vertAlign w:val="superscript"/>
        </w:rPr>
        <w:t>3</w:t>
      </w:r>
      <w:r>
        <w:rPr>
          <w:rFonts w:hint="eastAsia"/>
        </w:rPr>
        <w:t>；</w:t>
      </w:r>
    </w:p>
    <w:p w14:paraId="65AD7368">
      <w:pPr>
        <w:ind w:firstLine="1200" w:firstLineChars="500"/>
      </w:pPr>
      <w:r>
        <w:rPr>
          <w:rFonts w:hint="eastAsia"/>
        </w:rPr>
        <w:t>C</w:t>
      </w:r>
      <w:r>
        <w:rPr>
          <w:rFonts w:hint="eastAsia"/>
          <w:vertAlign w:val="subscript"/>
        </w:rPr>
        <w:t>0i</w:t>
      </w:r>
      <w:r>
        <w:rPr>
          <w:rFonts w:hint="eastAsia"/>
        </w:rPr>
        <w:t>——污染物i的环境空气质量浓度标准，</w:t>
      </w:r>
      <w:r>
        <w:t>μg/m</w:t>
      </w:r>
      <w:r>
        <w:rPr>
          <w:vertAlign w:val="superscript"/>
        </w:rPr>
        <w:t>3</w:t>
      </w:r>
      <w:r>
        <w:rPr>
          <w:rFonts w:hint="eastAsia"/>
        </w:rPr>
        <w:t>。</w:t>
      </w:r>
    </w:p>
    <w:p w14:paraId="4A313C51">
      <w:pPr>
        <w:ind w:firstLine="480"/>
      </w:pPr>
      <w:r>
        <w:rPr>
          <w:rFonts w:hint="eastAsia"/>
        </w:rPr>
        <w:t>当P</w:t>
      </w:r>
      <w:r>
        <w:rPr>
          <w:rFonts w:hint="eastAsia"/>
          <w:vertAlign w:val="subscript"/>
        </w:rPr>
        <w:t>i</w:t>
      </w:r>
      <w:r>
        <w:rPr>
          <w:rFonts w:hint="eastAsia"/>
        </w:rPr>
        <w:t>≥1时，说明环境中i污染物含量超过标准值，当P</w:t>
      </w:r>
      <w:r>
        <w:rPr>
          <w:rFonts w:hint="eastAsia"/>
          <w:vertAlign w:val="subscript"/>
        </w:rPr>
        <w:t>i</w:t>
      </w:r>
      <w:r>
        <w:rPr>
          <w:rFonts w:hint="eastAsia"/>
        </w:rPr>
        <w:t>&lt;1时，则说明i污染物符合标准。某污染物的P</w:t>
      </w:r>
      <w:r>
        <w:rPr>
          <w:rFonts w:hint="eastAsia"/>
          <w:vertAlign w:val="subscript"/>
        </w:rPr>
        <w:t>i</w:t>
      </w:r>
      <w:r>
        <w:rPr>
          <w:rFonts w:hint="eastAsia"/>
        </w:rPr>
        <w:t>值越大，则污染相对越严重。</w:t>
      </w:r>
    </w:p>
    <w:p w14:paraId="5DE3B99A">
      <w:pPr>
        <w:ind w:firstLine="480"/>
      </w:pPr>
      <w:r>
        <w:rPr>
          <w:rFonts w:hint="eastAsia"/>
        </w:rPr>
        <w:t>（4）评价结果统计</w:t>
      </w:r>
    </w:p>
    <w:p w14:paraId="04544268">
      <w:pPr>
        <w:spacing w:line="500" w:lineRule="exact"/>
        <w:ind w:firstLine="480"/>
        <w:jc w:val="left"/>
        <w:rPr>
          <w:bCs/>
        </w:rPr>
      </w:pPr>
      <w:r>
        <w:rPr>
          <w:rFonts w:hint="eastAsia"/>
          <w:szCs w:val="24"/>
        </w:rPr>
        <w:t>基本污染物：引用环境空气质量模型技术支持服务系统木垒县政务中心SO</w:t>
      </w:r>
      <w:r>
        <w:rPr>
          <w:rFonts w:hint="eastAsia"/>
          <w:szCs w:val="24"/>
          <w:vertAlign w:val="subscript"/>
        </w:rPr>
        <w:t>2</w:t>
      </w:r>
      <w:r>
        <w:rPr>
          <w:rFonts w:hint="eastAsia"/>
          <w:szCs w:val="24"/>
        </w:rPr>
        <w:t>、NO</w:t>
      </w:r>
      <w:r>
        <w:rPr>
          <w:rFonts w:hint="eastAsia"/>
          <w:szCs w:val="24"/>
          <w:vertAlign w:val="subscript"/>
        </w:rPr>
        <w:t>2</w:t>
      </w:r>
      <w:r>
        <w:rPr>
          <w:rFonts w:hint="eastAsia"/>
          <w:szCs w:val="24"/>
        </w:rPr>
        <w:t>、PM</w:t>
      </w:r>
      <w:r>
        <w:rPr>
          <w:rFonts w:hint="eastAsia"/>
          <w:szCs w:val="24"/>
          <w:vertAlign w:val="subscript"/>
        </w:rPr>
        <w:t>10</w:t>
      </w:r>
      <w:r>
        <w:rPr>
          <w:rFonts w:hint="eastAsia"/>
          <w:szCs w:val="24"/>
        </w:rPr>
        <w:t>、PM</w:t>
      </w:r>
      <w:r>
        <w:rPr>
          <w:rFonts w:hint="eastAsia"/>
          <w:szCs w:val="24"/>
          <w:vertAlign w:val="subscript"/>
        </w:rPr>
        <w:t>2.5</w:t>
      </w:r>
      <w:r>
        <w:rPr>
          <w:rFonts w:hint="eastAsia"/>
          <w:szCs w:val="24"/>
        </w:rPr>
        <w:t>、CO、O</w:t>
      </w:r>
      <w:r>
        <w:rPr>
          <w:rFonts w:hint="eastAsia"/>
          <w:szCs w:val="24"/>
          <w:vertAlign w:val="subscript"/>
        </w:rPr>
        <w:t>3</w:t>
      </w:r>
      <w:r>
        <w:rPr>
          <w:rFonts w:hint="eastAsia"/>
          <w:szCs w:val="24"/>
        </w:rPr>
        <w:t>六项基本污染物20</w:t>
      </w:r>
      <w:r>
        <w:rPr>
          <w:szCs w:val="24"/>
        </w:rPr>
        <w:t>2</w:t>
      </w:r>
      <w:r>
        <w:rPr>
          <w:rFonts w:hint="eastAsia"/>
          <w:szCs w:val="24"/>
        </w:rPr>
        <w:t>1年的环境质量数据。</w:t>
      </w:r>
    </w:p>
    <w:p w14:paraId="2F84541E">
      <w:pPr>
        <w:spacing w:line="500" w:lineRule="exact"/>
        <w:ind w:firstLine="480"/>
      </w:pPr>
      <w:r>
        <w:rPr>
          <w:rFonts w:hint="eastAsia"/>
        </w:rPr>
        <w:t>由表4.2-1可知，</w:t>
      </w:r>
      <w:bookmarkStart w:id="138" w:name="_Hlk88042713"/>
      <w:r>
        <w:t>项目所在区域PM</w:t>
      </w:r>
      <w:r>
        <w:rPr>
          <w:vertAlign w:val="subscript"/>
        </w:rPr>
        <w:t>10</w:t>
      </w:r>
      <w:r>
        <w:t>、PM</w:t>
      </w:r>
      <w:r>
        <w:rPr>
          <w:vertAlign w:val="subscript"/>
        </w:rPr>
        <w:t>2.5</w:t>
      </w:r>
      <w:r>
        <w:t>年平均浓度均超过《环境空气质量标准》（GB3095-2012）的二级标准要求；O</w:t>
      </w:r>
      <w:r>
        <w:rPr>
          <w:vertAlign w:val="subscript"/>
        </w:rPr>
        <w:t>3</w:t>
      </w:r>
      <w:r>
        <w:t>最大8小时平均浓度及NO</w:t>
      </w:r>
      <w:r>
        <w:rPr>
          <w:vertAlign w:val="subscript"/>
        </w:rPr>
        <w:t>2</w:t>
      </w:r>
      <w:r>
        <w:t>、CO、SO</w:t>
      </w:r>
      <w:r>
        <w:rPr>
          <w:vertAlign w:val="subscript"/>
        </w:rPr>
        <w:t>2</w:t>
      </w:r>
      <w:r>
        <w:t>的日、年均浓度均满足《环境空气质量标准》（GB3095-2012）的二级标准要求，本项目所在区域为</w:t>
      </w:r>
      <w:r>
        <w:rPr>
          <w:rFonts w:hint="eastAsia"/>
        </w:rPr>
        <w:t>不</w:t>
      </w:r>
      <w:r>
        <w:t>达标区域</w:t>
      </w:r>
      <w:bookmarkEnd w:id="138"/>
      <w:r>
        <w:rPr>
          <w:rFonts w:hint="eastAsia"/>
        </w:rPr>
        <w:t>。</w:t>
      </w:r>
    </w:p>
    <w:p w14:paraId="029BCF8E">
      <w:pPr>
        <w:pStyle w:val="6"/>
        <w:ind w:firstLine="0" w:firstLineChars="0"/>
      </w:pPr>
      <w:r>
        <w:rPr>
          <w:rFonts w:hint="eastAsia"/>
        </w:rPr>
        <w:t>4.2.1.2环境空气特征污染物</w:t>
      </w:r>
    </w:p>
    <w:p w14:paraId="2E762718">
      <w:pPr>
        <w:ind w:firstLine="480"/>
      </w:pPr>
      <w:r>
        <w:rPr>
          <w:rFonts w:hint="eastAsia"/>
        </w:rPr>
        <w:t>（1）数据来源</w:t>
      </w:r>
    </w:p>
    <w:p w14:paraId="05C69985">
      <w:pPr>
        <w:ind w:firstLine="480"/>
      </w:pPr>
      <w:r>
        <w:rPr>
          <w:rFonts w:hint="eastAsia"/>
        </w:rPr>
        <w:t>本项目特征污染物环境空气质量现状评价数据委托新疆国环鸿泰检验检测有限公司对项目所在进行了监测，监测时间为2024年03月06日~03月12日。</w:t>
      </w:r>
    </w:p>
    <w:p w14:paraId="2EFC269C">
      <w:pPr>
        <w:ind w:firstLine="480"/>
      </w:pPr>
      <w:r>
        <w:rPr>
          <w:rFonts w:hint="eastAsia"/>
        </w:rPr>
        <w:t>（2）监测项目及频率</w:t>
      </w:r>
    </w:p>
    <w:p w14:paraId="1A61F75B">
      <w:pPr>
        <w:ind w:firstLine="480"/>
      </w:pPr>
      <w:r>
        <w:rPr>
          <w:rFonts w:hint="eastAsia"/>
        </w:rPr>
        <w:t>监测点位：W1：项目区</w:t>
      </w:r>
      <w:r>
        <w:t>（</w:t>
      </w:r>
      <w:r>
        <w:rPr>
          <w:rFonts w:hint="eastAsia"/>
        </w:rPr>
        <w:t>90</w:t>
      </w:r>
      <w:r>
        <w:t>°</w:t>
      </w:r>
      <w:r>
        <w:rPr>
          <w:rFonts w:hint="eastAsia"/>
        </w:rPr>
        <w:t>06</w:t>
      </w:r>
      <w:r>
        <w:t>′</w:t>
      </w:r>
      <w:r>
        <w:rPr>
          <w:rFonts w:hint="eastAsia"/>
        </w:rPr>
        <w:t>51.71</w:t>
      </w:r>
      <w:r>
        <w:t>″</w:t>
      </w:r>
      <w:r>
        <w:rPr>
          <w:rFonts w:hint="eastAsia"/>
        </w:rPr>
        <w:t>E</w:t>
      </w:r>
      <w:r>
        <w:t>，</w:t>
      </w:r>
      <w:r>
        <w:rPr>
          <w:rFonts w:hint="eastAsia"/>
        </w:rPr>
        <w:t>44</w:t>
      </w:r>
      <w:r>
        <w:t>°</w:t>
      </w:r>
      <w:r>
        <w:rPr>
          <w:rFonts w:hint="eastAsia"/>
        </w:rPr>
        <w:t>09</w:t>
      </w:r>
      <w:r>
        <w:t>′</w:t>
      </w:r>
      <w:r>
        <w:rPr>
          <w:rFonts w:hint="eastAsia"/>
        </w:rPr>
        <w:t>51.24</w:t>
      </w:r>
      <w:r>
        <w:t>″N）</w:t>
      </w:r>
      <w:r>
        <w:rPr>
          <w:rFonts w:hint="eastAsia"/>
        </w:rPr>
        <w:t>，见附图4.2-1；</w:t>
      </w:r>
    </w:p>
    <w:p w14:paraId="3B5B18E1">
      <w:pPr>
        <w:ind w:firstLine="480"/>
      </w:pPr>
      <w:r>
        <w:rPr>
          <w:rFonts w:hint="eastAsia"/>
        </w:rPr>
        <w:t>监测项目：硫化氢、氨、TSP；</w:t>
      </w:r>
    </w:p>
    <w:p w14:paraId="30D639C5">
      <w:pPr>
        <w:ind w:firstLine="480"/>
      </w:pPr>
      <w:r>
        <w:rPr>
          <w:rFonts w:hint="eastAsia"/>
        </w:rPr>
        <w:t>监测频率：连续采样7个有效天，每天采样4次，每次1小时。</w:t>
      </w:r>
    </w:p>
    <w:p w14:paraId="2572FFBA">
      <w:pPr>
        <w:ind w:firstLine="480"/>
      </w:pPr>
      <w:r>
        <w:rPr>
          <w:rFonts w:hint="eastAsia"/>
        </w:rPr>
        <w:t>（3）评价标准</w:t>
      </w:r>
    </w:p>
    <w:p w14:paraId="47C94F26">
      <w:pPr>
        <w:ind w:firstLine="480"/>
      </w:pPr>
      <w:r>
        <w:rPr>
          <w:rFonts w:hint="eastAsia"/>
        </w:rPr>
        <w:t>项目区域属于环境空气功能区二类区，环境空气质量颗粒物执行《环境空气质量标准》（GB3095-2012）中二级标准；硫化氢和氨参照执行《畜禽养殖产地环境评价规范》（HJ568-2010）附录D中的标准值。标准限值见表4.2-3。</w:t>
      </w:r>
    </w:p>
    <w:p w14:paraId="10EE30B6">
      <w:pPr>
        <w:pStyle w:val="11"/>
      </w:pPr>
      <w:r>
        <w:rPr>
          <w:rFonts w:hint="eastAsia"/>
        </w:rPr>
        <w:t>表4.2-3环境空气特征污染物浓度限值</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977"/>
        <w:gridCol w:w="4445"/>
      </w:tblGrid>
      <w:tr w14:paraId="1C4D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1CCF69AC">
            <w:pPr>
              <w:spacing w:line="240" w:lineRule="auto"/>
              <w:ind w:firstLine="0" w:firstLineChars="0"/>
              <w:jc w:val="center"/>
              <w:rPr>
                <w:kern w:val="2"/>
                <w:sz w:val="21"/>
                <w:szCs w:val="21"/>
              </w:rPr>
            </w:pPr>
            <w:r>
              <w:rPr>
                <w:rFonts w:hint="eastAsia"/>
                <w:kern w:val="2"/>
                <w:sz w:val="21"/>
                <w:szCs w:val="21"/>
              </w:rPr>
              <w:t>序号</w:t>
            </w:r>
          </w:p>
        </w:tc>
        <w:tc>
          <w:tcPr>
            <w:tcW w:w="1746" w:type="pct"/>
            <w:vAlign w:val="center"/>
          </w:tcPr>
          <w:p w14:paraId="5C159DC3">
            <w:pPr>
              <w:spacing w:line="240" w:lineRule="auto"/>
              <w:ind w:firstLine="0" w:firstLineChars="0"/>
              <w:jc w:val="center"/>
              <w:rPr>
                <w:kern w:val="2"/>
                <w:sz w:val="21"/>
                <w:szCs w:val="21"/>
              </w:rPr>
            </w:pPr>
            <w:r>
              <w:rPr>
                <w:rFonts w:hint="eastAsia"/>
                <w:kern w:val="2"/>
                <w:sz w:val="21"/>
                <w:szCs w:val="21"/>
              </w:rPr>
              <w:t>污染物名称</w:t>
            </w:r>
          </w:p>
        </w:tc>
        <w:tc>
          <w:tcPr>
            <w:tcW w:w="2607" w:type="pct"/>
            <w:vAlign w:val="center"/>
          </w:tcPr>
          <w:p w14:paraId="4452171C">
            <w:pPr>
              <w:spacing w:line="240" w:lineRule="auto"/>
              <w:ind w:firstLine="0" w:firstLineChars="0"/>
              <w:jc w:val="center"/>
              <w:rPr>
                <w:kern w:val="2"/>
                <w:sz w:val="21"/>
                <w:szCs w:val="21"/>
              </w:rPr>
            </w:pPr>
            <w:r>
              <w:rPr>
                <w:rFonts w:hint="eastAsia"/>
                <w:kern w:val="2"/>
                <w:sz w:val="21"/>
                <w:szCs w:val="21"/>
              </w:rPr>
              <w:t>1h评价标准值（mg/m</w:t>
            </w:r>
            <w:r>
              <w:rPr>
                <w:rFonts w:hint="eastAsia"/>
                <w:kern w:val="2"/>
                <w:sz w:val="21"/>
                <w:szCs w:val="21"/>
                <w:vertAlign w:val="superscript"/>
              </w:rPr>
              <w:t>3</w:t>
            </w:r>
            <w:r>
              <w:rPr>
                <w:rFonts w:hint="eastAsia"/>
                <w:kern w:val="2"/>
                <w:sz w:val="21"/>
                <w:szCs w:val="21"/>
              </w:rPr>
              <w:t>）</w:t>
            </w:r>
          </w:p>
        </w:tc>
      </w:tr>
      <w:tr w14:paraId="2799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5EC68329">
            <w:pPr>
              <w:spacing w:line="240" w:lineRule="auto"/>
              <w:ind w:firstLine="0" w:firstLineChars="0"/>
              <w:jc w:val="center"/>
              <w:rPr>
                <w:kern w:val="2"/>
                <w:sz w:val="21"/>
                <w:szCs w:val="21"/>
              </w:rPr>
            </w:pPr>
            <w:r>
              <w:rPr>
                <w:rFonts w:hint="eastAsia"/>
                <w:kern w:val="2"/>
                <w:sz w:val="21"/>
                <w:szCs w:val="21"/>
              </w:rPr>
              <w:t>1</w:t>
            </w:r>
          </w:p>
        </w:tc>
        <w:tc>
          <w:tcPr>
            <w:tcW w:w="1746" w:type="pct"/>
            <w:vAlign w:val="center"/>
          </w:tcPr>
          <w:p w14:paraId="00A299A2">
            <w:pPr>
              <w:spacing w:line="240" w:lineRule="auto"/>
              <w:ind w:firstLine="0" w:firstLineChars="0"/>
              <w:jc w:val="center"/>
              <w:rPr>
                <w:kern w:val="2"/>
                <w:sz w:val="21"/>
                <w:szCs w:val="21"/>
              </w:rPr>
            </w:pPr>
            <w:r>
              <w:rPr>
                <w:rFonts w:hint="eastAsia"/>
                <w:kern w:val="2"/>
                <w:sz w:val="21"/>
                <w:szCs w:val="21"/>
              </w:rPr>
              <w:t>H</w:t>
            </w:r>
            <w:r>
              <w:rPr>
                <w:rFonts w:hint="eastAsia"/>
                <w:kern w:val="2"/>
                <w:sz w:val="21"/>
                <w:szCs w:val="21"/>
                <w:vertAlign w:val="subscript"/>
              </w:rPr>
              <w:t>2</w:t>
            </w:r>
            <w:r>
              <w:rPr>
                <w:rFonts w:hint="eastAsia"/>
                <w:kern w:val="2"/>
                <w:sz w:val="21"/>
                <w:szCs w:val="21"/>
              </w:rPr>
              <w:t>S</w:t>
            </w:r>
          </w:p>
        </w:tc>
        <w:tc>
          <w:tcPr>
            <w:tcW w:w="2607" w:type="pct"/>
            <w:vAlign w:val="center"/>
          </w:tcPr>
          <w:p w14:paraId="78EC983E">
            <w:pPr>
              <w:spacing w:line="240" w:lineRule="auto"/>
              <w:ind w:firstLine="0" w:firstLineChars="0"/>
              <w:jc w:val="center"/>
              <w:rPr>
                <w:kern w:val="2"/>
                <w:sz w:val="21"/>
                <w:szCs w:val="21"/>
              </w:rPr>
            </w:pPr>
            <w:r>
              <w:rPr>
                <w:rFonts w:hint="eastAsia"/>
                <w:kern w:val="2"/>
                <w:sz w:val="21"/>
                <w:szCs w:val="21"/>
              </w:rPr>
              <w:t>0.01</w:t>
            </w:r>
          </w:p>
        </w:tc>
      </w:tr>
      <w:tr w14:paraId="6F73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43C95E6E">
            <w:pPr>
              <w:spacing w:line="240" w:lineRule="auto"/>
              <w:ind w:firstLine="0" w:firstLineChars="0"/>
              <w:jc w:val="center"/>
              <w:rPr>
                <w:kern w:val="2"/>
                <w:sz w:val="21"/>
                <w:szCs w:val="21"/>
              </w:rPr>
            </w:pPr>
            <w:r>
              <w:rPr>
                <w:rFonts w:hint="eastAsia"/>
                <w:kern w:val="2"/>
                <w:sz w:val="21"/>
                <w:szCs w:val="21"/>
              </w:rPr>
              <w:t>2</w:t>
            </w:r>
          </w:p>
        </w:tc>
        <w:tc>
          <w:tcPr>
            <w:tcW w:w="1746" w:type="pct"/>
            <w:vAlign w:val="center"/>
          </w:tcPr>
          <w:p w14:paraId="1F387C54">
            <w:pPr>
              <w:spacing w:line="240" w:lineRule="auto"/>
              <w:ind w:firstLine="0" w:firstLineChars="0"/>
              <w:jc w:val="center"/>
              <w:rPr>
                <w:kern w:val="2"/>
                <w:sz w:val="21"/>
                <w:szCs w:val="21"/>
              </w:rPr>
            </w:pPr>
            <w:r>
              <w:rPr>
                <w:rFonts w:hint="eastAsia"/>
                <w:kern w:val="2"/>
                <w:sz w:val="21"/>
                <w:szCs w:val="21"/>
              </w:rPr>
              <w:t>NH</w:t>
            </w:r>
            <w:r>
              <w:rPr>
                <w:rFonts w:hint="eastAsia"/>
                <w:kern w:val="2"/>
                <w:sz w:val="21"/>
                <w:szCs w:val="21"/>
                <w:vertAlign w:val="subscript"/>
              </w:rPr>
              <w:t>3</w:t>
            </w:r>
          </w:p>
        </w:tc>
        <w:tc>
          <w:tcPr>
            <w:tcW w:w="2607" w:type="pct"/>
            <w:vAlign w:val="center"/>
          </w:tcPr>
          <w:p w14:paraId="5506583D">
            <w:pPr>
              <w:spacing w:line="240" w:lineRule="auto"/>
              <w:ind w:firstLine="0" w:firstLineChars="0"/>
              <w:jc w:val="center"/>
              <w:rPr>
                <w:kern w:val="2"/>
                <w:sz w:val="21"/>
                <w:szCs w:val="21"/>
              </w:rPr>
            </w:pPr>
            <w:r>
              <w:rPr>
                <w:rFonts w:hint="eastAsia"/>
                <w:kern w:val="2"/>
                <w:sz w:val="21"/>
                <w:szCs w:val="21"/>
              </w:rPr>
              <w:t>5</w:t>
            </w:r>
          </w:p>
        </w:tc>
      </w:tr>
      <w:tr w14:paraId="1646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500D0006">
            <w:pPr>
              <w:spacing w:line="240" w:lineRule="auto"/>
              <w:ind w:firstLine="0" w:firstLineChars="0"/>
              <w:jc w:val="center"/>
              <w:rPr>
                <w:kern w:val="2"/>
                <w:sz w:val="21"/>
                <w:szCs w:val="21"/>
              </w:rPr>
            </w:pPr>
            <w:r>
              <w:rPr>
                <w:rFonts w:hint="eastAsia"/>
                <w:kern w:val="2"/>
                <w:sz w:val="21"/>
                <w:szCs w:val="21"/>
              </w:rPr>
              <w:t>3</w:t>
            </w:r>
          </w:p>
        </w:tc>
        <w:tc>
          <w:tcPr>
            <w:tcW w:w="1746" w:type="pct"/>
            <w:vAlign w:val="center"/>
          </w:tcPr>
          <w:p w14:paraId="1DC6BFB9">
            <w:pPr>
              <w:spacing w:line="240" w:lineRule="auto"/>
              <w:ind w:firstLine="0" w:firstLineChars="0"/>
              <w:jc w:val="center"/>
              <w:rPr>
                <w:kern w:val="2"/>
                <w:sz w:val="21"/>
                <w:szCs w:val="21"/>
              </w:rPr>
            </w:pPr>
            <w:r>
              <w:rPr>
                <w:rFonts w:hint="eastAsia"/>
                <w:kern w:val="2"/>
                <w:sz w:val="21"/>
                <w:szCs w:val="21"/>
              </w:rPr>
              <w:t>TSP</w:t>
            </w:r>
          </w:p>
        </w:tc>
        <w:tc>
          <w:tcPr>
            <w:tcW w:w="2607" w:type="pct"/>
            <w:vAlign w:val="center"/>
          </w:tcPr>
          <w:p w14:paraId="6CB5D201">
            <w:pPr>
              <w:spacing w:line="240" w:lineRule="auto"/>
              <w:ind w:firstLine="0" w:firstLineChars="0"/>
              <w:jc w:val="center"/>
              <w:rPr>
                <w:kern w:val="2"/>
                <w:sz w:val="21"/>
                <w:szCs w:val="21"/>
                <w:vertAlign w:val="superscript"/>
              </w:rPr>
            </w:pPr>
            <w:r>
              <w:rPr>
                <w:rFonts w:hint="eastAsia"/>
                <w:kern w:val="2"/>
                <w:sz w:val="21"/>
                <w:szCs w:val="21"/>
              </w:rPr>
              <w:t>2</w:t>
            </w:r>
          </w:p>
        </w:tc>
      </w:tr>
    </w:tbl>
    <w:p w14:paraId="2400A2F7">
      <w:pPr>
        <w:ind w:firstLine="480"/>
      </w:pPr>
      <w:r>
        <w:rPr>
          <w:rFonts w:hint="eastAsia"/>
        </w:rPr>
        <w:t>（3）评价方法</w:t>
      </w:r>
    </w:p>
    <w:p w14:paraId="4778982D">
      <w:pPr>
        <w:ind w:firstLine="480"/>
      </w:pPr>
      <w:r>
        <w:rPr>
          <w:rFonts w:hint="eastAsia"/>
        </w:rPr>
        <w:t>采用标准指数法评价大气污染物在评价区域内的环境质量现状，计算公式如下：</w:t>
      </w:r>
    </w:p>
    <w:p w14:paraId="7872C3E5">
      <w:pPr>
        <w:ind w:firstLine="0" w:firstLineChars="0"/>
        <w:jc w:val="center"/>
      </w:pPr>
      <w:r>
        <w:object>
          <v:shape id="_x0000_i1028" o:spt="75" type="#_x0000_t75" style="height:36pt;width:72pt;" o:ole="t" filled="f" o:preferrelative="t" stroked="f" coordsize="21600,21600">
            <v:path/>
            <v:fill on="f" focussize="0,0"/>
            <v:stroke on="f" joinstyle="miter"/>
            <v:imagedata r:id="rId41" o:title=""/>
            <o:lock v:ext="edit" aspectratio="t"/>
            <w10:wrap type="none"/>
            <w10:anchorlock/>
          </v:shape>
          <o:OLEObject Type="Embed" ProgID="Equation.AxMath" ShapeID="_x0000_i1028" DrawAspect="Content" ObjectID="_1468075727" r:id="rId40">
            <o:LockedField>false</o:LockedField>
          </o:OLEObject>
        </w:object>
      </w:r>
    </w:p>
    <w:p w14:paraId="65D22851">
      <w:pPr>
        <w:ind w:firstLine="480"/>
      </w:pPr>
      <w:r>
        <w:rPr>
          <w:rFonts w:hint="eastAsia"/>
        </w:rPr>
        <w:t>式中：P</w:t>
      </w:r>
      <w:r>
        <w:rPr>
          <w:rFonts w:hint="eastAsia"/>
          <w:vertAlign w:val="subscript"/>
        </w:rPr>
        <w:t>i</w:t>
      </w:r>
      <w:r>
        <w:rPr>
          <w:rFonts w:hint="eastAsia"/>
        </w:rPr>
        <w:t>——污染物i的单项污染指数，%；</w:t>
      </w:r>
    </w:p>
    <w:p w14:paraId="4A619CA4">
      <w:pPr>
        <w:ind w:firstLine="1200" w:firstLineChars="500"/>
      </w:pPr>
      <w:r>
        <w:rPr>
          <w:rFonts w:hint="eastAsia"/>
        </w:rPr>
        <w:t>C</w:t>
      </w:r>
      <w:r>
        <w:rPr>
          <w:rFonts w:hint="eastAsia"/>
          <w:vertAlign w:val="subscript"/>
        </w:rPr>
        <w:t>i</w:t>
      </w:r>
      <w:r>
        <w:rPr>
          <w:rFonts w:hint="eastAsia"/>
        </w:rPr>
        <w:t>——污染物i的监测浓度值，</w:t>
      </w:r>
      <w:r>
        <w:t>μg/m</w:t>
      </w:r>
      <w:r>
        <w:rPr>
          <w:vertAlign w:val="superscript"/>
        </w:rPr>
        <w:t>3</w:t>
      </w:r>
      <w:r>
        <w:rPr>
          <w:rFonts w:hint="eastAsia"/>
        </w:rPr>
        <w:t>；</w:t>
      </w:r>
    </w:p>
    <w:p w14:paraId="1DC32B07">
      <w:pPr>
        <w:ind w:firstLine="1200" w:firstLineChars="500"/>
      </w:pPr>
      <w:r>
        <w:rPr>
          <w:rFonts w:hint="eastAsia"/>
        </w:rPr>
        <w:t>C</w:t>
      </w:r>
      <w:r>
        <w:rPr>
          <w:rFonts w:hint="eastAsia"/>
          <w:vertAlign w:val="subscript"/>
        </w:rPr>
        <w:t>0i</w:t>
      </w:r>
      <w:r>
        <w:rPr>
          <w:rFonts w:hint="eastAsia"/>
        </w:rPr>
        <w:t>——污染物i的环境空气质量浓度标准，μg/m</w:t>
      </w:r>
      <w:r>
        <w:rPr>
          <w:rFonts w:hint="eastAsia"/>
          <w:vertAlign w:val="superscript"/>
        </w:rPr>
        <w:t>3</w:t>
      </w:r>
      <w:r>
        <w:rPr>
          <w:rFonts w:hint="eastAsia"/>
        </w:rPr>
        <w:t>。</w:t>
      </w:r>
    </w:p>
    <w:p w14:paraId="63567126">
      <w:pPr>
        <w:ind w:firstLine="480"/>
      </w:pPr>
      <w:r>
        <w:rPr>
          <w:rFonts w:hint="eastAsia"/>
        </w:rPr>
        <w:t>当P</w:t>
      </w:r>
      <w:r>
        <w:rPr>
          <w:rFonts w:hint="eastAsia"/>
          <w:vertAlign w:val="subscript"/>
        </w:rPr>
        <w:t>i</w:t>
      </w:r>
      <w:r>
        <w:rPr>
          <w:rFonts w:hint="eastAsia"/>
        </w:rPr>
        <w:t>≥1时，说明环境中i污染物含量超过标准值，当P</w:t>
      </w:r>
      <w:r>
        <w:rPr>
          <w:rFonts w:hint="eastAsia"/>
          <w:vertAlign w:val="subscript"/>
        </w:rPr>
        <w:t>i</w:t>
      </w:r>
      <w:r>
        <w:rPr>
          <w:rFonts w:hint="eastAsia"/>
        </w:rPr>
        <w:t>&lt;1时，则说明i污染物符合标准。某污染物的P</w:t>
      </w:r>
      <w:r>
        <w:rPr>
          <w:rFonts w:hint="eastAsia"/>
          <w:vertAlign w:val="subscript"/>
        </w:rPr>
        <w:t>i</w:t>
      </w:r>
      <w:r>
        <w:rPr>
          <w:rFonts w:hint="eastAsia"/>
        </w:rPr>
        <w:t>值越大，则污染相对越严重。</w:t>
      </w:r>
    </w:p>
    <w:p w14:paraId="063FB532">
      <w:pPr>
        <w:ind w:firstLine="480"/>
      </w:pPr>
      <w:r>
        <w:rPr>
          <w:rFonts w:hint="eastAsia"/>
        </w:rPr>
        <w:t>（4）监测结果分析及评价</w:t>
      </w:r>
    </w:p>
    <w:p w14:paraId="5516F257">
      <w:pPr>
        <w:ind w:firstLine="480"/>
      </w:pPr>
      <w:r>
        <w:t>H</w:t>
      </w:r>
      <w:r>
        <w:rPr>
          <w:vertAlign w:val="subscript"/>
        </w:rPr>
        <w:t>2</w:t>
      </w:r>
      <w:r>
        <w:t>S</w:t>
      </w:r>
      <w:r>
        <w:rPr>
          <w:rFonts w:hint="eastAsia"/>
        </w:rPr>
        <w:t>、</w:t>
      </w:r>
      <w:r>
        <w:t>NH</w:t>
      </w:r>
      <w:r>
        <w:rPr>
          <w:vertAlign w:val="subscript"/>
        </w:rPr>
        <w:t>3</w:t>
      </w:r>
      <w:r>
        <w:rPr>
          <w:rFonts w:hint="eastAsia"/>
        </w:rPr>
        <w:t>、TSP监测结果见表4.2-4，</w:t>
      </w:r>
      <w:r>
        <w:t>H</w:t>
      </w:r>
      <w:r>
        <w:rPr>
          <w:vertAlign w:val="subscript"/>
        </w:rPr>
        <w:t>2</w:t>
      </w:r>
      <w:r>
        <w:t>S</w:t>
      </w:r>
      <w:r>
        <w:rPr>
          <w:rFonts w:hint="eastAsia"/>
        </w:rPr>
        <w:t>、</w:t>
      </w:r>
      <w:r>
        <w:t>NH</w:t>
      </w:r>
      <w:r>
        <w:rPr>
          <w:vertAlign w:val="subscript"/>
        </w:rPr>
        <w:t>3</w:t>
      </w:r>
      <w:r>
        <w:rPr>
          <w:rFonts w:hint="eastAsia"/>
        </w:rPr>
        <w:t>、TSP评价结果见表4.2-5。</w:t>
      </w:r>
    </w:p>
    <w:p w14:paraId="6C5BCFC4">
      <w:pPr>
        <w:pStyle w:val="11"/>
        <w:rPr>
          <w:sz w:val="24"/>
          <w:szCs w:val="22"/>
        </w:rPr>
      </w:pPr>
      <w:r>
        <w:rPr>
          <w:rFonts w:hint="eastAsia"/>
          <w:sz w:val="24"/>
          <w:szCs w:val="22"/>
        </w:rPr>
        <w:t>表4.2-4H</w:t>
      </w:r>
      <w:r>
        <w:rPr>
          <w:rFonts w:hint="eastAsia"/>
          <w:sz w:val="24"/>
          <w:szCs w:val="22"/>
          <w:vertAlign w:val="subscript"/>
        </w:rPr>
        <w:t>2</w:t>
      </w:r>
      <w:r>
        <w:rPr>
          <w:rFonts w:hint="eastAsia"/>
          <w:sz w:val="24"/>
          <w:szCs w:val="22"/>
        </w:rPr>
        <w:t>S、NH</w:t>
      </w:r>
      <w:r>
        <w:rPr>
          <w:rFonts w:hint="eastAsia"/>
          <w:sz w:val="24"/>
          <w:szCs w:val="22"/>
          <w:vertAlign w:val="subscript"/>
        </w:rPr>
        <w:t>3</w:t>
      </w:r>
      <w:bookmarkStart w:id="139" w:name="_Hlk106060003"/>
      <w:r>
        <w:rPr>
          <w:rFonts w:hint="eastAsia"/>
          <w:sz w:val="24"/>
          <w:szCs w:val="22"/>
        </w:rPr>
        <w:t>、</w:t>
      </w:r>
      <w:r>
        <w:rPr>
          <w:sz w:val="24"/>
          <w:szCs w:val="22"/>
        </w:rPr>
        <w:t>TSP</w:t>
      </w:r>
      <w:bookmarkEnd w:id="139"/>
      <w:r>
        <w:rPr>
          <w:rFonts w:hint="eastAsia"/>
          <w:sz w:val="24"/>
          <w:szCs w:val="22"/>
        </w:rPr>
        <w:t>监测结果表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585"/>
        <w:gridCol w:w="1585"/>
        <w:gridCol w:w="1270"/>
        <w:gridCol w:w="876"/>
        <w:gridCol w:w="1619"/>
      </w:tblGrid>
      <w:tr w14:paraId="7663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restart"/>
            <w:vAlign w:val="center"/>
          </w:tcPr>
          <w:p w14:paraId="193E7C14">
            <w:pPr>
              <w:spacing w:line="480" w:lineRule="exact"/>
              <w:ind w:firstLine="0" w:firstLineChars="0"/>
              <w:jc w:val="center"/>
              <w:rPr>
                <w:kern w:val="2"/>
                <w:sz w:val="21"/>
                <w:szCs w:val="21"/>
              </w:rPr>
            </w:pPr>
            <w:r>
              <w:rPr>
                <w:rFonts w:hint="eastAsia"/>
                <w:kern w:val="2"/>
                <w:sz w:val="21"/>
                <w:szCs w:val="21"/>
              </w:rPr>
              <w:t>采样点位</w:t>
            </w:r>
          </w:p>
        </w:tc>
        <w:tc>
          <w:tcPr>
            <w:tcW w:w="930" w:type="pct"/>
            <w:vMerge w:val="restart"/>
            <w:vAlign w:val="center"/>
          </w:tcPr>
          <w:p w14:paraId="0D2AD812">
            <w:pPr>
              <w:spacing w:line="480" w:lineRule="exact"/>
              <w:ind w:firstLine="0" w:firstLineChars="0"/>
              <w:jc w:val="center"/>
              <w:rPr>
                <w:kern w:val="2"/>
                <w:sz w:val="21"/>
                <w:szCs w:val="21"/>
              </w:rPr>
            </w:pPr>
            <w:r>
              <w:rPr>
                <w:kern w:val="2"/>
                <w:sz w:val="21"/>
                <w:szCs w:val="21"/>
              </w:rPr>
              <w:t>采样时间</w:t>
            </w:r>
          </w:p>
        </w:tc>
        <w:tc>
          <w:tcPr>
            <w:tcW w:w="930" w:type="pct"/>
            <w:vMerge w:val="restart"/>
            <w:vAlign w:val="center"/>
          </w:tcPr>
          <w:p w14:paraId="3FAFE4FC">
            <w:pPr>
              <w:spacing w:line="480" w:lineRule="exact"/>
              <w:ind w:firstLine="0" w:firstLineChars="0"/>
              <w:jc w:val="center"/>
              <w:rPr>
                <w:kern w:val="2"/>
                <w:sz w:val="21"/>
                <w:szCs w:val="21"/>
              </w:rPr>
            </w:pPr>
            <w:r>
              <w:rPr>
                <w:rFonts w:hint="eastAsia"/>
                <w:kern w:val="2"/>
                <w:sz w:val="21"/>
                <w:szCs w:val="21"/>
              </w:rPr>
              <w:t>采样频次</w:t>
            </w:r>
          </w:p>
        </w:tc>
        <w:tc>
          <w:tcPr>
            <w:tcW w:w="2209" w:type="pct"/>
            <w:gridSpan w:val="3"/>
            <w:vAlign w:val="center"/>
          </w:tcPr>
          <w:p w14:paraId="59F06519">
            <w:pPr>
              <w:spacing w:line="480" w:lineRule="exact"/>
              <w:ind w:firstLine="0" w:firstLineChars="0"/>
              <w:jc w:val="center"/>
              <w:rPr>
                <w:kern w:val="2"/>
                <w:sz w:val="21"/>
                <w:szCs w:val="21"/>
              </w:rPr>
            </w:pPr>
            <w:r>
              <w:rPr>
                <w:kern w:val="2"/>
                <w:sz w:val="21"/>
                <w:szCs w:val="21"/>
              </w:rPr>
              <w:t>检测项目（mg/m</w:t>
            </w:r>
            <w:r>
              <w:rPr>
                <w:kern w:val="2"/>
                <w:sz w:val="21"/>
                <w:szCs w:val="21"/>
                <w:vertAlign w:val="superscript"/>
              </w:rPr>
              <w:t>3</w:t>
            </w:r>
            <w:r>
              <w:rPr>
                <w:kern w:val="2"/>
                <w:sz w:val="21"/>
                <w:szCs w:val="21"/>
              </w:rPr>
              <w:t>）</w:t>
            </w:r>
          </w:p>
        </w:tc>
      </w:tr>
      <w:tr w14:paraId="7341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5A14D489">
            <w:pPr>
              <w:spacing w:line="480" w:lineRule="exact"/>
              <w:ind w:firstLine="0" w:firstLineChars="0"/>
              <w:jc w:val="center"/>
              <w:rPr>
                <w:kern w:val="2"/>
                <w:sz w:val="21"/>
                <w:szCs w:val="21"/>
              </w:rPr>
            </w:pPr>
          </w:p>
        </w:tc>
        <w:tc>
          <w:tcPr>
            <w:tcW w:w="930" w:type="pct"/>
            <w:vMerge w:val="continue"/>
            <w:vAlign w:val="center"/>
          </w:tcPr>
          <w:p w14:paraId="6C2A695A">
            <w:pPr>
              <w:spacing w:line="480" w:lineRule="exact"/>
              <w:ind w:firstLine="0" w:firstLineChars="0"/>
              <w:jc w:val="center"/>
              <w:rPr>
                <w:kern w:val="2"/>
                <w:sz w:val="21"/>
                <w:szCs w:val="21"/>
              </w:rPr>
            </w:pPr>
          </w:p>
        </w:tc>
        <w:tc>
          <w:tcPr>
            <w:tcW w:w="930" w:type="pct"/>
            <w:vMerge w:val="continue"/>
            <w:vAlign w:val="center"/>
          </w:tcPr>
          <w:p w14:paraId="32189CE1">
            <w:pPr>
              <w:spacing w:line="480" w:lineRule="exact"/>
              <w:ind w:firstLine="0" w:firstLineChars="0"/>
              <w:jc w:val="center"/>
              <w:rPr>
                <w:kern w:val="2"/>
                <w:sz w:val="21"/>
                <w:szCs w:val="21"/>
              </w:rPr>
            </w:pPr>
          </w:p>
        </w:tc>
        <w:tc>
          <w:tcPr>
            <w:tcW w:w="745" w:type="pct"/>
            <w:vAlign w:val="center"/>
          </w:tcPr>
          <w:p w14:paraId="75472EE3">
            <w:pPr>
              <w:spacing w:line="480" w:lineRule="exact"/>
              <w:ind w:firstLine="0" w:firstLineChars="0"/>
              <w:jc w:val="center"/>
              <w:rPr>
                <w:kern w:val="2"/>
                <w:sz w:val="21"/>
                <w:szCs w:val="21"/>
              </w:rPr>
            </w:pPr>
            <w:r>
              <w:rPr>
                <w:rFonts w:hint="eastAsia"/>
                <w:kern w:val="2"/>
                <w:sz w:val="21"/>
                <w:szCs w:val="21"/>
              </w:rPr>
              <w:t>硫化氢</w:t>
            </w:r>
          </w:p>
        </w:tc>
        <w:tc>
          <w:tcPr>
            <w:tcW w:w="514" w:type="pct"/>
            <w:vAlign w:val="center"/>
          </w:tcPr>
          <w:p w14:paraId="46DEC1C9">
            <w:pPr>
              <w:spacing w:line="480" w:lineRule="exact"/>
              <w:ind w:firstLine="0" w:firstLineChars="0"/>
              <w:jc w:val="center"/>
              <w:rPr>
                <w:kern w:val="2"/>
                <w:sz w:val="21"/>
                <w:szCs w:val="21"/>
              </w:rPr>
            </w:pPr>
            <w:r>
              <w:rPr>
                <w:rFonts w:hint="eastAsia"/>
                <w:kern w:val="2"/>
                <w:sz w:val="21"/>
                <w:szCs w:val="21"/>
              </w:rPr>
              <w:t>氨</w:t>
            </w:r>
          </w:p>
        </w:tc>
        <w:tc>
          <w:tcPr>
            <w:tcW w:w="950" w:type="pct"/>
            <w:vAlign w:val="center"/>
          </w:tcPr>
          <w:p w14:paraId="6ABD17A8">
            <w:pPr>
              <w:spacing w:line="480" w:lineRule="exact"/>
              <w:ind w:firstLine="0" w:firstLineChars="0"/>
              <w:jc w:val="center"/>
              <w:rPr>
                <w:kern w:val="2"/>
                <w:sz w:val="21"/>
                <w:szCs w:val="21"/>
                <w:vertAlign w:val="superscript"/>
              </w:rPr>
            </w:pPr>
            <w:r>
              <w:rPr>
                <w:rFonts w:hint="eastAsia"/>
                <w:kern w:val="2"/>
                <w:sz w:val="21"/>
                <w:szCs w:val="21"/>
              </w:rPr>
              <w:t>TSPug/m</w:t>
            </w:r>
            <w:r>
              <w:rPr>
                <w:rFonts w:hint="eastAsia"/>
                <w:kern w:val="2"/>
                <w:sz w:val="21"/>
                <w:szCs w:val="21"/>
                <w:vertAlign w:val="superscript"/>
              </w:rPr>
              <w:t>3</w:t>
            </w:r>
          </w:p>
        </w:tc>
      </w:tr>
      <w:tr w14:paraId="6804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restart"/>
            <w:vAlign w:val="center"/>
          </w:tcPr>
          <w:p w14:paraId="2F2C0FFC">
            <w:pPr>
              <w:spacing w:line="480" w:lineRule="exact"/>
              <w:ind w:firstLine="0" w:firstLineChars="0"/>
              <w:jc w:val="center"/>
              <w:rPr>
                <w:kern w:val="2"/>
                <w:sz w:val="21"/>
                <w:szCs w:val="21"/>
              </w:rPr>
            </w:pPr>
            <w:r>
              <w:rPr>
                <w:kern w:val="2"/>
                <w:sz w:val="21"/>
                <w:szCs w:val="21"/>
              </w:rPr>
              <w:t>1#</w:t>
            </w:r>
            <w:r>
              <w:rPr>
                <w:rFonts w:hint="eastAsia"/>
                <w:kern w:val="2"/>
                <w:sz w:val="21"/>
                <w:szCs w:val="21"/>
              </w:rPr>
              <w:t>项目区</w:t>
            </w:r>
          </w:p>
        </w:tc>
        <w:tc>
          <w:tcPr>
            <w:tcW w:w="930" w:type="pct"/>
            <w:vMerge w:val="restart"/>
            <w:vAlign w:val="center"/>
          </w:tcPr>
          <w:p w14:paraId="486E0DD7">
            <w:pPr>
              <w:spacing w:line="480" w:lineRule="exact"/>
              <w:ind w:firstLine="0" w:firstLineChars="0"/>
              <w:jc w:val="center"/>
              <w:rPr>
                <w:kern w:val="2"/>
                <w:sz w:val="21"/>
                <w:szCs w:val="21"/>
              </w:rPr>
            </w:pPr>
            <w:r>
              <w:rPr>
                <w:rFonts w:hint="eastAsia"/>
                <w:kern w:val="2"/>
                <w:sz w:val="21"/>
                <w:szCs w:val="21"/>
              </w:rPr>
              <w:t>第一天</w:t>
            </w:r>
          </w:p>
        </w:tc>
        <w:tc>
          <w:tcPr>
            <w:tcW w:w="930" w:type="pct"/>
            <w:vAlign w:val="center"/>
          </w:tcPr>
          <w:p w14:paraId="4115BC09">
            <w:pPr>
              <w:spacing w:line="480" w:lineRule="exact"/>
              <w:ind w:firstLine="0" w:firstLineChars="0"/>
              <w:jc w:val="center"/>
              <w:rPr>
                <w:kern w:val="2"/>
                <w:sz w:val="21"/>
                <w:szCs w:val="21"/>
              </w:rPr>
            </w:pPr>
            <w:r>
              <w:rPr>
                <w:rFonts w:hint="eastAsia"/>
                <w:sz w:val="21"/>
                <w:szCs w:val="21"/>
              </w:rPr>
              <w:t>第1次</w:t>
            </w:r>
          </w:p>
        </w:tc>
        <w:tc>
          <w:tcPr>
            <w:tcW w:w="745" w:type="pct"/>
            <w:vAlign w:val="center"/>
          </w:tcPr>
          <w:p w14:paraId="79DB7152">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72973EA3">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restart"/>
            <w:vAlign w:val="center"/>
          </w:tcPr>
          <w:p w14:paraId="2F4AEA21">
            <w:pPr>
              <w:widowControl/>
              <w:spacing w:line="480" w:lineRule="exact"/>
              <w:ind w:firstLine="0" w:firstLineChars="0"/>
              <w:jc w:val="center"/>
              <w:textAlignment w:val="center"/>
              <w:rPr>
                <w:sz w:val="21"/>
                <w:szCs w:val="21"/>
                <w:lang w:bidi="ar"/>
              </w:rPr>
            </w:pPr>
            <w:r>
              <w:rPr>
                <w:rFonts w:hint="eastAsia"/>
                <w:sz w:val="21"/>
                <w:szCs w:val="21"/>
                <w:lang w:bidi="ar"/>
              </w:rPr>
              <w:t>201</w:t>
            </w:r>
          </w:p>
        </w:tc>
      </w:tr>
      <w:tr w14:paraId="7CD3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17204051">
            <w:pPr>
              <w:spacing w:line="480" w:lineRule="exact"/>
              <w:ind w:firstLine="0" w:firstLineChars="0"/>
              <w:jc w:val="center"/>
              <w:rPr>
                <w:kern w:val="2"/>
                <w:sz w:val="21"/>
                <w:szCs w:val="21"/>
              </w:rPr>
            </w:pPr>
          </w:p>
        </w:tc>
        <w:tc>
          <w:tcPr>
            <w:tcW w:w="930" w:type="pct"/>
            <w:vMerge w:val="continue"/>
            <w:vAlign w:val="center"/>
          </w:tcPr>
          <w:p w14:paraId="4B502570">
            <w:pPr>
              <w:spacing w:line="480" w:lineRule="exact"/>
              <w:ind w:firstLine="0" w:firstLineChars="0"/>
              <w:jc w:val="center"/>
              <w:rPr>
                <w:kern w:val="2"/>
                <w:sz w:val="21"/>
                <w:szCs w:val="21"/>
              </w:rPr>
            </w:pPr>
          </w:p>
        </w:tc>
        <w:tc>
          <w:tcPr>
            <w:tcW w:w="930" w:type="pct"/>
            <w:vAlign w:val="center"/>
          </w:tcPr>
          <w:p w14:paraId="5CB91480">
            <w:pPr>
              <w:spacing w:line="480" w:lineRule="exact"/>
              <w:ind w:firstLine="0" w:firstLineChars="0"/>
              <w:jc w:val="center"/>
              <w:rPr>
                <w:kern w:val="2"/>
                <w:sz w:val="21"/>
                <w:szCs w:val="21"/>
              </w:rPr>
            </w:pPr>
            <w:r>
              <w:rPr>
                <w:rFonts w:hint="eastAsia"/>
                <w:sz w:val="21"/>
                <w:szCs w:val="21"/>
              </w:rPr>
              <w:t>第2次</w:t>
            </w:r>
          </w:p>
        </w:tc>
        <w:tc>
          <w:tcPr>
            <w:tcW w:w="745" w:type="pct"/>
            <w:vAlign w:val="center"/>
          </w:tcPr>
          <w:p w14:paraId="43545209">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14DBED74">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continue"/>
            <w:vAlign w:val="center"/>
          </w:tcPr>
          <w:p w14:paraId="543127DF">
            <w:pPr>
              <w:widowControl/>
              <w:spacing w:line="480" w:lineRule="exact"/>
              <w:ind w:firstLine="0" w:firstLineChars="0"/>
              <w:jc w:val="center"/>
              <w:textAlignment w:val="center"/>
              <w:rPr>
                <w:sz w:val="21"/>
                <w:szCs w:val="21"/>
                <w:lang w:bidi="ar"/>
              </w:rPr>
            </w:pPr>
          </w:p>
        </w:tc>
      </w:tr>
      <w:tr w14:paraId="6EF9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58FD92C5">
            <w:pPr>
              <w:spacing w:line="480" w:lineRule="exact"/>
              <w:ind w:firstLine="0" w:firstLineChars="0"/>
              <w:jc w:val="center"/>
              <w:rPr>
                <w:kern w:val="2"/>
                <w:sz w:val="21"/>
                <w:szCs w:val="21"/>
              </w:rPr>
            </w:pPr>
          </w:p>
        </w:tc>
        <w:tc>
          <w:tcPr>
            <w:tcW w:w="930" w:type="pct"/>
            <w:vMerge w:val="continue"/>
            <w:vAlign w:val="center"/>
          </w:tcPr>
          <w:p w14:paraId="12F46284">
            <w:pPr>
              <w:spacing w:line="480" w:lineRule="exact"/>
              <w:ind w:firstLine="0" w:firstLineChars="0"/>
              <w:jc w:val="center"/>
              <w:rPr>
                <w:kern w:val="2"/>
                <w:sz w:val="21"/>
                <w:szCs w:val="21"/>
              </w:rPr>
            </w:pPr>
          </w:p>
        </w:tc>
        <w:tc>
          <w:tcPr>
            <w:tcW w:w="930" w:type="pct"/>
            <w:vAlign w:val="center"/>
          </w:tcPr>
          <w:p w14:paraId="4474185A">
            <w:pPr>
              <w:spacing w:line="480" w:lineRule="exact"/>
              <w:ind w:firstLine="0" w:firstLineChars="0"/>
              <w:jc w:val="center"/>
              <w:rPr>
                <w:kern w:val="2"/>
                <w:sz w:val="21"/>
                <w:szCs w:val="21"/>
              </w:rPr>
            </w:pPr>
            <w:r>
              <w:rPr>
                <w:rFonts w:hint="eastAsia"/>
                <w:sz w:val="21"/>
                <w:szCs w:val="21"/>
              </w:rPr>
              <w:t>第3次</w:t>
            </w:r>
          </w:p>
        </w:tc>
        <w:tc>
          <w:tcPr>
            <w:tcW w:w="745" w:type="pct"/>
            <w:vAlign w:val="center"/>
          </w:tcPr>
          <w:p w14:paraId="34D70997">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3897B7FA">
            <w:pPr>
              <w:widowControl/>
              <w:spacing w:line="480" w:lineRule="exact"/>
              <w:ind w:firstLine="0" w:firstLineChars="0"/>
              <w:jc w:val="center"/>
              <w:textAlignment w:val="center"/>
              <w:rPr>
                <w:kern w:val="2"/>
                <w:sz w:val="21"/>
                <w:szCs w:val="21"/>
              </w:rPr>
            </w:pPr>
            <w:r>
              <w:rPr>
                <w:rFonts w:hint="eastAsia"/>
                <w:kern w:val="2"/>
                <w:sz w:val="21"/>
                <w:szCs w:val="21"/>
              </w:rPr>
              <w:t>0.16</w:t>
            </w:r>
          </w:p>
        </w:tc>
        <w:tc>
          <w:tcPr>
            <w:tcW w:w="950" w:type="pct"/>
            <w:vMerge w:val="continue"/>
            <w:vAlign w:val="center"/>
          </w:tcPr>
          <w:p w14:paraId="2F79CEA8">
            <w:pPr>
              <w:widowControl/>
              <w:spacing w:line="480" w:lineRule="exact"/>
              <w:ind w:firstLine="0" w:firstLineChars="0"/>
              <w:jc w:val="center"/>
              <w:textAlignment w:val="center"/>
              <w:rPr>
                <w:sz w:val="21"/>
                <w:szCs w:val="21"/>
                <w:lang w:bidi="ar"/>
              </w:rPr>
            </w:pPr>
          </w:p>
        </w:tc>
      </w:tr>
      <w:tr w14:paraId="5DA9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02E8C532">
            <w:pPr>
              <w:spacing w:line="480" w:lineRule="exact"/>
              <w:ind w:firstLine="0" w:firstLineChars="0"/>
              <w:jc w:val="center"/>
              <w:rPr>
                <w:kern w:val="2"/>
                <w:sz w:val="21"/>
                <w:szCs w:val="21"/>
              </w:rPr>
            </w:pPr>
          </w:p>
        </w:tc>
        <w:tc>
          <w:tcPr>
            <w:tcW w:w="930" w:type="pct"/>
            <w:vMerge w:val="continue"/>
            <w:vAlign w:val="center"/>
          </w:tcPr>
          <w:p w14:paraId="36E1C616">
            <w:pPr>
              <w:spacing w:line="480" w:lineRule="exact"/>
              <w:ind w:firstLine="0" w:firstLineChars="0"/>
              <w:jc w:val="center"/>
              <w:rPr>
                <w:kern w:val="2"/>
                <w:sz w:val="21"/>
                <w:szCs w:val="21"/>
              </w:rPr>
            </w:pPr>
          </w:p>
        </w:tc>
        <w:tc>
          <w:tcPr>
            <w:tcW w:w="930" w:type="pct"/>
            <w:vAlign w:val="center"/>
          </w:tcPr>
          <w:p w14:paraId="0E79194F">
            <w:pPr>
              <w:spacing w:line="480" w:lineRule="exact"/>
              <w:ind w:firstLine="0" w:firstLineChars="0"/>
              <w:jc w:val="center"/>
              <w:rPr>
                <w:kern w:val="2"/>
                <w:sz w:val="21"/>
                <w:szCs w:val="21"/>
              </w:rPr>
            </w:pPr>
            <w:r>
              <w:rPr>
                <w:rFonts w:hint="eastAsia"/>
                <w:sz w:val="21"/>
                <w:szCs w:val="21"/>
              </w:rPr>
              <w:t>第4次</w:t>
            </w:r>
          </w:p>
        </w:tc>
        <w:tc>
          <w:tcPr>
            <w:tcW w:w="745" w:type="pct"/>
            <w:vAlign w:val="center"/>
          </w:tcPr>
          <w:p w14:paraId="56CC919D">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00FB0A6F">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continue"/>
            <w:vAlign w:val="center"/>
          </w:tcPr>
          <w:p w14:paraId="39CBE1FF">
            <w:pPr>
              <w:widowControl/>
              <w:spacing w:line="480" w:lineRule="exact"/>
              <w:ind w:firstLine="0" w:firstLineChars="0"/>
              <w:jc w:val="center"/>
              <w:textAlignment w:val="center"/>
              <w:rPr>
                <w:sz w:val="21"/>
                <w:szCs w:val="21"/>
                <w:lang w:bidi="ar"/>
              </w:rPr>
            </w:pPr>
          </w:p>
        </w:tc>
      </w:tr>
      <w:tr w14:paraId="3AC5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55D5231C">
            <w:pPr>
              <w:spacing w:line="480" w:lineRule="exact"/>
              <w:ind w:firstLine="0" w:firstLineChars="0"/>
              <w:jc w:val="center"/>
              <w:rPr>
                <w:kern w:val="2"/>
                <w:sz w:val="21"/>
                <w:szCs w:val="21"/>
              </w:rPr>
            </w:pPr>
          </w:p>
        </w:tc>
        <w:tc>
          <w:tcPr>
            <w:tcW w:w="930" w:type="pct"/>
            <w:vMerge w:val="restart"/>
            <w:vAlign w:val="center"/>
          </w:tcPr>
          <w:p w14:paraId="6CB0DBCF">
            <w:pPr>
              <w:spacing w:line="480" w:lineRule="exact"/>
              <w:ind w:firstLine="0" w:firstLineChars="0"/>
              <w:jc w:val="center"/>
              <w:rPr>
                <w:kern w:val="2"/>
                <w:sz w:val="21"/>
                <w:szCs w:val="21"/>
              </w:rPr>
            </w:pPr>
            <w:r>
              <w:rPr>
                <w:rFonts w:hint="eastAsia"/>
                <w:kern w:val="2"/>
                <w:sz w:val="21"/>
                <w:szCs w:val="21"/>
              </w:rPr>
              <w:t>第二天</w:t>
            </w:r>
          </w:p>
        </w:tc>
        <w:tc>
          <w:tcPr>
            <w:tcW w:w="930" w:type="pct"/>
            <w:vAlign w:val="center"/>
          </w:tcPr>
          <w:p w14:paraId="57ED90F4">
            <w:pPr>
              <w:spacing w:line="480" w:lineRule="exact"/>
              <w:ind w:firstLine="0" w:firstLineChars="0"/>
              <w:jc w:val="center"/>
              <w:rPr>
                <w:kern w:val="2"/>
                <w:sz w:val="21"/>
                <w:szCs w:val="21"/>
              </w:rPr>
            </w:pPr>
            <w:r>
              <w:rPr>
                <w:rFonts w:hint="eastAsia"/>
                <w:sz w:val="21"/>
                <w:szCs w:val="21"/>
              </w:rPr>
              <w:t>第1次</w:t>
            </w:r>
          </w:p>
        </w:tc>
        <w:tc>
          <w:tcPr>
            <w:tcW w:w="745" w:type="pct"/>
            <w:vAlign w:val="center"/>
          </w:tcPr>
          <w:p w14:paraId="4FDECB1D">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3122F5A5">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restart"/>
            <w:vAlign w:val="center"/>
          </w:tcPr>
          <w:p w14:paraId="25369A2D">
            <w:pPr>
              <w:widowControl/>
              <w:spacing w:line="480" w:lineRule="exact"/>
              <w:ind w:firstLine="0" w:firstLineChars="0"/>
              <w:jc w:val="center"/>
              <w:textAlignment w:val="center"/>
              <w:rPr>
                <w:sz w:val="21"/>
                <w:szCs w:val="21"/>
                <w:lang w:bidi="ar"/>
              </w:rPr>
            </w:pPr>
            <w:r>
              <w:rPr>
                <w:rFonts w:hint="eastAsia"/>
                <w:sz w:val="21"/>
                <w:szCs w:val="21"/>
                <w:lang w:bidi="ar"/>
              </w:rPr>
              <w:t>199</w:t>
            </w:r>
          </w:p>
        </w:tc>
      </w:tr>
      <w:tr w14:paraId="2E8F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468CCE08">
            <w:pPr>
              <w:spacing w:line="480" w:lineRule="exact"/>
              <w:ind w:firstLine="0" w:firstLineChars="0"/>
              <w:jc w:val="center"/>
              <w:rPr>
                <w:kern w:val="2"/>
                <w:sz w:val="21"/>
                <w:szCs w:val="21"/>
              </w:rPr>
            </w:pPr>
          </w:p>
        </w:tc>
        <w:tc>
          <w:tcPr>
            <w:tcW w:w="930" w:type="pct"/>
            <w:vMerge w:val="continue"/>
            <w:vAlign w:val="center"/>
          </w:tcPr>
          <w:p w14:paraId="22C8F21C">
            <w:pPr>
              <w:spacing w:line="480" w:lineRule="exact"/>
              <w:ind w:firstLine="0" w:firstLineChars="0"/>
              <w:jc w:val="center"/>
              <w:rPr>
                <w:kern w:val="2"/>
                <w:sz w:val="21"/>
                <w:szCs w:val="21"/>
              </w:rPr>
            </w:pPr>
          </w:p>
        </w:tc>
        <w:tc>
          <w:tcPr>
            <w:tcW w:w="930" w:type="pct"/>
            <w:vAlign w:val="center"/>
          </w:tcPr>
          <w:p w14:paraId="11FCD08D">
            <w:pPr>
              <w:spacing w:line="480" w:lineRule="exact"/>
              <w:ind w:firstLine="0" w:firstLineChars="0"/>
              <w:jc w:val="center"/>
              <w:rPr>
                <w:kern w:val="2"/>
                <w:sz w:val="21"/>
                <w:szCs w:val="21"/>
              </w:rPr>
            </w:pPr>
            <w:r>
              <w:rPr>
                <w:rFonts w:hint="eastAsia"/>
                <w:sz w:val="21"/>
                <w:szCs w:val="21"/>
              </w:rPr>
              <w:t>第2次</w:t>
            </w:r>
          </w:p>
        </w:tc>
        <w:tc>
          <w:tcPr>
            <w:tcW w:w="745" w:type="pct"/>
            <w:vAlign w:val="center"/>
          </w:tcPr>
          <w:p w14:paraId="2AD9636D">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70C81AE5">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continue"/>
            <w:vAlign w:val="center"/>
          </w:tcPr>
          <w:p w14:paraId="47BCBC46">
            <w:pPr>
              <w:widowControl/>
              <w:spacing w:line="480" w:lineRule="exact"/>
              <w:ind w:firstLine="0" w:firstLineChars="0"/>
              <w:jc w:val="center"/>
              <w:textAlignment w:val="center"/>
              <w:rPr>
                <w:sz w:val="21"/>
                <w:szCs w:val="21"/>
                <w:lang w:bidi="ar"/>
              </w:rPr>
            </w:pPr>
          </w:p>
        </w:tc>
      </w:tr>
      <w:tr w14:paraId="6F48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5A853C8F">
            <w:pPr>
              <w:spacing w:line="480" w:lineRule="exact"/>
              <w:ind w:firstLine="0" w:firstLineChars="0"/>
              <w:jc w:val="center"/>
              <w:rPr>
                <w:kern w:val="2"/>
                <w:sz w:val="21"/>
                <w:szCs w:val="21"/>
              </w:rPr>
            </w:pPr>
          </w:p>
        </w:tc>
        <w:tc>
          <w:tcPr>
            <w:tcW w:w="930" w:type="pct"/>
            <w:vMerge w:val="continue"/>
            <w:vAlign w:val="center"/>
          </w:tcPr>
          <w:p w14:paraId="4471314F">
            <w:pPr>
              <w:spacing w:line="480" w:lineRule="exact"/>
              <w:ind w:firstLine="0" w:firstLineChars="0"/>
              <w:jc w:val="center"/>
              <w:rPr>
                <w:kern w:val="2"/>
                <w:sz w:val="21"/>
                <w:szCs w:val="21"/>
              </w:rPr>
            </w:pPr>
          </w:p>
        </w:tc>
        <w:tc>
          <w:tcPr>
            <w:tcW w:w="930" w:type="pct"/>
            <w:vAlign w:val="center"/>
          </w:tcPr>
          <w:p w14:paraId="457D8B1A">
            <w:pPr>
              <w:spacing w:line="480" w:lineRule="exact"/>
              <w:ind w:firstLine="0" w:firstLineChars="0"/>
              <w:jc w:val="center"/>
              <w:rPr>
                <w:kern w:val="2"/>
                <w:sz w:val="21"/>
                <w:szCs w:val="21"/>
              </w:rPr>
            </w:pPr>
            <w:r>
              <w:rPr>
                <w:rFonts w:hint="eastAsia"/>
                <w:sz w:val="21"/>
                <w:szCs w:val="21"/>
              </w:rPr>
              <w:t>第3次</w:t>
            </w:r>
          </w:p>
        </w:tc>
        <w:tc>
          <w:tcPr>
            <w:tcW w:w="745" w:type="pct"/>
            <w:vAlign w:val="center"/>
          </w:tcPr>
          <w:p w14:paraId="7C4E3165">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5EC9DE6F">
            <w:pPr>
              <w:widowControl/>
              <w:spacing w:line="480" w:lineRule="exact"/>
              <w:ind w:firstLine="0" w:firstLineChars="0"/>
              <w:jc w:val="center"/>
              <w:textAlignment w:val="center"/>
              <w:rPr>
                <w:kern w:val="2"/>
                <w:sz w:val="21"/>
                <w:szCs w:val="21"/>
              </w:rPr>
            </w:pPr>
            <w:r>
              <w:rPr>
                <w:rFonts w:hint="eastAsia"/>
                <w:kern w:val="2"/>
                <w:sz w:val="21"/>
                <w:szCs w:val="21"/>
              </w:rPr>
              <w:t>0.14</w:t>
            </w:r>
          </w:p>
        </w:tc>
        <w:tc>
          <w:tcPr>
            <w:tcW w:w="950" w:type="pct"/>
            <w:vMerge w:val="continue"/>
            <w:vAlign w:val="center"/>
          </w:tcPr>
          <w:p w14:paraId="01673426">
            <w:pPr>
              <w:widowControl/>
              <w:spacing w:line="480" w:lineRule="exact"/>
              <w:ind w:firstLine="0" w:firstLineChars="0"/>
              <w:jc w:val="center"/>
              <w:textAlignment w:val="center"/>
              <w:rPr>
                <w:sz w:val="21"/>
                <w:szCs w:val="21"/>
                <w:lang w:bidi="ar"/>
              </w:rPr>
            </w:pPr>
          </w:p>
        </w:tc>
      </w:tr>
      <w:tr w14:paraId="7856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4560A79C">
            <w:pPr>
              <w:spacing w:line="480" w:lineRule="exact"/>
              <w:ind w:firstLine="0" w:firstLineChars="0"/>
              <w:jc w:val="center"/>
              <w:rPr>
                <w:kern w:val="2"/>
                <w:sz w:val="21"/>
                <w:szCs w:val="21"/>
              </w:rPr>
            </w:pPr>
          </w:p>
        </w:tc>
        <w:tc>
          <w:tcPr>
            <w:tcW w:w="930" w:type="pct"/>
            <w:vMerge w:val="continue"/>
            <w:vAlign w:val="center"/>
          </w:tcPr>
          <w:p w14:paraId="280AF2B3">
            <w:pPr>
              <w:spacing w:line="480" w:lineRule="exact"/>
              <w:ind w:firstLine="0" w:firstLineChars="0"/>
              <w:jc w:val="center"/>
              <w:rPr>
                <w:kern w:val="2"/>
                <w:sz w:val="21"/>
                <w:szCs w:val="21"/>
              </w:rPr>
            </w:pPr>
          </w:p>
        </w:tc>
        <w:tc>
          <w:tcPr>
            <w:tcW w:w="930" w:type="pct"/>
            <w:vAlign w:val="center"/>
          </w:tcPr>
          <w:p w14:paraId="470D8D80">
            <w:pPr>
              <w:spacing w:line="480" w:lineRule="exact"/>
              <w:ind w:firstLine="0" w:firstLineChars="0"/>
              <w:jc w:val="center"/>
              <w:rPr>
                <w:kern w:val="2"/>
                <w:sz w:val="21"/>
                <w:szCs w:val="21"/>
              </w:rPr>
            </w:pPr>
            <w:r>
              <w:rPr>
                <w:rFonts w:hint="eastAsia"/>
                <w:sz w:val="21"/>
                <w:szCs w:val="21"/>
              </w:rPr>
              <w:t>第4次</w:t>
            </w:r>
          </w:p>
        </w:tc>
        <w:tc>
          <w:tcPr>
            <w:tcW w:w="745" w:type="pct"/>
            <w:vAlign w:val="center"/>
          </w:tcPr>
          <w:p w14:paraId="6DFA447C">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352232D9">
            <w:pPr>
              <w:widowControl/>
              <w:spacing w:line="480" w:lineRule="exact"/>
              <w:ind w:firstLine="0" w:firstLineChars="0"/>
              <w:jc w:val="center"/>
              <w:textAlignment w:val="center"/>
              <w:rPr>
                <w:kern w:val="2"/>
                <w:sz w:val="21"/>
                <w:szCs w:val="21"/>
              </w:rPr>
            </w:pPr>
            <w:r>
              <w:rPr>
                <w:rFonts w:hint="eastAsia"/>
                <w:kern w:val="2"/>
                <w:sz w:val="21"/>
                <w:szCs w:val="21"/>
              </w:rPr>
              <w:t>0.13</w:t>
            </w:r>
          </w:p>
        </w:tc>
        <w:tc>
          <w:tcPr>
            <w:tcW w:w="950" w:type="pct"/>
            <w:vMerge w:val="continue"/>
            <w:vAlign w:val="center"/>
          </w:tcPr>
          <w:p w14:paraId="7C057496">
            <w:pPr>
              <w:widowControl/>
              <w:spacing w:line="480" w:lineRule="exact"/>
              <w:ind w:firstLine="0" w:firstLineChars="0"/>
              <w:jc w:val="center"/>
              <w:textAlignment w:val="center"/>
              <w:rPr>
                <w:sz w:val="21"/>
                <w:szCs w:val="21"/>
                <w:lang w:bidi="ar"/>
              </w:rPr>
            </w:pPr>
          </w:p>
        </w:tc>
      </w:tr>
      <w:tr w14:paraId="2DF2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2EB0FD60">
            <w:pPr>
              <w:spacing w:line="480" w:lineRule="exact"/>
              <w:ind w:firstLine="0" w:firstLineChars="0"/>
              <w:jc w:val="center"/>
              <w:rPr>
                <w:kern w:val="2"/>
                <w:sz w:val="21"/>
                <w:szCs w:val="21"/>
              </w:rPr>
            </w:pPr>
          </w:p>
        </w:tc>
        <w:tc>
          <w:tcPr>
            <w:tcW w:w="930" w:type="pct"/>
            <w:vMerge w:val="restart"/>
            <w:vAlign w:val="center"/>
          </w:tcPr>
          <w:p w14:paraId="56F5106F">
            <w:pPr>
              <w:spacing w:line="480" w:lineRule="exact"/>
              <w:ind w:firstLine="0" w:firstLineChars="0"/>
              <w:jc w:val="center"/>
              <w:rPr>
                <w:kern w:val="2"/>
                <w:sz w:val="21"/>
                <w:szCs w:val="21"/>
              </w:rPr>
            </w:pPr>
            <w:r>
              <w:rPr>
                <w:rFonts w:hint="eastAsia"/>
                <w:kern w:val="2"/>
                <w:sz w:val="21"/>
                <w:szCs w:val="21"/>
              </w:rPr>
              <w:t>第三天</w:t>
            </w:r>
          </w:p>
        </w:tc>
        <w:tc>
          <w:tcPr>
            <w:tcW w:w="930" w:type="pct"/>
            <w:vAlign w:val="center"/>
          </w:tcPr>
          <w:p w14:paraId="128453E2">
            <w:pPr>
              <w:spacing w:line="480" w:lineRule="exact"/>
              <w:ind w:firstLine="0" w:firstLineChars="0"/>
              <w:jc w:val="center"/>
              <w:rPr>
                <w:kern w:val="2"/>
                <w:sz w:val="21"/>
                <w:szCs w:val="21"/>
              </w:rPr>
            </w:pPr>
            <w:r>
              <w:rPr>
                <w:rFonts w:hint="eastAsia"/>
                <w:sz w:val="21"/>
                <w:szCs w:val="21"/>
              </w:rPr>
              <w:t>第1次</w:t>
            </w:r>
          </w:p>
        </w:tc>
        <w:tc>
          <w:tcPr>
            <w:tcW w:w="745" w:type="pct"/>
            <w:vAlign w:val="center"/>
          </w:tcPr>
          <w:p w14:paraId="7992CB9B">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0F99F698">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restart"/>
            <w:vAlign w:val="center"/>
          </w:tcPr>
          <w:p w14:paraId="2095CD4F">
            <w:pPr>
              <w:widowControl/>
              <w:spacing w:line="480" w:lineRule="exact"/>
              <w:ind w:firstLine="0" w:firstLineChars="0"/>
              <w:jc w:val="center"/>
              <w:textAlignment w:val="center"/>
              <w:rPr>
                <w:sz w:val="21"/>
                <w:szCs w:val="21"/>
                <w:lang w:bidi="ar"/>
              </w:rPr>
            </w:pPr>
            <w:r>
              <w:rPr>
                <w:rFonts w:hint="eastAsia"/>
                <w:sz w:val="21"/>
                <w:szCs w:val="21"/>
                <w:lang w:bidi="ar"/>
              </w:rPr>
              <w:t>215</w:t>
            </w:r>
          </w:p>
        </w:tc>
      </w:tr>
      <w:tr w14:paraId="47D7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39763B40">
            <w:pPr>
              <w:spacing w:line="480" w:lineRule="exact"/>
              <w:ind w:firstLine="0" w:firstLineChars="0"/>
              <w:jc w:val="center"/>
              <w:rPr>
                <w:kern w:val="2"/>
                <w:sz w:val="21"/>
                <w:szCs w:val="21"/>
              </w:rPr>
            </w:pPr>
          </w:p>
        </w:tc>
        <w:tc>
          <w:tcPr>
            <w:tcW w:w="930" w:type="pct"/>
            <w:vMerge w:val="continue"/>
            <w:vAlign w:val="center"/>
          </w:tcPr>
          <w:p w14:paraId="07CBE843">
            <w:pPr>
              <w:spacing w:line="480" w:lineRule="exact"/>
              <w:ind w:firstLine="0" w:firstLineChars="0"/>
              <w:jc w:val="center"/>
              <w:rPr>
                <w:kern w:val="2"/>
                <w:sz w:val="21"/>
                <w:szCs w:val="21"/>
              </w:rPr>
            </w:pPr>
          </w:p>
        </w:tc>
        <w:tc>
          <w:tcPr>
            <w:tcW w:w="930" w:type="pct"/>
            <w:vAlign w:val="center"/>
          </w:tcPr>
          <w:p w14:paraId="3499F5EF">
            <w:pPr>
              <w:spacing w:line="480" w:lineRule="exact"/>
              <w:ind w:firstLine="0" w:firstLineChars="0"/>
              <w:jc w:val="center"/>
              <w:rPr>
                <w:kern w:val="2"/>
                <w:sz w:val="21"/>
                <w:szCs w:val="21"/>
              </w:rPr>
            </w:pPr>
            <w:r>
              <w:rPr>
                <w:rFonts w:hint="eastAsia"/>
                <w:sz w:val="21"/>
                <w:szCs w:val="21"/>
              </w:rPr>
              <w:t>第2次</w:t>
            </w:r>
          </w:p>
        </w:tc>
        <w:tc>
          <w:tcPr>
            <w:tcW w:w="745" w:type="pct"/>
            <w:vAlign w:val="center"/>
          </w:tcPr>
          <w:p w14:paraId="117C9005">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72ADBA26">
            <w:pPr>
              <w:widowControl/>
              <w:spacing w:line="480" w:lineRule="exact"/>
              <w:ind w:firstLine="0" w:firstLineChars="0"/>
              <w:jc w:val="center"/>
              <w:textAlignment w:val="center"/>
              <w:rPr>
                <w:kern w:val="2"/>
                <w:sz w:val="21"/>
                <w:szCs w:val="21"/>
              </w:rPr>
            </w:pPr>
            <w:r>
              <w:rPr>
                <w:rFonts w:hint="eastAsia"/>
                <w:kern w:val="2"/>
                <w:sz w:val="21"/>
                <w:szCs w:val="21"/>
              </w:rPr>
              <w:t>0.13</w:t>
            </w:r>
          </w:p>
        </w:tc>
        <w:tc>
          <w:tcPr>
            <w:tcW w:w="950" w:type="pct"/>
            <w:vMerge w:val="continue"/>
            <w:vAlign w:val="center"/>
          </w:tcPr>
          <w:p w14:paraId="0DCB35B3">
            <w:pPr>
              <w:widowControl/>
              <w:spacing w:line="480" w:lineRule="exact"/>
              <w:ind w:firstLine="0" w:firstLineChars="0"/>
              <w:jc w:val="center"/>
              <w:textAlignment w:val="center"/>
              <w:rPr>
                <w:sz w:val="21"/>
                <w:szCs w:val="21"/>
                <w:lang w:bidi="ar"/>
              </w:rPr>
            </w:pPr>
          </w:p>
        </w:tc>
      </w:tr>
      <w:tr w14:paraId="3FEB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3C976B54">
            <w:pPr>
              <w:spacing w:line="480" w:lineRule="exact"/>
              <w:ind w:firstLine="0" w:firstLineChars="0"/>
              <w:jc w:val="center"/>
              <w:rPr>
                <w:kern w:val="2"/>
                <w:sz w:val="21"/>
                <w:szCs w:val="21"/>
              </w:rPr>
            </w:pPr>
          </w:p>
        </w:tc>
        <w:tc>
          <w:tcPr>
            <w:tcW w:w="930" w:type="pct"/>
            <w:vMerge w:val="continue"/>
            <w:vAlign w:val="center"/>
          </w:tcPr>
          <w:p w14:paraId="17FD48EA">
            <w:pPr>
              <w:spacing w:line="480" w:lineRule="exact"/>
              <w:ind w:firstLine="0" w:firstLineChars="0"/>
              <w:jc w:val="center"/>
              <w:rPr>
                <w:kern w:val="2"/>
                <w:sz w:val="21"/>
                <w:szCs w:val="21"/>
              </w:rPr>
            </w:pPr>
          </w:p>
        </w:tc>
        <w:tc>
          <w:tcPr>
            <w:tcW w:w="930" w:type="pct"/>
            <w:vAlign w:val="center"/>
          </w:tcPr>
          <w:p w14:paraId="6AE2F2DA">
            <w:pPr>
              <w:spacing w:line="480" w:lineRule="exact"/>
              <w:ind w:firstLine="0" w:firstLineChars="0"/>
              <w:jc w:val="center"/>
              <w:rPr>
                <w:kern w:val="2"/>
                <w:sz w:val="21"/>
                <w:szCs w:val="21"/>
              </w:rPr>
            </w:pPr>
            <w:r>
              <w:rPr>
                <w:rFonts w:hint="eastAsia"/>
                <w:sz w:val="21"/>
                <w:szCs w:val="21"/>
              </w:rPr>
              <w:t>第3次</w:t>
            </w:r>
          </w:p>
        </w:tc>
        <w:tc>
          <w:tcPr>
            <w:tcW w:w="745" w:type="pct"/>
            <w:vAlign w:val="center"/>
          </w:tcPr>
          <w:p w14:paraId="1F8B77BA">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447CEF04">
            <w:pPr>
              <w:widowControl/>
              <w:spacing w:line="480" w:lineRule="exact"/>
              <w:ind w:firstLine="0" w:firstLineChars="0"/>
              <w:jc w:val="center"/>
              <w:textAlignment w:val="center"/>
              <w:rPr>
                <w:kern w:val="2"/>
                <w:sz w:val="21"/>
                <w:szCs w:val="21"/>
              </w:rPr>
            </w:pPr>
            <w:r>
              <w:rPr>
                <w:rFonts w:hint="eastAsia"/>
                <w:kern w:val="2"/>
                <w:sz w:val="21"/>
                <w:szCs w:val="21"/>
              </w:rPr>
              <w:t>0.15</w:t>
            </w:r>
          </w:p>
        </w:tc>
        <w:tc>
          <w:tcPr>
            <w:tcW w:w="950" w:type="pct"/>
            <w:vMerge w:val="continue"/>
            <w:vAlign w:val="center"/>
          </w:tcPr>
          <w:p w14:paraId="07EA3B22">
            <w:pPr>
              <w:widowControl/>
              <w:spacing w:line="480" w:lineRule="exact"/>
              <w:ind w:firstLine="0" w:firstLineChars="0"/>
              <w:jc w:val="center"/>
              <w:textAlignment w:val="center"/>
              <w:rPr>
                <w:sz w:val="21"/>
                <w:szCs w:val="21"/>
                <w:lang w:bidi="ar"/>
              </w:rPr>
            </w:pPr>
          </w:p>
        </w:tc>
      </w:tr>
      <w:tr w14:paraId="58FA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3CA47B0D">
            <w:pPr>
              <w:spacing w:line="480" w:lineRule="exact"/>
              <w:ind w:firstLine="0" w:firstLineChars="0"/>
              <w:jc w:val="center"/>
              <w:rPr>
                <w:kern w:val="2"/>
                <w:sz w:val="21"/>
                <w:szCs w:val="21"/>
              </w:rPr>
            </w:pPr>
          </w:p>
        </w:tc>
        <w:tc>
          <w:tcPr>
            <w:tcW w:w="930" w:type="pct"/>
            <w:vMerge w:val="continue"/>
            <w:vAlign w:val="center"/>
          </w:tcPr>
          <w:p w14:paraId="0D1184DB">
            <w:pPr>
              <w:spacing w:line="480" w:lineRule="exact"/>
              <w:ind w:firstLine="0" w:firstLineChars="0"/>
              <w:jc w:val="center"/>
              <w:rPr>
                <w:kern w:val="2"/>
                <w:sz w:val="21"/>
                <w:szCs w:val="21"/>
              </w:rPr>
            </w:pPr>
          </w:p>
        </w:tc>
        <w:tc>
          <w:tcPr>
            <w:tcW w:w="930" w:type="pct"/>
            <w:vAlign w:val="center"/>
          </w:tcPr>
          <w:p w14:paraId="742284F2">
            <w:pPr>
              <w:spacing w:line="480" w:lineRule="exact"/>
              <w:ind w:firstLine="0" w:firstLineChars="0"/>
              <w:jc w:val="center"/>
              <w:rPr>
                <w:kern w:val="2"/>
                <w:sz w:val="21"/>
                <w:szCs w:val="21"/>
              </w:rPr>
            </w:pPr>
            <w:r>
              <w:rPr>
                <w:rFonts w:hint="eastAsia"/>
                <w:sz w:val="21"/>
                <w:szCs w:val="21"/>
              </w:rPr>
              <w:t>第4次</w:t>
            </w:r>
          </w:p>
        </w:tc>
        <w:tc>
          <w:tcPr>
            <w:tcW w:w="745" w:type="pct"/>
            <w:vAlign w:val="center"/>
          </w:tcPr>
          <w:p w14:paraId="6B532B60">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70B3FEA1">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continue"/>
            <w:vAlign w:val="center"/>
          </w:tcPr>
          <w:p w14:paraId="443C50F6">
            <w:pPr>
              <w:widowControl/>
              <w:spacing w:line="480" w:lineRule="exact"/>
              <w:ind w:firstLine="0" w:firstLineChars="0"/>
              <w:jc w:val="center"/>
              <w:textAlignment w:val="center"/>
              <w:rPr>
                <w:sz w:val="21"/>
                <w:szCs w:val="21"/>
                <w:lang w:bidi="ar"/>
              </w:rPr>
            </w:pPr>
          </w:p>
        </w:tc>
      </w:tr>
      <w:tr w14:paraId="29A1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285FC66D">
            <w:pPr>
              <w:spacing w:line="480" w:lineRule="exact"/>
              <w:ind w:firstLine="0" w:firstLineChars="0"/>
              <w:jc w:val="center"/>
              <w:rPr>
                <w:kern w:val="2"/>
                <w:sz w:val="21"/>
                <w:szCs w:val="21"/>
              </w:rPr>
            </w:pPr>
          </w:p>
        </w:tc>
        <w:tc>
          <w:tcPr>
            <w:tcW w:w="930" w:type="pct"/>
            <w:vMerge w:val="restart"/>
            <w:vAlign w:val="center"/>
          </w:tcPr>
          <w:p w14:paraId="7D4C1424">
            <w:pPr>
              <w:spacing w:line="480" w:lineRule="exact"/>
              <w:ind w:firstLine="0" w:firstLineChars="0"/>
              <w:jc w:val="center"/>
              <w:rPr>
                <w:kern w:val="2"/>
                <w:sz w:val="21"/>
                <w:szCs w:val="21"/>
              </w:rPr>
            </w:pPr>
            <w:r>
              <w:rPr>
                <w:rFonts w:hint="eastAsia"/>
                <w:kern w:val="2"/>
                <w:sz w:val="21"/>
                <w:szCs w:val="21"/>
              </w:rPr>
              <w:t>第四天</w:t>
            </w:r>
          </w:p>
        </w:tc>
        <w:tc>
          <w:tcPr>
            <w:tcW w:w="930" w:type="pct"/>
            <w:vAlign w:val="center"/>
          </w:tcPr>
          <w:p w14:paraId="6AADB365">
            <w:pPr>
              <w:spacing w:line="480" w:lineRule="exact"/>
              <w:ind w:firstLine="0" w:firstLineChars="0"/>
              <w:jc w:val="center"/>
              <w:rPr>
                <w:kern w:val="2"/>
                <w:sz w:val="21"/>
                <w:szCs w:val="21"/>
              </w:rPr>
            </w:pPr>
            <w:r>
              <w:rPr>
                <w:rFonts w:hint="eastAsia"/>
                <w:sz w:val="21"/>
                <w:szCs w:val="21"/>
              </w:rPr>
              <w:t>第1次</w:t>
            </w:r>
          </w:p>
        </w:tc>
        <w:tc>
          <w:tcPr>
            <w:tcW w:w="745" w:type="pct"/>
            <w:vAlign w:val="center"/>
          </w:tcPr>
          <w:p w14:paraId="24C80F85">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2A083563">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restart"/>
            <w:vAlign w:val="center"/>
          </w:tcPr>
          <w:p w14:paraId="17F4E92A">
            <w:pPr>
              <w:widowControl/>
              <w:spacing w:line="480" w:lineRule="exact"/>
              <w:ind w:firstLine="0" w:firstLineChars="0"/>
              <w:jc w:val="center"/>
              <w:textAlignment w:val="center"/>
              <w:rPr>
                <w:sz w:val="21"/>
                <w:szCs w:val="21"/>
                <w:lang w:bidi="ar"/>
              </w:rPr>
            </w:pPr>
            <w:r>
              <w:rPr>
                <w:rFonts w:hint="eastAsia"/>
                <w:sz w:val="21"/>
                <w:szCs w:val="21"/>
                <w:lang w:bidi="ar"/>
              </w:rPr>
              <w:t>206</w:t>
            </w:r>
          </w:p>
        </w:tc>
      </w:tr>
      <w:tr w14:paraId="222A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3A9183C5">
            <w:pPr>
              <w:spacing w:line="480" w:lineRule="exact"/>
              <w:ind w:firstLine="0" w:firstLineChars="0"/>
              <w:jc w:val="center"/>
              <w:rPr>
                <w:kern w:val="2"/>
                <w:sz w:val="21"/>
                <w:szCs w:val="21"/>
              </w:rPr>
            </w:pPr>
          </w:p>
        </w:tc>
        <w:tc>
          <w:tcPr>
            <w:tcW w:w="930" w:type="pct"/>
            <w:vMerge w:val="continue"/>
            <w:vAlign w:val="center"/>
          </w:tcPr>
          <w:p w14:paraId="7B78EAF0">
            <w:pPr>
              <w:spacing w:line="480" w:lineRule="exact"/>
              <w:ind w:firstLine="0" w:firstLineChars="0"/>
              <w:jc w:val="center"/>
              <w:rPr>
                <w:kern w:val="2"/>
                <w:sz w:val="21"/>
                <w:szCs w:val="21"/>
              </w:rPr>
            </w:pPr>
          </w:p>
        </w:tc>
        <w:tc>
          <w:tcPr>
            <w:tcW w:w="930" w:type="pct"/>
            <w:vAlign w:val="center"/>
          </w:tcPr>
          <w:p w14:paraId="68D9F93D">
            <w:pPr>
              <w:spacing w:line="480" w:lineRule="exact"/>
              <w:ind w:firstLine="0" w:firstLineChars="0"/>
              <w:jc w:val="center"/>
              <w:rPr>
                <w:kern w:val="2"/>
                <w:sz w:val="21"/>
                <w:szCs w:val="21"/>
              </w:rPr>
            </w:pPr>
            <w:r>
              <w:rPr>
                <w:rFonts w:hint="eastAsia"/>
                <w:sz w:val="21"/>
                <w:szCs w:val="21"/>
              </w:rPr>
              <w:t>第2次</w:t>
            </w:r>
          </w:p>
        </w:tc>
        <w:tc>
          <w:tcPr>
            <w:tcW w:w="745" w:type="pct"/>
            <w:vAlign w:val="center"/>
          </w:tcPr>
          <w:p w14:paraId="0D3B8356">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3F2A3C7B">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continue"/>
            <w:vAlign w:val="center"/>
          </w:tcPr>
          <w:p w14:paraId="525F040A">
            <w:pPr>
              <w:widowControl/>
              <w:spacing w:line="480" w:lineRule="exact"/>
              <w:ind w:firstLine="0" w:firstLineChars="0"/>
              <w:jc w:val="center"/>
              <w:textAlignment w:val="center"/>
              <w:rPr>
                <w:sz w:val="21"/>
                <w:szCs w:val="21"/>
                <w:lang w:bidi="ar"/>
              </w:rPr>
            </w:pPr>
          </w:p>
        </w:tc>
      </w:tr>
      <w:tr w14:paraId="61E8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5E199823">
            <w:pPr>
              <w:spacing w:line="480" w:lineRule="exact"/>
              <w:ind w:firstLine="0" w:firstLineChars="0"/>
              <w:jc w:val="center"/>
              <w:rPr>
                <w:kern w:val="2"/>
                <w:sz w:val="21"/>
                <w:szCs w:val="21"/>
              </w:rPr>
            </w:pPr>
          </w:p>
        </w:tc>
        <w:tc>
          <w:tcPr>
            <w:tcW w:w="930" w:type="pct"/>
            <w:vMerge w:val="continue"/>
            <w:vAlign w:val="center"/>
          </w:tcPr>
          <w:p w14:paraId="16EE659D">
            <w:pPr>
              <w:spacing w:line="480" w:lineRule="exact"/>
              <w:ind w:firstLine="0" w:firstLineChars="0"/>
              <w:jc w:val="center"/>
              <w:rPr>
                <w:kern w:val="2"/>
                <w:sz w:val="21"/>
                <w:szCs w:val="21"/>
              </w:rPr>
            </w:pPr>
          </w:p>
        </w:tc>
        <w:tc>
          <w:tcPr>
            <w:tcW w:w="930" w:type="pct"/>
            <w:vAlign w:val="center"/>
          </w:tcPr>
          <w:p w14:paraId="52BCE4EB">
            <w:pPr>
              <w:spacing w:line="480" w:lineRule="exact"/>
              <w:ind w:firstLine="0" w:firstLineChars="0"/>
              <w:jc w:val="center"/>
              <w:rPr>
                <w:kern w:val="2"/>
                <w:sz w:val="21"/>
                <w:szCs w:val="21"/>
              </w:rPr>
            </w:pPr>
            <w:r>
              <w:rPr>
                <w:rFonts w:hint="eastAsia"/>
                <w:sz w:val="21"/>
                <w:szCs w:val="21"/>
              </w:rPr>
              <w:t>第3次</w:t>
            </w:r>
          </w:p>
        </w:tc>
        <w:tc>
          <w:tcPr>
            <w:tcW w:w="745" w:type="pct"/>
            <w:vAlign w:val="center"/>
          </w:tcPr>
          <w:p w14:paraId="33A6DDA5">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2391C75A">
            <w:pPr>
              <w:widowControl/>
              <w:spacing w:line="480" w:lineRule="exact"/>
              <w:ind w:firstLine="0" w:firstLineChars="0"/>
              <w:jc w:val="center"/>
              <w:textAlignment w:val="center"/>
              <w:rPr>
                <w:kern w:val="2"/>
                <w:sz w:val="21"/>
                <w:szCs w:val="21"/>
              </w:rPr>
            </w:pPr>
            <w:r>
              <w:rPr>
                <w:rFonts w:hint="eastAsia"/>
                <w:kern w:val="2"/>
                <w:sz w:val="21"/>
                <w:szCs w:val="21"/>
              </w:rPr>
              <w:t>0.16</w:t>
            </w:r>
          </w:p>
        </w:tc>
        <w:tc>
          <w:tcPr>
            <w:tcW w:w="950" w:type="pct"/>
            <w:vMerge w:val="continue"/>
            <w:vAlign w:val="center"/>
          </w:tcPr>
          <w:p w14:paraId="2A999B51">
            <w:pPr>
              <w:widowControl/>
              <w:spacing w:line="480" w:lineRule="exact"/>
              <w:ind w:firstLine="0" w:firstLineChars="0"/>
              <w:jc w:val="center"/>
              <w:textAlignment w:val="center"/>
              <w:rPr>
                <w:sz w:val="21"/>
                <w:szCs w:val="21"/>
                <w:lang w:bidi="ar"/>
              </w:rPr>
            </w:pPr>
          </w:p>
        </w:tc>
      </w:tr>
      <w:tr w14:paraId="3277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26193184">
            <w:pPr>
              <w:spacing w:line="480" w:lineRule="exact"/>
              <w:ind w:firstLine="0" w:firstLineChars="0"/>
              <w:jc w:val="center"/>
              <w:rPr>
                <w:kern w:val="2"/>
                <w:sz w:val="21"/>
                <w:szCs w:val="21"/>
              </w:rPr>
            </w:pPr>
          </w:p>
        </w:tc>
        <w:tc>
          <w:tcPr>
            <w:tcW w:w="930" w:type="pct"/>
            <w:vMerge w:val="continue"/>
            <w:vAlign w:val="center"/>
          </w:tcPr>
          <w:p w14:paraId="2F8D6A73">
            <w:pPr>
              <w:spacing w:line="480" w:lineRule="exact"/>
              <w:ind w:firstLine="0" w:firstLineChars="0"/>
              <w:jc w:val="center"/>
              <w:rPr>
                <w:kern w:val="2"/>
                <w:sz w:val="21"/>
                <w:szCs w:val="21"/>
              </w:rPr>
            </w:pPr>
          </w:p>
        </w:tc>
        <w:tc>
          <w:tcPr>
            <w:tcW w:w="930" w:type="pct"/>
            <w:vAlign w:val="center"/>
          </w:tcPr>
          <w:p w14:paraId="5F397AEB">
            <w:pPr>
              <w:spacing w:line="480" w:lineRule="exact"/>
              <w:ind w:firstLine="0" w:firstLineChars="0"/>
              <w:jc w:val="center"/>
              <w:rPr>
                <w:kern w:val="2"/>
                <w:sz w:val="21"/>
                <w:szCs w:val="21"/>
              </w:rPr>
            </w:pPr>
            <w:r>
              <w:rPr>
                <w:rFonts w:hint="eastAsia"/>
                <w:sz w:val="21"/>
                <w:szCs w:val="21"/>
              </w:rPr>
              <w:t>第4次</w:t>
            </w:r>
          </w:p>
        </w:tc>
        <w:tc>
          <w:tcPr>
            <w:tcW w:w="745" w:type="pct"/>
            <w:vAlign w:val="center"/>
          </w:tcPr>
          <w:p w14:paraId="3B2D6B9A">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5885D1CE">
            <w:pPr>
              <w:widowControl/>
              <w:spacing w:line="480" w:lineRule="exact"/>
              <w:ind w:firstLine="0" w:firstLineChars="0"/>
              <w:jc w:val="center"/>
              <w:textAlignment w:val="center"/>
              <w:rPr>
                <w:kern w:val="2"/>
                <w:sz w:val="21"/>
                <w:szCs w:val="21"/>
              </w:rPr>
            </w:pPr>
            <w:r>
              <w:rPr>
                <w:rFonts w:hint="eastAsia"/>
                <w:kern w:val="2"/>
                <w:sz w:val="21"/>
                <w:szCs w:val="21"/>
              </w:rPr>
              <w:t>0.14</w:t>
            </w:r>
          </w:p>
        </w:tc>
        <w:tc>
          <w:tcPr>
            <w:tcW w:w="950" w:type="pct"/>
            <w:vMerge w:val="continue"/>
            <w:vAlign w:val="center"/>
          </w:tcPr>
          <w:p w14:paraId="20CEA407">
            <w:pPr>
              <w:widowControl/>
              <w:spacing w:line="480" w:lineRule="exact"/>
              <w:ind w:firstLine="0" w:firstLineChars="0"/>
              <w:jc w:val="center"/>
              <w:textAlignment w:val="center"/>
              <w:rPr>
                <w:sz w:val="21"/>
                <w:szCs w:val="21"/>
                <w:lang w:bidi="ar"/>
              </w:rPr>
            </w:pPr>
          </w:p>
        </w:tc>
      </w:tr>
      <w:tr w14:paraId="5FF4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30" w:type="pct"/>
            <w:vMerge w:val="continue"/>
            <w:vAlign w:val="center"/>
          </w:tcPr>
          <w:p w14:paraId="2B6B411D">
            <w:pPr>
              <w:spacing w:line="480" w:lineRule="exact"/>
              <w:ind w:firstLine="0" w:firstLineChars="0"/>
              <w:jc w:val="center"/>
              <w:rPr>
                <w:kern w:val="2"/>
                <w:sz w:val="21"/>
                <w:szCs w:val="21"/>
              </w:rPr>
            </w:pPr>
          </w:p>
        </w:tc>
        <w:tc>
          <w:tcPr>
            <w:tcW w:w="930" w:type="pct"/>
            <w:vMerge w:val="restart"/>
            <w:vAlign w:val="center"/>
          </w:tcPr>
          <w:p w14:paraId="4CADBB85">
            <w:pPr>
              <w:spacing w:line="480" w:lineRule="exact"/>
              <w:ind w:firstLine="0" w:firstLineChars="0"/>
              <w:jc w:val="center"/>
              <w:rPr>
                <w:kern w:val="2"/>
                <w:sz w:val="21"/>
                <w:szCs w:val="21"/>
              </w:rPr>
            </w:pPr>
            <w:r>
              <w:rPr>
                <w:rFonts w:hint="eastAsia"/>
                <w:kern w:val="2"/>
                <w:sz w:val="21"/>
                <w:szCs w:val="21"/>
              </w:rPr>
              <w:t>第五天</w:t>
            </w:r>
          </w:p>
        </w:tc>
        <w:tc>
          <w:tcPr>
            <w:tcW w:w="930" w:type="pct"/>
            <w:vAlign w:val="center"/>
          </w:tcPr>
          <w:p w14:paraId="3FFFA9D2">
            <w:pPr>
              <w:spacing w:line="480" w:lineRule="exact"/>
              <w:ind w:firstLine="0" w:firstLineChars="0"/>
              <w:jc w:val="center"/>
              <w:rPr>
                <w:kern w:val="2"/>
                <w:sz w:val="21"/>
                <w:szCs w:val="21"/>
              </w:rPr>
            </w:pPr>
            <w:r>
              <w:rPr>
                <w:rFonts w:hint="eastAsia"/>
                <w:sz w:val="21"/>
                <w:szCs w:val="21"/>
              </w:rPr>
              <w:t>第1次</w:t>
            </w:r>
          </w:p>
        </w:tc>
        <w:tc>
          <w:tcPr>
            <w:tcW w:w="745" w:type="pct"/>
            <w:vAlign w:val="center"/>
          </w:tcPr>
          <w:p w14:paraId="4E22A239">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21B642BF">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restart"/>
            <w:vAlign w:val="center"/>
          </w:tcPr>
          <w:p w14:paraId="682B4B49">
            <w:pPr>
              <w:widowControl/>
              <w:spacing w:line="480" w:lineRule="exact"/>
              <w:ind w:firstLine="0" w:firstLineChars="0"/>
              <w:jc w:val="center"/>
              <w:textAlignment w:val="center"/>
              <w:rPr>
                <w:sz w:val="21"/>
                <w:szCs w:val="21"/>
                <w:lang w:bidi="ar"/>
              </w:rPr>
            </w:pPr>
            <w:r>
              <w:rPr>
                <w:rFonts w:hint="eastAsia"/>
                <w:sz w:val="21"/>
                <w:szCs w:val="21"/>
                <w:lang w:bidi="ar"/>
              </w:rPr>
              <w:t>195</w:t>
            </w:r>
          </w:p>
        </w:tc>
      </w:tr>
      <w:tr w14:paraId="7656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35AF5FB1">
            <w:pPr>
              <w:spacing w:line="480" w:lineRule="exact"/>
              <w:ind w:firstLine="0" w:firstLineChars="0"/>
              <w:jc w:val="center"/>
              <w:rPr>
                <w:kern w:val="2"/>
                <w:sz w:val="21"/>
                <w:szCs w:val="21"/>
              </w:rPr>
            </w:pPr>
          </w:p>
        </w:tc>
        <w:tc>
          <w:tcPr>
            <w:tcW w:w="930" w:type="pct"/>
            <w:vMerge w:val="continue"/>
            <w:vAlign w:val="center"/>
          </w:tcPr>
          <w:p w14:paraId="23F6CFA9">
            <w:pPr>
              <w:spacing w:line="480" w:lineRule="exact"/>
              <w:ind w:firstLine="0" w:firstLineChars="0"/>
              <w:jc w:val="center"/>
              <w:rPr>
                <w:kern w:val="2"/>
                <w:sz w:val="21"/>
                <w:szCs w:val="21"/>
              </w:rPr>
            </w:pPr>
          </w:p>
        </w:tc>
        <w:tc>
          <w:tcPr>
            <w:tcW w:w="930" w:type="pct"/>
            <w:vAlign w:val="center"/>
          </w:tcPr>
          <w:p w14:paraId="4E894F60">
            <w:pPr>
              <w:spacing w:line="480" w:lineRule="exact"/>
              <w:ind w:firstLine="0" w:firstLineChars="0"/>
              <w:jc w:val="center"/>
              <w:rPr>
                <w:kern w:val="2"/>
                <w:sz w:val="21"/>
                <w:szCs w:val="21"/>
              </w:rPr>
            </w:pPr>
            <w:r>
              <w:rPr>
                <w:rFonts w:hint="eastAsia"/>
                <w:sz w:val="21"/>
                <w:szCs w:val="21"/>
              </w:rPr>
              <w:t>第2次</w:t>
            </w:r>
          </w:p>
        </w:tc>
        <w:tc>
          <w:tcPr>
            <w:tcW w:w="745" w:type="pct"/>
            <w:vAlign w:val="center"/>
          </w:tcPr>
          <w:p w14:paraId="04B6EC92">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789E5695">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continue"/>
            <w:vAlign w:val="center"/>
          </w:tcPr>
          <w:p w14:paraId="6D6C7F26">
            <w:pPr>
              <w:widowControl/>
              <w:spacing w:line="480" w:lineRule="exact"/>
              <w:ind w:firstLine="0" w:firstLineChars="0"/>
              <w:jc w:val="center"/>
              <w:textAlignment w:val="center"/>
              <w:rPr>
                <w:sz w:val="21"/>
                <w:szCs w:val="21"/>
                <w:lang w:bidi="ar"/>
              </w:rPr>
            </w:pPr>
          </w:p>
        </w:tc>
      </w:tr>
      <w:tr w14:paraId="3D9D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78202E8B">
            <w:pPr>
              <w:spacing w:line="480" w:lineRule="exact"/>
              <w:ind w:firstLine="0" w:firstLineChars="0"/>
              <w:jc w:val="center"/>
              <w:rPr>
                <w:kern w:val="2"/>
                <w:sz w:val="21"/>
                <w:szCs w:val="21"/>
              </w:rPr>
            </w:pPr>
          </w:p>
        </w:tc>
        <w:tc>
          <w:tcPr>
            <w:tcW w:w="930" w:type="pct"/>
            <w:vMerge w:val="continue"/>
            <w:vAlign w:val="center"/>
          </w:tcPr>
          <w:p w14:paraId="05A69531">
            <w:pPr>
              <w:spacing w:line="480" w:lineRule="exact"/>
              <w:ind w:firstLine="0" w:firstLineChars="0"/>
              <w:jc w:val="center"/>
              <w:rPr>
                <w:kern w:val="2"/>
                <w:sz w:val="21"/>
                <w:szCs w:val="21"/>
              </w:rPr>
            </w:pPr>
          </w:p>
        </w:tc>
        <w:tc>
          <w:tcPr>
            <w:tcW w:w="930" w:type="pct"/>
            <w:vAlign w:val="center"/>
          </w:tcPr>
          <w:p w14:paraId="62B634AB">
            <w:pPr>
              <w:spacing w:line="480" w:lineRule="exact"/>
              <w:ind w:firstLine="0" w:firstLineChars="0"/>
              <w:jc w:val="center"/>
              <w:rPr>
                <w:kern w:val="2"/>
                <w:sz w:val="21"/>
                <w:szCs w:val="21"/>
              </w:rPr>
            </w:pPr>
            <w:r>
              <w:rPr>
                <w:rFonts w:hint="eastAsia"/>
                <w:sz w:val="21"/>
                <w:szCs w:val="21"/>
              </w:rPr>
              <w:t>第3次</w:t>
            </w:r>
          </w:p>
        </w:tc>
        <w:tc>
          <w:tcPr>
            <w:tcW w:w="745" w:type="pct"/>
            <w:vAlign w:val="center"/>
          </w:tcPr>
          <w:p w14:paraId="030F62FC">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00550F61">
            <w:pPr>
              <w:widowControl/>
              <w:spacing w:line="480" w:lineRule="exact"/>
              <w:ind w:firstLine="0" w:firstLineChars="0"/>
              <w:jc w:val="center"/>
              <w:textAlignment w:val="center"/>
              <w:rPr>
                <w:kern w:val="2"/>
                <w:sz w:val="21"/>
                <w:szCs w:val="21"/>
              </w:rPr>
            </w:pPr>
            <w:r>
              <w:rPr>
                <w:rFonts w:hint="eastAsia"/>
                <w:kern w:val="2"/>
                <w:sz w:val="21"/>
                <w:szCs w:val="21"/>
              </w:rPr>
              <w:t>0.15</w:t>
            </w:r>
          </w:p>
        </w:tc>
        <w:tc>
          <w:tcPr>
            <w:tcW w:w="950" w:type="pct"/>
            <w:vMerge w:val="continue"/>
            <w:vAlign w:val="center"/>
          </w:tcPr>
          <w:p w14:paraId="5A3BA7B3">
            <w:pPr>
              <w:widowControl/>
              <w:spacing w:line="480" w:lineRule="exact"/>
              <w:ind w:firstLine="0" w:firstLineChars="0"/>
              <w:jc w:val="center"/>
              <w:textAlignment w:val="center"/>
              <w:rPr>
                <w:sz w:val="21"/>
                <w:szCs w:val="21"/>
                <w:lang w:bidi="ar"/>
              </w:rPr>
            </w:pPr>
          </w:p>
        </w:tc>
      </w:tr>
      <w:tr w14:paraId="1538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57F89DEE">
            <w:pPr>
              <w:spacing w:line="480" w:lineRule="exact"/>
              <w:ind w:firstLine="0" w:firstLineChars="0"/>
              <w:jc w:val="center"/>
              <w:rPr>
                <w:kern w:val="2"/>
                <w:sz w:val="21"/>
                <w:szCs w:val="21"/>
              </w:rPr>
            </w:pPr>
          </w:p>
        </w:tc>
        <w:tc>
          <w:tcPr>
            <w:tcW w:w="930" w:type="pct"/>
            <w:vMerge w:val="continue"/>
            <w:vAlign w:val="center"/>
          </w:tcPr>
          <w:p w14:paraId="77CF9730">
            <w:pPr>
              <w:spacing w:line="480" w:lineRule="exact"/>
              <w:ind w:firstLine="0" w:firstLineChars="0"/>
              <w:jc w:val="center"/>
              <w:rPr>
                <w:kern w:val="2"/>
                <w:sz w:val="21"/>
                <w:szCs w:val="21"/>
              </w:rPr>
            </w:pPr>
          </w:p>
        </w:tc>
        <w:tc>
          <w:tcPr>
            <w:tcW w:w="930" w:type="pct"/>
            <w:vAlign w:val="center"/>
          </w:tcPr>
          <w:p w14:paraId="71E80392">
            <w:pPr>
              <w:spacing w:line="480" w:lineRule="exact"/>
              <w:ind w:firstLine="0" w:firstLineChars="0"/>
              <w:jc w:val="center"/>
              <w:rPr>
                <w:kern w:val="2"/>
                <w:sz w:val="21"/>
                <w:szCs w:val="21"/>
              </w:rPr>
            </w:pPr>
            <w:r>
              <w:rPr>
                <w:rFonts w:hint="eastAsia"/>
                <w:sz w:val="21"/>
                <w:szCs w:val="21"/>
              </w:rPr>
              <w:t>第4次</w:t>
            </w:r>
          </w:p>
        </w:tc>
        <w:tc>
          <w:tcPr>
            <w:tcW w:w="745" w:type="pct"/>
            <w:vAlign w:val="center"/>
          </w:tcPr>
          <w:p w14:paraId="6CDDF10C">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197540B0">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continue"/>
            <w:vAlign w:val="center"/>
          </w:tcPr>
          <w:p w14:paraId="423F65FF">
            <w:pPr>
              <w:widowControl/>
              <w:spacing w:line="480" w:lineRule="exact"/>
              <w:ind w:firstLine="0" w:firstLineChars="0"/>
              <w:jc w:val="center"/>
              <w:textAlignment w:val="center"/>
              <w:rPr>
                <w:sz w:val="21"/>
                <w:szCs w:val="21"/>
                <w:lang w:bidi="ar"/>
              </w:rPr>
            </w:pPr>
          </w:p>
        </w:tc>
      </w:tr>
      <w:tr w14:paraId="761B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3C6EE1FC">
            <w:pPr>
              <w:spacing w:line="480" w:lineRule="exact"/>
              <w:ind w:firstLine="0" w:firstLineChars="0"/>
              <w:jc w:val="center"/>
              <w:rPr>
                <w:kern w:val="2"/>
                <w:sz w:val="21"/>
                <w:szCs w:val="21"/>
              </w:rPr>
            </w:pPr>
          </w:p>
        </w:tc>
        <w:tc>
          <w:tcPr>
            <w:tcW w:w="930" w:type="pct"/>
            <w:vMerge w:val="restart"/>
            <w:vAlign w:val="center"/>
          </w:tcPr>
          <w:p w14:paraId="04E05EF6">
            <w:pPr>
              <w:spacing w:line="480" w:lineRule="exact"/>
              <w:ind w:firstLine="0" w:firstLineChars="0"/>
              <w:jc w:val="center"/>
              <w:rPr>
                <w:kern w:val="2"/>
                <w:sz w:val="21"/>
                <w:szCs w:val="21"/>
              </w:rPr>
            </w:pPr>
            <w:r>
              <w:rPr>
                <w:rFonts w:hint="eastAsia"/>
                <w:kern w:val="2"/>
                <w:sz w:val="21"/>
                <w:szCs w:val="21"/>
              </w:rPr>
              <w:t>第六天</w:t>
            </w:r>
          </w:p>
        </w:tc>
        <w:tc>
          <w:tcPr>
            <w:tcW w:w="930" w:type="pct"/>
            <w:vAlign w:val="center"/>
          </w:tcPr>
          <w:p w14:paraId="2EA7B1C0">
            <w:pPr>
              <w:spacing w:line="480" w:lineRule="exact"/>
              <w:ind w:firstLine="0" w:firstLineChars="0"/>
              <w:jc w:val="center"/>
              <w:rPr>
                <w:kern w:val="2"/>
                <w:sz w:val="21"/>
                <w:szCs w:val="21"/>
              </w:rPr>
            </w:pPr>
            <w:r>
              <w:rPr>
                <w:rFonts w:hint="eastAsia"/>
                <w:sz w:val="21"/>
                <w:szCs w:val="21"/>
              </w:rPr>
              <w:t>第1次</w:t>
            </w:r>
          </w:p>
        </w:tc>
        <w:tc>
          <w:tcPr>
            <w:tcW w:w="745" w:type="pct"/>
            <w:vAlign w:val="center"/>
          </w:tcPr>
          <w:p w14:paraId="725AD6EF">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21F473E8">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restart"/>
            <w:vAlign w:val="center"/>
          </w:tcPr>
          <w:p w14:paraId="3A0F401B">
            <w:pPr>
              <w:widowControl/>
              <w:spacing w:line="480" w:lineRule="exact"/>
              <w:ind w:firstLine="0" w:firstLineChars="0"/>
              <w:jc w:val="center"/>
              <w:textAlignment w:val="center"/>
              <w:rPr>
                <w:sz w:val="21"/>
                <w:szCs w:val="21"/>
                <w:lang w:bidi="ar"/>
              </w:rPr>
            </w:pPr>
            <w:r>
              <w:rPr>
                <w:rFonts w:hint="eastAsia"/>
                <w:sz w:val="21"/>
                <w:szCs w:val="21"/>
                <w:lang w:bidi="ar"/>
              </w:rPr>
              <w:t>201</w:t>
            </w:r>
          </w:p>
        </w:tc>
      </w:tr>
      <w:tr w14:paraId="238D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0AD37F3B">
            <w:pPr>
              <w:spacing w:line="480" w:lineRule="exact"/>
              <w:ind w:firstLine="0" w:firstLineChars="0"/>
              <w:jc w:val="center"/>
              <w:rPr>
                <w:kern w:val="2"/>
                <w:sz w:val="21"/>
                <w:szCs w:val="21"/>
              </w:rPr>
            </w:pPr>
          </w:p>
        </w:tc>
        <w:tc>
          <w:tcPr>
            <w:tcW w:w="930" w:type="pct"/>
            <w:vMerge w:val="continue"/>
            <w:vAlign w:val="center"/>
          </w:tcPr>
          <w:p w14:paraId="6EC4A91D">
            <w:pPr>
              <w:spacing w:line="480" w:lineRule="exact"/>
              <w:ind w:firstLine="0" w:firstLineChars="0"/>
              <w:jc w:val="center"/>
              <w:rPr>
                <w:kern w:val="2"/>
                <w:sz w:val="21"/>
                <w:szCs w:val="21"/>
              </w:rPr>
            </w:pPr>
          </w:p>
        </w:tc>
        <w:tc>
          <w:tcPr>
            <w:tcW w:w="930" w:type="pct"/>
            <w:vAlign w:val="center"/>
          </w:tcPr>
          <w:p w14:paraId="09989D99">
            <w:pPr>
              <w:spacing w:line="480" w:lineRule="exact"/>
              <w:ind w:firstLine="0" w:firstLineChars="0"/>
              <w:jc w:val="center"/>
              <w:rPr>
                <w:kern w:val="2"/>
                <w:sz w:val="21"/>
                <w:szCs w:val="21"/>
              </w:rPr>
            </w:pPr>
            <w:r>
              <w:rPr>
                <w:rFonts w:hint="eastAsia"/>
                <w:sz w:val="21"/>
                <w:szCs w:val="21"/>
              </w:rPr>
              <w:t>第2次</w:t>
            </w:r>
          </w:p>
        </w:tc>
        <w:tc>
          <w:tcPr>
            <w:tcW w:w="745" w:type="pct"/>
            <w:vAlign w:val="center"/>
          </w:tcPr>
          <w:p w14:paraId="3EE2A4F7">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17DF5BEB">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continue"/>
            <w:vAlign w:val="center"/>
          </w:tcPr>
          <w:p w14:paraId="6ED60515">
            <w:pPr>
              <w:widowControl/>
              <w:spacing w:line="480" w:lineRule="exact"/>
              <w:ind w:firstLine="0" w:firstLineChars="0"/>
              <w:jc w:val="center"/>
              <w:textAlignment w:val="center"/>
              <w:rPr>
                <w:sz w:val="21"/>
                <w:szCs w:val="21"/>
                <w:lang w:bidi="ar"/>
              </w:rPr>
            </w:pPr>
          </w:p>
        </w:tc>
      </w:tr>
      <w:tr w14:paraId="174E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1873F8DB">
            <w:pPr>
              <w:spacing w:line="480" w:lineRule="exact"/>
              <w:ind w:firstLine="0" w:firstLineChars="0"/>
              <w:jc w:val="center"/>
              <w:rPr>
                <w:kern w:val="2"/>
                <w:sz w:val="21"/>
                <w:szCs w:val="21"/>
              </w:rPr>
            </w:pPr>
          </w:p>
        </w:tc>
        <w:tc>
          <w:tcPr>
            <w:tcW w:w="930" w:type="pct"/>
            <w:vMerge w:val="continue"/>
            <w:vAlign w:val="center"/>
          </w:tcPr>
          <w:p w14:paraId="341EA341">
            <w:pPr>
              <w:spacing w:line="480" w:lineRule="exact"/>
              <w:ind w:firstLine="0" w:firstLineChars="0"/>
              <w:jc w:val="center"/>
              <w:rPr>
                <w:kern w:val="2"/>
                <w:sz w:val="21"/>
                <w:szCs w:val="21"/>
              </w:rPr>
            </w:pPr>
          </w:p>
        </w:tc>
        <w:tc>
          <w:tcPr>
            <w:tcW w:w="930" w:type="pct"/>
            <w:vAlign w:val="center"/>
          </w:tcPr>
          <w:p w14:paraId="1669C936">
            <w:pPr>
              <w:spacing w:line="480" w:lineRule="exact"/>
              <w:ind w:firstLine="0" w:firstLineChars="0"/>
              <w:jc w:val="center"/>
              <w:rPr>
                <w:kern w:val="2"/>
                <w:sz w:val="21"/>
                <w:szCs w:val="21"/>
              </w:rPr>
            </w:pPr>
            <w:r>
              <w:rPr>
                <w:rFonts w:hint="eastAsia"/>
                <w:sz w:val="21"/>
                <w:szCs w:val="21"/>
              </w:rPr>
              <w:t>第3次</w:t>
            </w:r>
          </w:p>
        </w:tc>
        <w:tc>
          <w:tcPr>
            <w:tcW w:w="745" w:type="pct"/>
            <w:vAlign w:val="center"/>
          </w:tcPr>
          <w:p w14:paraId="7358D2DD">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319E559B">
            <w:pPr>
              <w:widowControl/>
              <w:spacing w:line="480" w:lineRule="exact"/>
              <w:ind w:firstLine="0" w:firstLineChars="0"/>
              <w:jc w:val="center"/>
              <w:textAlignment w:val="center"/>
              <w:rPr>
                <w:kern w:val="2"/>
                <w:sz w:val="21"/>
                <w:szCs w:val="21"/>
              </w:rPr>
            </w:pPr>
            <w:r>
              <w:rPr>
                <w:rFonts w:hint="eastAsia"/>
                <w:kern w:val="2"/>
                <w:sz w:val="21"/>
                <w:szCs w:val="21"/>
              </w:rPr>
              <w:t>0.16</w:t>
            </w:r>
          </w:p>
        </w:tc>
        <w:tc>
          <w:tcPr>
            <w:tcW w:w="950" w:type="pct"/>
            <w:vMerge w:val="continue"/>
            <w:vAlign w:val="center"/>
          </w:tcPr>
          <w:p w14:paraId="2246F5C0">
            <w:pPr>
              <w:widowControl/>
              <w:spacing w:line="480" w:lineRule="exact"/>
              <w:ind w:firstLine="0" w:firstLineChars="0"/>
              <w:jc w:val="center"/>
              <w:textAlignment w:val="center"/>
              <w:rPr>
                <w:sz w:val="21"/>
                <w:szCs w:val="21"/>
                <w:lang w:bidi="ar"/>
              </w:rPr>
            </w:pPr>
          </w:p>
        </w:tc>
      </w:tr>
      <w:tr w14:paraId="72A0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3A1564D6">
            <w:pPr>
              <w:spacing w:line="480" w:lineRule="exact"/>
              <w:ind w:firstLine="0" w:firstLineChars="0"/>
              <w:jc w:val="center"/>
              <w:rPr>
                <w:kern w:val="2"/>
                <w:sz w:val="21"/>
                <w:szCs w:val="21"/>
              </w:rPr>
            </w:pPr>
          </w:p>
        </w:tc>
        <w:tc>
          <w:tcPr>
            <w:tcW w:w="930" w:type="pct"/>
            <w:vMerge w:val="continue"/>
            <w:vAlign w:val="center"/>
          </w:tcPr>
          <w:p w14:paraId="61CA36F6">
            <w:pPr>
              <w:spacing w:line="480" w:lineRule="exact"/>
              <w:ind w:firstLine="0" w:firstLineChars="0"/>
              <w:jc w:val="center"/>
              <w:rPr>
                <w:kern w:val="2"/>
                <w:sz w:val="21"/>
                <w:szCs w:val="21"/>
              </w:rPr>
            </w:pPr>
          </w:p>
        </w:tc>
        <w:tc>
          <w:tcPr>
            <w:tcW w:w="930" w:type="pct"/>
            <w:vAlign w:val="center"/>
          </w:tcPr>
          <w:p w14:paraId="25AB77AD">
            <w:pPr>
              <w:spacing w:line="480" w:lineRule="exact"/>
              <w:ind w:firstLine="0" w:firstLineChars="0"/>
              <w:jc w:val="center"/>
              <w:rPr>
                <w:kern w:val="2"/>
                <w:sz w:val="21"/>
                <w:szCs w:val="21"/>
              </w:rPr>
            </w:pPr>
            <w:r>
              <w:rPr>
                <w:rFonts w:hint="eastAsia"/>
                <w:sz w:val="21"/>
                <w:szCs w:val="21"/>
              </w:rPr>
              <w:t>第4次</w:t>
            </w:r>
          </w:p>
        </w:tc>
        <w:tc>
          <w:tcPr>
            <w:tcW w:w="745" w:type="pct"/>
            <w:vAlign w:val="center"/>
          </w:tcPr>
          <w:p w14:paraId="3E1AE870">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2953DA32">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continue"/>
            <w:vAlign w:val="center"/>
          </w:tcPr>
          <w:p w14:paraId="10E66AE9">
            <w:pPr>
              <w:widowControl/>
              <w:spacing w:line="480" w:lineRule="exact"/>
              <w:ind w:firstLine="0" w:firstLineChars="0"/>
              <w:jc w:val="center"/>
              <w:textAlignment w:val="center"/>
              <w:rPr>
                <w:sz w:val="21"/>
                <w:szCs w:val="21"/>
                <w:lang w:bidi="ar"/>
              </w:rPr>
            </w:pPr>
          </w:p>
        </w:tc>
      </w:tr>
      <w:tr w14:paraId="3F05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0652FC0A">
            <w:pPr>
              <w:spacing w:line="480" w:lineRule="exact"/>
              <w:ind w:firstLine="0" w:firstLineChars="0"/>
              <w:jc w:val="center"/>
              <w:rPr>
                <w:kern w:val="2"/>
                <w:sz w:val="21"/>
                <w:szCs w:val="21"/>
              </w:rPr>
            </w:pPr>
          </w:p>
        </w:tc>
        <w:tc>
          <w:tcPr>
            <w:tcW w:w="930" w:type="pct"/>
            <w:vMerge w:val="restart"/>
            <w:vAlign w:val="center"/>
          </w:tcPr>
          <w:p w14:paraId="389BB19F">
            <w:pPr>
              <w:spacing w:line="480" w:lineRule="exact"/>
              <w:ind w:firstLine="0" w:firstLineChars="0"/>
              <w:jc w:val="center"/>
              <w:rPr>
                <w:kern w:val="2"/>
                <w:sz w:val="21"/>
                <w:szCs w:val="21"/>
              </w:rPr>
            </w:pPr>
            <w:r>
              <w:rPr>
                <w:rFonts w:hint="eastAsia"/>
                <w:kern w:val="2"/>
                <w:sz w:val="21"/>
                <w:szCs w:val="21"/>
              </w:rPr>
              <w:t>第七天</w:t>
            </w:r>
          </w:p>
        </w:tc>
        <w:tc>
          <w:tcPr>
            <w:tcW w:w="930" w:type="pct"/>
            <w:vAlign w:val="center"/>
          </w:tcPr>
          <w:p w14:paraId="47F9FE1F">
            <w:pPr>
              <w:spacing w:line="480" w:lineRule="exact"/>
              <w:ind w:firstLine="0" w:firstLineChars="0"/>
              <w:jc w:val="center"/>
              <w:rPr>
                <w:kern w:val="2"/>
                <w:sz w:val="21"/>
                <w:szCs w:val="21"/>
              </w:rPr>
            </w:pPr>
            <w:r>
              <w:rPr>
                <w:rFonts w:hint="eastAsia"/>
                <w:sz w:val="21"/>
                <w:szCs w:val="21"/>
              </w:rPr>
              <w:t>第1次</w:t>
            </w:r>
          </w:p>
        </w:tc>
        <w:tc>
          <w:tcPr>
            <w:tcW w:w="745" w:type="pct"/>
            <w:vAlign w:val="center"/>
          </w:tcPr>
          <w:p w14:paraId="5C96D18A">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20F172A7">
            <w:pPr>
              <w:widowControl/>
              <w:spacing w:line="480" w:lineRule="exact"/>
              <w:ind w:firstLine="0" w:firstLineChars="0"/>
              <w:jc w:val="center"/>
              <w:textAlignment w:val="center"/>
              <w:rPr>
                <w:kern w:val="2"/>
                <w:sz w:val="21"/>
                <w:szCs w:val="21"/>
              </w:rPr>
            </w:pPr>
            <w:r>
              <w:rPr>
                <w:rFonts w:hint="eastAsia"/>
                <w:kern w:val="2"/>
                <w:sz w:val="21"/>
                <w:szCs w:val="21"/>
              </w:rPr>
              <w:t>0.11</w:t>
            </w:r>
          </w:p>
        </w:tc>
        <w:tc>
          <w:tcPr>
            <w:tcW w:w="950" w:type="pct"/>
            <w:vMerge w:val="restart"/>
            <w:vAlign w:val="center"/>
          </w:tcPr>
          <w:p w14:paraId="69C82A23">
            <w:pPr>
              <w:widowControl/>
              <w:spacing w:line="480" w:lineRule="exact"/>
              <w:ind w:firstLine="0" w:firstLineChars="0"/>
              <w:jc w:val="center"/>
              <w:textAlignment w:val="center"/>
              <w:rPr>
                <w:sz w:val="21"/>
                <w:szCs w:val="21"/>
                <w:lang w:bidi="ar"/>
              </w:rPr>
            </w:pPr>
            <w:r>
              <w:rPr>
                <w:rFonts w:hint="eastAsia"/>
                <w:sz w:val="21"/>
                <w:szCs w:val="21"/>
                <w:lang w:bidi="ar"/>
              </w:rPr>
              <w:t>206</w:t>
            </w:r>
          </w:p>
        </w:tc>
      </w:tr>
      <w:tr w14:paraId="7C4D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4D44562D">
            <w:pPr>
              <w:spacing w:line="480" w:lineRule="exact"/>
              <w:ind w:firstLine="0" w:firstLineChars="0"/>
              <w:jc w:val="center"/>
              <w:rPr>
                <w:kern w:val="2"/>
                <w:sz w:val="21"/>
                <w:szCs w:val="21"/>
              </w:rPr>
            </w:pPr>
          </w:p>
        </w:tc>
        <w:tc>
          <w:tcPr>
            <w:tcW w:w="930" w:type="pct"/>
            <w:vMerge w:val="continue"/>
            <w:vAlign w:val="center"/>
          </w:tcPr>
          <w:p w14:paraId="51AAE88B">
            <w:pPr>
              <w:spacing w:line="480" w:lineRule="exact"/>
              <w:ind w:firstLine="0" w:firstLineChars="0"/>
              <w:jc w:val="center"/>
              <w:rPr>
                <w:kern w:val="2"/>
                <w:sz w:val="21"/>
                <w:szCs w:val="21"/>
              </w:rPr>
            </w:pPr>
          </w:p>
        </w:tc>
        <w:tc>
          <w:tcPr>
            <w:tcW w:w="930" w:type="pct"/>
            <w:vAlign w:val="center"/>
          </w:tcPr>
          <w:p w14:paraId="24A8016D">
            <w:pPr>
              <w:spacing w:line="480" w:lineRule="exact"/>
              <w:ind w:firstLine="0" w:firstLineChars="0"/>
              <w:jc w:val="center"/>
              <w:rPr>
                <w:kern w:val="2"/>
                <w:sz w:val="21"/>
                <w:szCs w:val="21"/>
              </w:rPr>
            </w:pPr>
            <w:r>
              <w:rPr>
                <w:rFonts w:hint="eastAsia"/>
                <w:sz w:val="21"/>
                <w:szCs w:val="21"/>
              </w:rPr>
              <w:t>第2次</w:t>
            </w:r>
          </w:p>
        </w:tc>
        <w:tc>
          <w:tcPr>
            <w:tcW w:w="745" w:type="pct"/>
            <w:vAlign w:val="center"/>
          </w:tcPr>
          <w:p w14:paraId="5C4B7FC6">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5771AC37">
            <w:pPr>
              <w:widowControl/>
              <w:spacing w:line="480" w:lineRule="exact"/>
              <w:ind w:firstLine="0" w:firstLineChars="0"/>
              <w:jc w:val="center"/>
              <w:textAlignment w:val="center"/>
              <w:rPr>
                <w:kern w:val="2"/>
                <w:sz w:val="21"/>
                <w:szCs w:val="21"/>
              </w:rPr>
            </w:pPr>
            <w:r>
              <w:rPr>
                <w:rFonts w:hint="eastAsia"/>
                <w:kern w:val="2"/>
                <w:sz w:val="21"/>
                <w:szCs w:val="21"/>
              </w:rPr>
              <w:t>0.12</w:t>
            </w:r>
          </w:p>
        </w:tc>
        <w:tc>
          <w:tcPr>
            <w:tcW w:w="950" w:type="pct"/>
            <w:vMerge w:val="continue"/>
            <w:vAlign w:val="center"/>
          </w:tcPr>
          <w:p w14:paraId="3EE8994A">
            <w:pPr>
              <w:widowControl/>
              <w:spacing w:line="480" w:lineRule="exact"/>
              <w:ind w:firstLine="0" w:firstLineChars="0"/>
              <w:jc w:val="center"/>
              <w:textAlignment w:val="center"/>
              <w:rPr>
                <w:sz w:val="21"/>
                <w:szCs w:val="21"/>
                <w:lang w:bidi="ar"/>
              </w:rPr>
            </w:pPr>
          </w:p>
        </w:tc>
      </w:tr>
      <w:tr w14:paraId="1054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4554D8C6">
            <w:pPr>
              <w:spacing w:line="480" w:lineRule="exact"/>
              <w:ind w:firstLine="0" w:firstLineChars="0"/>
              <w:jc w:val="center"/>
              <w:rPr>
                <w:kern w:val="2"/>
                <w:sz w:val="21"/>
                <w:szCs w:val="21"/>
              </w:rPr>
            </w:pPr>
          </w:p>
        </w:tc>
        <w:tc>
          <w:tcPr>
            <w:tcW w:w="930" w:type="pct"/>
            <w:vMerge w:val="continue"/>
            <w:vAlign w:val="center"/>
          </w:tcPr>
          <w:p w14:paraId="630D0DA7">
            <w:pPr>
              <w:spacing w:line="480" w:lineRule="exact"/>
              <w:ind w:firstLine="0" w:firstLineChars="0"/>
              <w:jc w:val="center"/>
              <w:rPr>
                <w:kern w:val="2"/>
                <w:sz w:val="21"/>
                <w:szCs w:val="21"/>
              </w:rPr>
            </w:pPr>
          </w:p>
        </w:tc>
        <w:tc>
          <w:tcPr>
            <w:tcW w:w="930" w:type="pct"/>
            <w:vAlign w:val="center"/>
          </w:tcPr>
          <w:p w14:paraId="06D1A4D3">
            <w:pPr>
              <w:spacing w:line="480" w:lineRule="exact"/>
              <w:ind w:firstLine="0" w:firstLineChars="0"/>
              <w:jc w:val="center"/>
              <w:rPr>
                <w:kern w:val="2"/>
                <w:sz w:val="21"/>
                <w:szCs w:val="21"/>
              </w:rPr>
            </w:pPr>
            <w:r>
              <w:rPr>
                <w:rFonts w:hint="eastAsia"/>
                <w:sz w:val="21"/>
                <w:szCs w:val="21"/>
              </w:rPr>
              <w:t>第3次</w:t>
            </w:r>
          </w:p>
        </w:tc>
        <w:tc>
          <w:tcPr>
            <w:tcW w:w="745" w:type="pct"/>
            <w:vAlign w:val="center"/>
          </w:tcPr>
          <w:p w14:paraId="33ACEE5F">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0C418370">
            <w:pPr>
              <w:widowControl/>
              <w:spacing w:line="480" w:lineRule="exact"/>
              <w:ind w:firstLine="0" w:firstLineChars="0"/>
              <w:jc w:val="center"/>
              <w:textAlignment w:val="center"/>
              <w:rPr>
                <w:kern w:val="2"/>
                <w:sz w:val="21"/>
                <w:szCs w:val="21"/>
              </w:rPr>
            </w:pPr>
            <w:r>
              <w:rPr>
                <w:rFonts w:hint="eastAsia"/>
                <w:kern w:val="2"/>
                <w:sz w:val="21"/>
                <w:szCs w:val="21"/>
              </w:rPr>
              <w:t>0.16</w:t>
            </w:r>
          </w:p>
        </w:tc>
        <w:tc>
          <w:tcPr>
            <w:tcW w:w="950" w:type="pct"/>
            <w:vMerge w:val="continue"/>
            <w:vAlign w:val="center"/>
          </w:tcPr>
          <w:p w14:paraId="485C19C2">
            <w:pPr>
              <w:widowControl/>
              <w:spacing w:line="480" w:lineRule="exact"/>
              <w:ind w:firstLine="0" w:firstLineChars="0"/>
              <w:jc w:val="center"/>
              <w:textAlignment w:val="center"/>
              <w:rPr>
                <w:sz w:val="21"/>
                <w:szCs w:val="21"/>
                <w:lang w:bidi="ar"/>
              </w:rPr>
            </w:pPr>
          </w:p>
        </w:tc>
      </w:tr>
      <w:tr w14:paraId="1C34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vAlign w:val="center"/>
          </w:tcPr>
          <w:p w14:paraId="26D0013B">
            <w:pPr>
              <w:spacing w:line="480" w:lineRule="exact"/>
              <w:ind w:firstLine="0" w:firstLineChars="0"/>
              <w:jc w:val="center"/>
              <w:rPr>
                <w:kern w:val="2"/>
                <w:sz w:val="21"/>
                <w:szCs w:val="21"/>
              </w:rPr>
            </w:pPr>
          </w:p>
        </w:tc>
        <w:tc>
          <w:tcPr>
            <w:tcW w:w="930" w:type="pct"/>
            <w:vMerge w:val="continue"/>
            <w:vAlign w:val="center"/>
          </w:tcPr>
          <w:p w14:paraId="14CBFD44">
            <w:pPr>
              <w:spacing w:line="480" w:lineRule="exact"/>
              <w:ind w:firstLine="0" w:firstLineChars="0"/>
              <w:jc w:val="center"/>
              <w:rPr>
                <w:kern w:val="2"/>
                <w:sz w:val="21"/>
                <w:szCs w:val="21"/>
              </w:rPr>
            </w:pPr>
          </w:p>
        </w:tc>
        <w:tc>
          <w:tcPr>
            <w:tcW w:w="930" w:type="pct"/>
            <w:vAlign w:val="center"/>
          </w:tcPr>
          <w:p w14:paraId="70BFE275">
            <w:pPr>
              <w:spacing w:line="480" w:lineRule="exact"/>
              <w:ind w:firstLine="0" w:firstLineChars="0"/>
              <w:jc w:val="center"/>
              <w:rPr>
                <w:kern w:val="2"/>
                <w:sz w:val="21"/>
                <w:szCs w:val="21"/>
              </w:rPr>
            </w:pPr>
            <w:r>
              <w:rPr>
                <w:rFonts w:hint="eastAsia"/>
                <w:sz w:val="21"/>
                <w:szCs w:val="21"/>
              </w:rPr>
              <w:t>第4次</w:t>
            </w:r>
          </w:p>
        </w:tc>
        <w:tc>
          <w:tcPr>
            <w:tcW w:w="745" w:type="pct"/>
            <w:vAlign w:val="center"/>
          </w:tcPr>
          <w:p w14:paraId="0C5F8AA8">
            <w:pPr>
              <w:spacing w:line="480" w:lineRule="exact"/>
              <w:ind w:firstLine="0" w:firstLineChars="0"/>
              <w:jc w:val="center"/>
              <w:textAlignment w:val="center"/>
              <w:rPr>
                <w:kern w:val="2"/>
                <w:sz w:val="21"/>
                <w:szCs w:val="21"/>
              </w:rPr>
            </w:pPr>
            <w:r>
              <w:rPr>
                <w:sz w:val="21"/>
                <w:szCs w:val="21"/>
                <w:lang w:bidi="ar"/>
              </w:rPr>
              <w:t>&lt;</w:t>
            </w:r>
            <w:r>
              <w:rPr>
                <w:rFonts w:hint="eastAsia"/>
                <w:sz w:val="21"/>
                <w:szCs w:val="21"/>
                <w:lang w:bidi="ar"/>
              </w:rPr>
              <w:t>0.005</w:t>
            </w:r>
          </w:p>
        </w:tc>
        <w:tc>
          <w:tcPr>
            <w:tcW w:w="514" w:type="pct"/>
            <w:vAlign w:val="center"/>
          </w:tcPr>
          <w:p w14:paraId="48571517">
            <w:pPr>
              <w:widowControl/>
              <w:spacing w:line="480" w:lineRule="exact"/>
              <w:ind w:firstLine="0" w:firstLineChars="0"/>
              <w:jc w:val="center"/>
              <w:textAlignment w:val="center"/>
              <w:rPr>
                <w:kern w:val="2"/>
                <w:sz w:val="21"/>
                <w:szCs w:val="21"/>
              </w:rPr>
            </w:pPr>
            <w:r>
              <w:rPr>
                <w:rFonts w:hint="eastAsia"/>
                <w:kern w:val="2"/>
                <w:sz w:val="21"/>
                <w:szCs w:val="21"/>
              </w:rPr>
              <w:t>0.13</w:t>
            </w:r>
          </w:p>
        </w:tc>
        <w:tc>
          <w:tcPr>
            <w:tcW w:w="950" w:type="pct"/>
            <w:vMerge w:val="continue"/>
            <w:vAlign w:val="center"/>
          </w:tcPr>
          <w:p w14:paraId="4FD0E6D3">
            <w:pPr>
              <w:widowControl/>
              <w:spacing w:line="480" w:lineRule="exact"/>
              <w:ind w:firstLine="0" w:firstLineChars="0"/>
              <w:jc w:val="center"/>
              <w:textAlignment w:val="center"/>
              <w:rPr>
                <w:sz w:val="21"/>
                <w:szCs w:val="21"/>
                <w:lang w:bidi="ar"/>
              </w:rPr>
            </w:pPr>
          </w:p>
        </w:tc>
      </w:tr>
    </w:tbl>
    <w:p w14:paraId="14E98A6E">
      <w:pPr>
        <w:pStyle w:val="11"/>
        <w:rPr>
          <w:sz w:val="24"/>
          <w:szCs w:val="22"/>
        </w:rPr>
      </w:pPr>
      <w:r>
        <w:rPr>
          <w:rFonts w:hint="eastAsia"/>
          <w:sz w:val="24"/>
          <w:szCs w:val="22"/>
        </w:rPr>
        <w:t>表4.2-5H</w:t>
      </w:r>
      <w:r>
        <w:rPr>
          <w:rFonts w:hint="eastAsia"/>
          <w:sz w:val="24"/>
          <w:szCs w:val="22"/>
          <w:vertAlign w:val="subscript"/>
        </w:rPr>
        <w:t>2</w:t>
      </w:r>
      <w:r>
        <w:rPr>
          <w:rFonts w:hint="eastAsia"/>
          <w:sz w:val="24"/>
          <w:szCs w:val="22"/>
        </w:rPr>
        <w:t>S、NH</w:t>
      </w:r>
      <w:r>
        <w:rPr>
          <w:rFonts w:hint="eastAsia"/>
          <w:sz w:val="24"/>
          <w:szCs w:val="22"/>
          <w:vertAlign w:val="subscript"/>
        </w:rPr>
        <w:t>3</w:t>
      </w:r>
      <w:r>
        <w:rPr>
          <w:rFonts w:hint="eastAsia"/>
          <w:sz w:val="24"/>
          <w:szCs w:val="22"/>
        </w:rPr>
        <w:t>、</w:t>
      </w:r>
      <w:r>
        <w:rPr>
          <w:sz w:val="24"/>
          <w:szCs w:val="22"/>
        </w:rPr>
        <w:t>TSP</w:t>
      </w:r>
      <w:r>
        <w:rPr>
          <w:rFonts w:hint="eastAsia"/>
          <w:sz w:val="24"/>
          <w:szCs w:val="22"/>
        </w:rPr>
        <w:t>评价结果表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2025"/>
        <w:gridCol w:w="1733"/>
        <w:gridCol w:w="1733"/>
        <w:gridCol w:w="1734"/>
      </w:tblGrid>
      <w:tr w14:paraId="561B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pct"/>
            <w:vAlign w:val="center"/>
          </w:tcPr>
          <w:p w14:paraId="5E704C57">
            <w:pPr>
              <w:spacing w:line="240" w:lineRule="auto"/>
              <w:ind w:firstLine="0" w:firstLineChars="0"/>
              <w:jc w:val="center"/>
              <w:rPr>
                <w:kern w:val="2"/>
                <w:sz w:val="21"/>
                <w:szCs w:val="21"/>
              </w:rPr>
            </w:pPr>
            <w:r>
              <w:rPr>
                <w:rFonts w:hint="eastAsia"/>
                <w:kern w:val="2"/>
                <w:sz w:val="21"/>
                <w:szCs w:val="21"/>
              </w:rPr>
              <w:t>监测点</w:t>
            </w:r>
          </w:p>
        </w:tc>
        <w:tc>
          <w:tcPr>
            <w:tcW w:w="1188" w:type="pct"/>
            <w:vAlign w:val="center"/>
          </w:tcPr>
          <w:p w14:paraId="152D9028">
            <w:pPr>
              <w:spacing w:line="240" w:lineRule="auto"/>
              <w:ind w:firstLine="0" w:firstLineChars="0"/>
              <w:jc w:val="center"/>
              <w:rPr>
                <w:kern w:val="2"/>
                <w:sz w:val="21"/>
                <w:szCs w:val="21"/>
              </w:rPr>
            </w:pPr>
            <w:r>
              <w:rPr>
                <w:rFonts w:hint="eastAsia"/>
                <w:kern w:val="2"/>
                <w:sz w:val="21"/>
                <w:szCs w:val="21"/>
              </w:rPr>
              <w:t>项目</w:t>
            </w:r>
          </w:p>
        </w:tc>
        <w:tc>
          <w:tcPr>
            <w:tcW w:w="1017" w:type="pct"/>
            <w:vAlign w:val="center"/>
          </w:tcPr>
          <w:p w14:paraId="10000D40">
            <w:pPr>
              <w:spacing w:line="240" w:lineRule="auto"/>
              <w:ind w:firstLine="0" w:firstLineChars="0"/>
              <w:jc w:val="center"/>
              <w:rPr>
                <w:kern w:val="2"/>
                <w:sz w:val="21"/>
                <w:szCs w:val="21"/>
              </w:rPr>
            </w:pPr>
            <w:r>
              <w:rPr>
                <w:rFonts w:hint="eastAsia"/>
                <w:kern w:val="2"/>
                <w:sz w:val="21"/>
                <w:szCs w:val="21"/>
              </w:rPr>
              <w:t>硫化氢</w:t>
            </w:r>
          </w:p>
        </w:tc>
        <w:tc>
          <w:tcPr>
            <w:tcW w:w="1017" w:type="pct"/>
            <w:vAlign w:val="center"/>
          </w:tcPr>
          <w:p w14:paraId="6D0904FF">
            <w:pPr>
              <w:spacing w:line="240" w:lineRule="auto"/>
              <w:ind w:firstLine="0" w:firstLineChars="0"/>
              <w:jc w:val="center"/>
              <w:rPr>
                <w:kern w:val="2"/>
                <w:sz w:val="21"/>
                <w:szCs w:val="21"/>
              </w:rPr>
            </w:pPr>
            <w:r>
              <w:rPr>
                <w:rFonts w:hint="eastAsia"/>
                <w:kern w:val="2"/>
                <w:sz w:val="21"/>
                <w:szCs w:val="21"/>
              </w:rPr>
              <w:t>氨</w:t>
            </w:r>
          </w:p>
        </w:tc>
        <w:tc>
          <w:tcPr>
            <w:tcW w:w="1017" w:type="pct"/>
            <w:vAlign w:val="center"/>
          </w:tcPr>
          <w:p w14:paraId="0E11A60C">
            <w:pPr>
              <w:spacing w:line="240" w:lineRule="auto"/>
              <w:ind w:firstLine="0" w:firstLineChars="0"/>
              <w:jc w:val="center"/>
              <w:rPr>
                <w:kern w:val="2"/>
                <w:sz w:val="21"/>
                <w:szCs w:val="21"/>
              </w:rPr>
            </w:pPr>
            <w:r>
              <w:rPr>
                <w:rFonts w:hint="eastAsia"/>
                <w:kern w:val="2"/>
                <w:sz w:val="21"/>
                <w:szCs w:val="21"/>
              </w:rPr>
              <w:t>TSP</w:t>
            </w:r>
          </w:p>
        </w:tc>
      </w:tr>
      <w:tr w14:paraId="06C5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9" w:type="pct"/>
            <w:vMerge w:val="restart"/>
            <w:vAlign w:val="center"/>
          </w:tcPr>
          <w:p w14:paraId="04A5D18E">
            <w:pPr>
              <w:spacing w:line="240" w:lineRule="auto"/>
              <w:ind w:firstLine="0" w:firstLineChars="0"/>
              <w:jc w:val="center"/>
              <w:rPr>
                <w:kern w:val="2"/>
                <w:sz w:val="21"/>
                <w:szCs w:val="21"/>
              </w:rPr>
            </w:pPr>
            <w:r>
              <w:rPr>
                <w:rFonts w:hint="eastAsia"/>
                <w:kern w:val="2"/>
                <w:sz w:val="21"/>
                <w:szCs w:val="21"/>
              </w:rPr>
              <w:t>W1：下风向</w:t>
            </w:r>
          </w:p>
        </w:tc>
        <w:tc>
          <w:tcPr>
            <w:tcW w:w="1188" w:type="pct"/>
            <w:vAlign w:val="center"/>
          </w:tcPr>
          <w:p w14:paraId="6864E6B6">
            <w:pPr>
              <w:spacing w:line="240" w:lineRule="auto"/>
              <w:ind w:firstLine="0" w:firstLineChars="0"/>
              <w:jc w:val="center"/>
              <w:rPr>
                <w:kern w:val="2"/>
                <w:sz w:val="21"/>
                <w:szCs w:val="21"/>
              </w:rPr>
            </w:pPr>
            <w:r>
              <w:rPr>
                <w:rFonts w:hint="eastAsia"/>
                <w:kern w:val="2"/>
                <w:sz w:val="21"/>
                <w:szCs w:val="21"/>
              </w:rPr>
              <w:t>有效日数</w:t>
            </w:r>
          </w:p>
        </w:tc>
        <w:tc>
          <w:tcPr>
            <w:tcW w:w="1017" w:type="pct"/>
            <w:vAlign w:val="center"/>
          </w:tcPr>
          <w:p w14:paraId="01F3C1D1">
            <w:pPr>
              <w:spacing w:line="240" w:lineRule="auto"/>
              <w:ind w:firstLine="0" w:firstLineChars="0"/>
              <w:jc w:val="center"/>
              <w:rPr>
                <w:kern w:val="2"/>
                <w:sz w:val="21"/>
                <w:szCs w:val="21"/>
              </w:rPr>
            </w:pPr>
            <w:r>
              <w:rPr>
                <w:rFonts w:hint="eastAsia"/>
                <w:kern w:val="2"/>
                <w:sz w:val="21"/>
                <w:szCs w:val="21"/>
              </w:rPr>
              <w:t>7</w:t>
            </w:r>
          </w:p>
        </w:tc>
        <w:tc>
          <w:tcPr>
            <w:tcW w:w="1017" w:type="pct"/>
            <w:vAlign w:val="center"/>
          </w:tcPr>
          <w:p w14:paraId="7F5F1F67">
            <w:pPr>
              <w:spacing w:line="240" w:lineRule="auto"/>
              <w:ind w:firstLine="0" w:firstLineChars="0"/>
              <w:jc w:val="center"/>
              <w:rPr>
                <w:kern w:val="2"/>
                <w:sz w:val="21"/>
                <w:szCs w:val="21"/>
              </w:rPr>
            </w:pPr>
            <w:r>
              <w:rPr>
                <w:rFonts w:hint="eastAsia"/>
                <w:kern w:val="2"/>
                <w:sz w:val="21"/>
                <w:szCs w:val="21"/>
              </w:rPr>
              <w:t>7</w:t>
            </w:r>
          </w:p>
        </w:tc>
        <w:tc>
          <w:tcPr>
            <w:tcW w:w="1017" w:type="pct"/>
            <w:vAlign w:val="center"/>
          </w:tcPr>
          <w:p w14:paraId="7F44A043">
            <w:pPr>
              <w:spacing w:line="240" w:lineRule="auto"/>
              <w:ind w:firstLine="0" w:firstLineChars="0"/>
              <w:jc w:val="center"/>
              <w:rPr>
                <w:kern w:val="2"/>
                <w:sz w:val="21"/>
                <w:szCs w:val="21"/>
              </w:rPr>
            </w:pPr>
            <w:r>
              <w:rPr>
                <w:rFonts w:hint="eastAsia"/>
                <w:kern w:val="2"/>
                <w:sz w:val="21"/>
                <w:szCs w:val="21"/>
              </w:rPr>
              <w:t>7</w:t>
            </w:r>
          </w:p>
        </w:tc>
      </w:tr>
      <w:tr w14:paraId="4B8E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9" w:type="pct"/>
            <w:vMerge w:val="continue"/>
            <w:vAlign w:val="center"/>
          </w:tcPr>
          <w:p w14:paraId="54572FBE">
            <w:pPr>
              <w:spacing w:line="240" w:lineRule="auto"/>
              <w:ind w:firstLine="0" w:firstLineChars="0"/>
              <w:jc w:val="center"/>
              <w:rPr>
                <w:kern w:val="2"/>
                <w:sz w:val="21"/>
                <w:szCs w:val="21"/>
              </w:rPr>
            </w:pPr>
          </w:p>
        </w:tc>
        <w:tc>
          <w:tcPr>
            <w:tcW w:w="1188" w:type="pct"/>
            <w:vAlign w:val="center"/>
          </w:tcPr>
          <w:p w14:paraId="2FCF7539">
            <w:pPr>
              <w:spacing w:line="240" w:lineRule="auto"/>
              <w:ind w:firstLine="0" w:firstLineChars="0"/>
              <w:jc w:val="center"/>
              <w:rPr>
                <w:kern w:val="2"/>
                <w:sz w:val="21"/>
                <w:szCs w:val="21"/>
              </w:rPr>
            </w:pPr>
            <w:r>
              <w:rPr>
                <w:rFonts w:hint="eastAsia"/>
                <w:kern w:val="2"/>
                <w:sz w:val="21"/>
                <w:szCs w:val="21"/>
              </w:rPr>
              <w:t>浓度范围（mg/m</w:t>
            </w:r>
            <w:r>
              <w:rPr>
                <w:rFonts w:hint="eastAsia"/>
                <w:kern w:val="2"/>
                <w:sz w:val="21"/>
                <w:szCs w:val="21"/>
                <w:vertAlign w:val="superscript"/>
              </w:rPr>
              <w:t>3</w:t>
            </w:r>
            <w:r>
              <w:rPr>
                <w:rFonts w:hint="eastAsia"/>
                <w:kern w:val="2"/>
                <w:sz w:val="21"/>
                <w:szCs w:val="21"/>
              </w:rPr>
              <w:t>）</w:t>
            </w:r>
          </w:p>
        </w:tc>
        <w:tc>
          <w:tcPr>
            <w:tcW w:w="1017" w:type="pct"/>
            <w:vAlign w:val="center"/>
          </w:tcPr>
          <w:p w14:paraId="44D0E672">
            <w:pPr>
              <w:spacing w:line="240" w:lineRule="auto"/>
              <w:ind w:firstLine="0" w:firstLineChars="0"/>
              <w:jc w:val="center"/>
              <w:rPr>
                <w:kern w:val="2"/>
                <w:sz w:val="21"/>
                <w:szCs w:val="21"/>
              </w:rPr>
            </w:pPr>
            <w:r>
              <w:rPr>
                <w:sz w:val="21"/>
                <w:szCs w:val="21"/>
                <w:lang w:bidi="ar"/>
              </w:rPr>
              <w:t>&lt;</w:t>
            </w:r>
            <w:r>
              <w:rPr>
                <w:rFonts w:hint="eastAsia"/>
                <w:sz w:val="21"/>
                <w:szCs w:val="21"/>
                <w:lang w:bidi="ar"/>
              </w:rPr>
              <w:t>0.005</w:t>
            </w:r>
          </w:p>
        </w:tc>
        <w:tc>
          <w:tcPr>
            <w:tcW w:w="1017" w:type="pct"/>
            <w:vAlign w:val="center"/>
          </w:tcPr>
          <w:p w14:paraId="1D257BFB">
            <w:pPr>
              <w:spacing w:line="240" w:lineRule="auto"/>
              <w:ind w:firstLine="0" w:firstLineChars="0"/>
              <w:jc w:val="center"/>
              <w:rPr>
                <w:kern w:val="2"/>
                <w:sz w:val="21"/>
                <w:szCs w:val="21"/>
              </w:rPr>
            </w:pPr>
            <w:r>
              <w:rPr>
                <w:kern w:val="2"/>
                <w:sz w:val="21"/>
                <w:szCs w:val="21"/>
              </w:rPr>
              <w:t>0</w:t>
            </w:r>
            <w:r>
              <w:rPr>
                <w:rFonts w:hint="eastAsia"/>
                <w:kern w:val="2"/>
                <w:sz w:val="21"/>
                <w:szCs w:val="21"/>
              </w:rPr>
              <w:t>.16</w:t>
            </w:r>
            <w:r>
              <w:rPr>
                <w:kern w:val="2"/>
                <w:sz w:val="21"/>
                <w:szCs w:val="21"/>
              </w:rPr>
              <w:t>-0.</w:t>
            </w:r>
            <w:r>
              <w:rPr>
                <w:rFonts w:hint="eastAsia"/>
                <w:kern w:val="2"/>
                <w:sz w:val="21"/>
                <w:szCs w:val="21"/>
              </w:rPr>
              <w:t>11</w:t>
            </w:r>
          </w:p>
        </w:tc>
        <w:tc>
          <w:tcPr>
            <w:tcW w:w="1017" w:type="pct"/>
            <w:vAlign w:val="center"/>
          </w:tcPr>
          <w:p w14:paraId="42121A7C">
            <w:pPr>
              <w:spacing w:line="240" w:lineRule="auto"/>
              <w:ind w:firstLine="0" w:firstLineChars="0"/>
              <w:jc w:val="center"/>
              <w:rPr>
                <w:kern w:val="2"/>
                <w:sz w:val="21"/>
                <w:szCs w:val="21"/>
              </w:rPr>
            </w:pPr>
            <w:r>
              <w:rPr>
                <w:rFonts w:hint="eastAsia"/>
                <w:kern w:val="2"/>
                <w:sz w:val="21"/>
                <w:szCs w:val="21"/>
              </w:rPr>
              <w:t>195-215ug/m</w:t>
            </w:r>
            <w:r>
              <w:rPr>
                <w:rFonts w:hint="eastAsia"/>
                <w:kern w:val="2"/>
                <w:sz w:val="21"/>
                <w:szCs w:val="21"/>
                <w:vertAlign w:val="superscript"/>
              </w:rPr>
              <w:t>3</w:t>
            </w:r>
          </w:p>
        </w:tc>
      </w:tr>
      <w:tr w14:paraId="1F01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9" w:type="pct"/>
            <w:vMerge w:val="continue"/>
            <w:vAlign w:val="center"/>
          </w:tcPr>
          <w:p w14:paraId="4245226C">
            <w:pPr>
              <w:spacing w:line="240" w:lineRule="auto"/>
              <w:ind w:firstLine="0" w:firstLineChars="0"/>
              <w:jc w:val="center"/>
              <w:rPr>
                <w:kern w:val="2"/>
                <w:sz w:val="21"/>
                <w:szCs w:val="21"/>
              </w:rPr>
            </w:pPr>
          </w:p>
        </w:tc>
        <w:tc>
          <w:tcPr>
            <w:tcW w:w="1188" w:type="pct"/>
            <w:vAlign w:val="center"/>
          </w:tcPr>
          <w:p w14:paraId="71466A7D">
            <w:pPr>
              <w:spacing w:line="240" w:lineRule="auto"/>
              <w:ind w:firstLine="0" w:firstLineChars="0"/>
              <w:jc w:val="center"/>
              <w:rPr>
                <w:kern w:val="2"/>
                <w:sz w:val="21"/>
                <w:szCs w:val="21"/>
              </w:rPr>
            </w:pPr>
            <w:r>
              <w:rPr>
                <w:rFonts w:hint="eastAsia"/>
                <w:kern w:val="2"/>
                <w:sz w:val="21"/>
                <w:szCs w:val="21"/>
              </w:rPr>
              <w:t>超标率（%）</w:t>
            </w:r>
          </w:p>
        </w:tc>
        <w:tc>
          <w:tcPr>
            <w:tcW w:w="1017" w:type="pct"/>
            <w:vAlign w:val="center"/>
          </w:tcPr>
          <w:p w14:paraId="357034C6">
            <w:pPr>
              <w:spacing w:line="240" w:lineRule="auto"/>
              <w:ind w:firstLine="0" w:firstLineChars="0"/>
              <w:jc w:val="center"/>
              <w:rPr>
                <w:kern w:val="2"/>
                <w:sz w:val="21"/>
                <w:szCs w:val="21"/>
              </w:rPr>
            </w:pPr>
            <w:r>
              <w:rPr>
                <w:rFonts w:hint="eastAsia"/>
                <w:kern w:val="2"/>
                <w:sz w:val="21"/>
                <w:szCs w:val="21"/>
              </w:rPr>
              <w:t>0</w:t>
            </w:r>
          </w:p>
        </w:tc>
        <w:tc>
          <w:tcPr>
            <w:tcW w:w="1017" w:type="pct"/>
            <w:vAlign w:val="center"/>
          </w:tcPr>
          <w:p w14:paraId="2CA5510B">
            <w:pPr>
              <w:spacing w:line="240" w:lineRule="auto"/>
              <w:ind w:firstLine="0" w:firstLineChars="0"/>
              <w:jc w:val="center"/>
              <w:rPr>
                <w:kern w:val="2"/>
                <w:sz w:val="21"/>
                <w:szCs w:val="21"/>
              </w:rPr>
            </w:pPr>
            <w:r>
              <w:rPr>
                <w:rFonts w:hint="eastAsia"/>
                <w:kern w:val="2"/>
                <w:sz w:val="21"/>
                <w:szCs w:val="21"/>
              </w:rPr>
              <w:t>0</w:t>
            </w:r>
          </w:p>
        </w:tc>
        <w:tc>
          <w:tcPr>
            <w:tcW w:w="1017" w:type="pct"/>
            <w:vAlign w:val="center"/>
          </w:tcPr>
          <w:p w14:paraId="5D22E6EA">
            <w:pPr>
              <w:spacing w:line="240" w:lineRule="auto"/>
              <w:ind w:firstLine="0" w:firstLineChars="0"/>
              <w:jc w:val="center"/>
              <w:rPr>
                <w:kern w:val="2"/>
                <w:sz w:val="21"/>
                <w:szCs w:val="21"/>
              </w:rPr>
            </w:pPr>
            <w:r>
              <w:rPr>
                <w:rFonts w:hint="eastAsia"/>
                <w:kern w:val="2"/>
                <w:sz w:val="21"/>
                <w:szCs w:val="21"/>
              </w:rPr>
              <w:t>0</w:t>
            </w:r>
          </w:p>
        </w:tc>
      </w:tr>
      <w:tr w14:paraId="4C0D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9" w:type="pct"/>
            <w:vMerge w:val="continue"/>
            <w:vAlign w:val="center"/>
          </w:tcPr>
          <w:p w14:paraId="1909D18A">
            <w:pPr>
              <w:spacing w:line="240" w:lineRule="auto"/>
              <w:ind w:firstLine="0" w:firstLineChars="0"/>
              <w:jc w:val="center"/>
              <w:rPr>
                <w:kern w:val="2"/>
                <w:sz w:val="21"/>
                <w:szCs w:val="21"/>
              </w:rPr>
            </w:pPr>
          </w:p>
        </w:tc>
        <w:tc>
          <w:tcPr>
            <w:tcW w:w="1188" w:type="pct"/>
            <w:vAlign w:val="center"/>
          </w:tcPr>
          <w:p w14:paraId="28B84BC3">
            <w:pPr>
              <w:spacing w:line="240" w:lineRule="auto"/>
              <w:ind w:firstLine="0" w:firstLineChars="0"/>
              <w:jc w:val="center"/>
              <w:rPr>
                <w:kern w:val="2"/>
                <w:sz w:val="21"/>
                <w:szCs w:val="21"/>
              </w:rPr>
            </w:pPr>
            <w:r>
              <w:rPr>
                <w:rFonts w:hint="eastAsia"/>
                <w:kern w:val="2"/>
                <w:sz w:val="21"/>
                <w:szCs w:val="21"/>
              </w:rPr>
              <w:t>最大超标倍数</w:t>
            </w:r>
          </w:p>
        </w:tc>
        <w:tc>
          <w:tcPr>
            <w:tcW w:w="1017" w:type="pct"/>
            <w:vAlign w:val="center"/>
          </w:tcPr>
          <w:p w14:paraId="413F4D42">
            <w:pPr>
              <w:spacing w:line="240" w:lineRule="auto"/>
              <w:ind w:firstLine="0" w:firstLineChars="0"/>
              <w:jc w:val="center"/>
              <w:rPr>
                <w:kern w:val="2"/>
                <w:sz w:val="21"/>
                <w:szCs w:val="21"/>
              </w:rPr>
            </w:pPr>
            <w:r>
              <w:rPr>
                <w:rFonts w:hint="eastAsia"/>
                <w:kern w:val="2"/>
                <w:sz w:val="21"/>
                <w:szCs w:val="21"/>
              </w:rPr>
              <w:t>0</w:t>
            </w:r>
          </w:p>
        </w:tc>
        <w:tc>
          <w:tcPr>
            <w:tcW w:w="1017" w:type="pct"/>
            <w:vAlign w:val="center"/>
          </w:tcPr>
          <w:p w14:paraId="3483B984">
            <w:pPr>
              <w:spacing w:line="240" w:lineRule="auto"/>
              <w:ind w:firstLine="0" w:firstLineChars="0"/>
              <w:jc w:val="center"/>
              <w:rPr>
                <w:kern w:val="2"/>
                <w:sz w:val="21"/>
                <w:szCs w:val="21"/>
              </w:rPr>
            </w:pPr>
            <w:r>
              <w:rPr>
                <w:rFonts w:hint="eastAsia"/>
                <w:kern w:val="2"/>
                <w:sz w:val="21"/>
                <w:szCs w:val="21"/>
              </w:rPr>
              <w:t>0</w:t>
            </w:r>
          </w:p>
        </w:tc>
        <w:tc>
          <w:tcPr>
            <w:tcW w:w="1017" w:type="pct"/>
            <w:vAlign w:val="center"/>
          </w:tcPr>
          <w:p w14:paraId="3C70BCF1">
            <w:pPr>
              <w:spacing w:line="240" w:lineRule="auto"/>
              <w:ind w:firstLine="0" w:firstLineChars="0"/>
              <w:jc w:val="center"/>
              <w:rPr>
                <w:kern w:val="2"/>
                <w:sz w:val="21"/>
                <w:szCs w:val="21"/>
              </w:rPr>
            </w:pPr>
            <w:r>
              <w:rPr>
                <w:rFonts w:hint="eastAsia"/>
                <w:kern w:val="2"/>
                <w:sz w:val="21"/>
                <w:szCs w:val="21"/>
              </w:rPr>
              <w:t>0</w:t>
            </w:r>
          </w:p>
        </w:tc>
      </w:tr>
      <w:tr w14:paraId="61DA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9" w:type="pct"/>
            <w:vMerge w:val="continue"/>
            <w:vAlign w:val="center"/>
          </w:tcPr>
          <w:p w14:paraId="34915CFC">
            <w:pPr>
              <w:spacing w:line="240" w:lineRule="auto"/>
              <w:ind w:firstLine="0" w:firstLineChars="0"/>
              <w:jc w:val="center"/>
              <w:rPr>
                <w:kern w:val="2"/>
                <w:sz w:val="21"/>
                <w:szCs w:val="21"/>
              </w:rPr>
            </w:pPr>
          </w:p>
        </w:tc>
        <w:tc>
          <w:tcPr>
            <w:tcW w:w="1188" w:type="pct"/>
            <w:vAlign w:val="center"/>
          </w:tcPr>
          <w:p w14:paraId="47A8EF9C">
            <w:pPr>
              <w:spacing w:line="240" w:lineRule="auto"/>
              <w:ind w:firstLine="0" w:firstLineChars="0"/>
              <w:jc w:val="center"/>
              <w:rPr>
                <w:kern w:val="2"/>
                <w:sz w:val="21"/>
                <w:szCs w:val="21"/>
              </w:rPr>
            </w:pPr>
            <w:r>
              <w:rPr>
                <w:rFonts w:hint="eastAsia"/>
                <w:kern w:val="2"/>
                <w:sz w:val="21"/>
                <w:szCs w:val="21"/>
              </w:rPr>
              <w:t>P</w:t>
            </w:r>
            <w:r>
              <w:rPr>
                <w:rFonts w:hint="eastAsia"/>
                <w:kern w:val="2"/>
                <w:sz w:val="21"/>
                <w:szCs w:val="21"/>
                <w:vertAlign w:val="subscript"/>
              </w:rPr>
              <w:t>i</w:t>
            </w:r>
          </w:p>
        </w:tc>
        <w:tc>
          <w:tcPr>
            <w:tcW w:w="1017" w:type="pct"/>
            <w:vAlign w:val="center"/>
          </w:tcPr>
          <w:p w14:paraId="36FD1920">
            <w:pPr>
              <w:spacing w:line="240" w:lineRule="auto"/>
              <w:ind w:firstLine="0" w:firstLineChars="0"/>
              <w:jc w:val="center"/>
              <w:rPr>
                <w:kern w:val="2"/>
                <w:sz w:val="21"/>
                <w:szCs w:val="21"/>
              </w:rPr>
            </w:pPr>
            <w:r>
              <w:rPr>
                <w:kern w:val="2"/>
                <w:sz w:val="21"/>
                <w:szCs w:val="21"/>
              </w:rPr>
              <w:t>30-40</w:t>
            </w:r>
          </w:p>
        </w:tc>
        <w:tc>
          <w:tcPr>
            <w:tcW w:w="1017" w:type="pct"/>
            <w:vAlign w:val="center"/>
          </w:tcPr>
          <w:p w14:paraId="26B9B838">
            <w:pPr>
              <w:spacing w:line="240" w:lineRule="auto"/>
              <w:ind w:firstLine="0" w:firstLineChars="0"/>
              <w:jc w:val="center"/>
              <w:rPr>
                <w:kern w:val="2"/>
                <w:sz w:val="21"/>
                <w:szCs w:val="21"/>
              </w:rPr>
            </w:pPr>
            <w:r>
              <w:rPr>
                <w:kern w:val="2"/>
                <w:sz w:val="21"/>
                <w:szCs w:val="21"/>
              </w:rPr>
              <w:t>50</w:t>
            </w:r>
            <w:r>
              <w:rPr>
                <w:rFonts w:hint="eastAsia"/>
                <w:kern w:val="2"/>
                <w:sz w:val="21"/>
                <w:szCs w:val="21"/>
              </w:rPr>
              <w:t>%~</w:t>
            </w:r>
            <w:r>
              <w:rPr>
                <w:kern w:val="2"/>
                <w:sz w:val="21"/>
                <w:szCs w:val="21"/>
              </w:rPr>
              <w:t>9</w:t>
            </w:r>
            <w:r>
              <w:rPr>
                <w:rFonts w:hint="eastAsia"/>
                <w:kern w:val="2"/>
                <w:sz w:val="21"/>
                <w:szCs w:val="21"/>
              </w:rPr>
              <w:t>0%</w:t>
            </w:r>
          </w:p>
        </w:tc>
        <w:tc>
          <w:tcPr>
            <w:tcW w:w="1017" w:type="pct"/>
            <w:vAlign w:val="center"/>
          </w:tcPr>
          <w:p w14:paraId="3DDCFCC8">
            <w:pPr>
              <w:spacing w:line="240" w:lineRule="auto"/>
              <w:ind w:firstLine="0" w:firstLineChars="0"/>
              <w:jc w:val="center"/>
              <w:rPr>
                <w:kern w:val="2"/>
                <w:sz w:val="21"/>
                <w:szCs w:val="21"/>
              </w:rPr>
            </w:pPr>
            <w:r>
              <w:rPr>
                <w:rFonts w:hint="eastAsia"/>
                <w:kern w:val="2"/>
                <w:sz w:val="21"/>
                <w:szCs w:val="21"/>
              </w:rPr>
              <w:t>65%~71.7%</w:t>
            </w:r>
          </w:p>
        </w:tc>
      </w:tr>
    </w:tbl>
    <w:p w14:paraId="129E71D8">
      <w:pPr>
        <w:ind w:firstLine="420"/>
        <w:rPr>
          <w:sz w:val="21"/>
          <w:szCs w:val="21"/>
        </w:rPr>
      </w:pPr>
      <w:r>
        <w:rPr>
          <w:rFonts w:hint="eastAsia"/>
          <w:sz w:val="21"/>
          <w:szCs w:val="21"/>
        </w:rPr>
        <w:t>注：硫化氢的检出限为0.005mg/m</w:t>
      </w:r>
      <w:r>
        <w:rPr>
          <w:rFonts w:hint="eastAsia"/>
          <w:sz w:val="21"/>
          <w:szCs w:val="21"/>
          <w:vertAlign w:val="superscript"/>
        </w:rPr>
        <w:t>3</w:t>
      </w:r>
      <w:r>
        <w:rPr>
          <w:rFonts w:hint="eastAsia"/>
          <w:sz w:val="21"/>
          <w:szCs w:val="21"/>
        </w:rPr>
        <w:t>。</w:t>
      </w:r>
    </w:p>
    <w:p w14:paraId="63822DC7">
      <w:pPr>
        <w:ind w:firstLine="480"/>
      </w:pPr>
      <w:r>
        <w:rPr>
          <w:rFonts w:hint="eastAsia"/>
        </w:rPr>
        <w:t>根据监测结果，特征污染物硫化氢和氨在监测时段内浓度值满足《畜禽养殖产地环境评价规范》（HJ568-2010）的标准值，硫化氢和氨在监测时段内达标，区域内硫化氢和氨空气质量现状良好。</w:t>
      </w:r>
    </w:p>
    <w:p w14:paraId="142321FB">
      <w:pPr>
        <w:ind w:firstLine="480"/>
      </w:pPr>
      <w:r>
        <w:rPr>
          <w:rFonts w:hint="eastAsia"/>
        </w:rPr>
        <w:t>综上所述，项目区域SO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、CO和O</w:t>
      </w:r>
      <w:r>
        <w:rPr>
          <w:rFonts w:hint="eastAsia"/>
          <w:vertAlign w:val="subscript"/>
        </w:rPr>
        <w:t>3</w:t>
      </w:r>
      <w:r>
        <w:rPr>
          <w:rFonts w:hint="eastAsia"/>
        </w:rPr>
        <w:t>等基本污染物浓度满足《环境空气质量标准》（GB3095-2012）二级浓度限值，环境空气特征污染物硫化氢、氨在监测时段内浓度值满足《畜禽养殖产地环境评价规范》（HJ568-2010）中的标准值，TSP满足《环境空气质量标准》（GB3095-2012）中二级标准，综合判定项目所在区域为环境空气质量达标区。</w:t>
      </w:r>
    </w:p>
    <w:p w14:paraId="22DB693C">
      <w:pPr>
        <w:pStyle w:val="5"/>
      </w:pPr>
      <w:bookmarkStart w:id="140" w:name="_Toc106663487"/>
      <w:r>
        <w:rPr>
          <w:rFonts w:hint="eastAsia"/>
        </w:rPr>
        <w:t>4.2.2地表水环境质量现状评价</w:t>
      </w:r>
      <w:bookmarkEnd w:id="140"/>
    </w:p>
    <w:p w14:paraId="5660EE79">
      <w:pPr>
        <w:ind w:firstLine="480"/>
      </w:pPr>
      <w:r>
        <w:rPr>
          <w:rFonts w:hint="eastAsia"/>
        </w:rPr>
        <w:t>根据《环境影响评价技术导则地表水环境》（HJ2.3-2018），项目地表水评价等级判定为三级B，结合本项目工程特点，运营期废水为间接排放且项目区不存在地表水，因此不对本项目地表水进行现状评价。</w:t>
      </w:r>
    </w:p>
    <w:p w14:paraId="5FA98354">
      <w:pPr>
        <w:pStyle w:val="5"/>
      </w:pPr>
      <w:bookmarkStart w:id="141" w:name="_Toc106663488"/>
      <w:r>
        <w:rPr>
          <w:rFonts w:hint="eastAsia"/>
        </w:rPr>
        <w:t>4.2.3地下水环境现状调查与评价</w:t>
      </w:r>
      <w:bookmarkEnd w:id="141"/>
    </w:p>
    <w:p w14:paraId="05201286">
      <w:pPr>
        <w:pStyle w:val="6"/>
        <w:ind w:firstLine="482"/>
      </w:pPr>
      <w:r>
        <w:rPr>
          <w:rFonts w:hint="eastAsia"/>
        </w:rPr>
        <w:t>4.2.3.1数据来源</w:t>
      </w:r>
    </w:p>
    <w:p w14:paraId="3A734C76">
      <w:pPr>
        <w:ind w:firstLine="480"/>
      </w:pPr>
      <w:r>
        <w:rPr>
          <w:rFonts w:hint="eastAsia"/>
        </w:rPr>
        <w:t>本项目地下水环境现状调查数据委托新疆国环鸿泰检验检测有限公司进行现场监测，取样水井为灌溉井。监测时间2024年03月07日。监测点基本情况见表4.2-6，地下水监测点相对于本项目的位置见附图4.2-1。</w:t>
      </w:r>
    </w:p>
    <w:p w14:paraId="74492407">
      <w:pPr>
        <w:pStyle w:val="11"/>
        <w:rPr>
          <w:sz w:val="24"/>
          <w:szCs w:val="22"/>
        </w:rPr>
      </w:pPr>
      <w:r>
        <w:rPr>
          <w:rFonts w:hint="eastAsia"/>
          <w:sz w:val="24"/>
          <w:szCs w:val="22"/>
        </w:rPr>
        <w:t>表4.2-6地下水环境质量现状监测点位表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2"/>
        <w:gridCol w:w="4420"/>
      </w:tblGrid>
      <w:tr w14:paraId="5FCB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7" w:type="pct"/>
            <w:vAlign w:val="center"/>
          </w:tcPr>
          <w:p w14:paraId="34F82697">
            <w:pPr>
              <w:spacing w:line="240" w:lineRule="auto"/>
              <w:ind w:firstLine="0" w:firstLineChars="0"/>
              <w:jc w:val="center"/>
              <w:rPr>
                <w:sz w:val="21"/>
                <w:szCs w:val="21"/>
              </w:rPr>
            </w:pPr>
            <w:r>
              <w:rPr>
                <w:rFonts w:hint="eastAsia"/>
                <w:sz w:val="21"/>
                <w:szCs w:val="21"/>
              </w:rPr>
              <w:t>监测点</w:t>
            </w:r>
          </w:p>
        </w:tc>
        <w:tc>
          <w:tcPr>
            <w:tcW w:w="2593" w:type="pct"/>
            <w:vAlign w:val="center"/>
          </w:tcPr>
          <w:p w14:paraId="2EED470C">
            <w:pPr>
              <w:spacing w:line="240" w:lineRule="auto"/>
              <w:ind w:firstLine="0" w:firstLineChars="0"/>
              <w:jc w:val="center"/>
              <w:rPr>
                <w:sz w:val="21"/>
                <w:szCs w:val="21"/>
              </w:rPr>
            </w:pPr>
            <w:r>
              <w:rPr>
                <w:rFonts w:hint="eastAsia"/>
                <w:sz w:val="21"/>
                <w:szCs w:val="21"/>
              </w:rPr>
              <w:t>坐标</w:t>
            </w:r>
          </w:p>
        </w:tc>
      </w:tr>
      <w:tr w14:paraId="75B9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14:paraId="198EF10A">
            <w:pPr>
              <w:spacing w:line="240" w:lineRule="auto"/>
              <w:ind w:firstLine="0" w:firstLineChars="0"/>
              <w:jc w:val="center"/>
              <w:rPr>
                <w:sz w:val="21"/>
                <w:szCs w:val="21"/>
              </w:rPr>
            </w:pPr>
            <w:r>
              <w:rPr>
                <w:rFonts w:hint="eastAsia"/>
                <w:sz w:val="21"/>
                <w:szCs w:val="21"/>
              </w:rPr>
              <w:t>1</w:t>
            </w:r>
            <w:r>
              <w:rPr>
                <w:sz w:val="21"/>
                <w:szCs w:val="21"/>
              </w:rPr>
              <w:t>#</w:t>
            </w:r>
            <w:r>
              <w:rPr>
                <w:rFonts w:hint="eastAsia"/>
                <w:sz w:val="21"/>
                <w:szCs w:val="21"/>
              </w:rPr>
              <w:t>：项目区内地下水井出口</w:t>
            </w:r>
          </w:p>
        </w:tc>
        <w:tc>
          <w:tcPr>
            <w:tcW w:w="2593" w:type="pct"/>
            <w:vAlign w:val="center"/>
          </w:tcPr>
          <w:p w14:paraId="1BC1D29E">
            <w:pPr>
              <w:spacing w:line="240" w:lineRule="auto"/>
              <w:ind w:firstLine="0" w:firstLineChars="0"/>
              <w:jc w:val="center"/>
              <w:rPr>
                <w:sz w:val="21"/>
                <w:szCs w:val="21"/>
              </w:rPr>
            </w:pPr>
            <w:r>
              <w:rPr>
                <w:sz w:val="21"/>
                <w:szCs w:val="21"/>
              </w:rPr>
              <w:t>E</w:t>
            </w:r>
            <w:r>
              <w:rPr>
                <w:rFonts w:hint="eastAsia"/>
                <w:sz w:val="21"/>
                <w:szCs w:val="21"/>
              </w:rPr>
              <w:t>：90</w:t>
            </w:r>
            <w:r>
              <w:rPr>
                <w:sz w:val="21"/>
                <w:szCs w:val="21"/>
              </w:rPr>
              <w:t>°</w:t>
            </w:r>
            <w:r>
              <w:rPr>
                <w:rFonts w:hint="eastAsia"/>
                <w:sz w:val="21"/>
                <w:szCs w:val="21"/>
              </w:rPr>
              <w:t>07</w:t>
            </w:r>
            <w:r>
              <w:rPr>
                <w:sz w:val="21"/>
                <w:szCs w:val="21"/>
              </w:rPr>
              <w:t>′</w:t>
            </w:r>
            <w:r>
              <w:rPr>
                <w:rFonts w:hint="eastAsia"/>
                <w:sz w:val="21"/>
                <w:szCs w:val="21"/>
              </w:rPr>
              <w:t>43.32</w:t>
            </w:r>
            <w:r>
              <w:rPr>
                <w:sz w:val="21"/>
                <w:szCs w:val="21"/>
              </w:rPr>
              <w:t>″N</w:t>
            </w:r>
            <w:r>
              <w:rPr>
                <w:rFonts w:hint="eastAsia"/>
                <w:sz w:val="21"/>
                <w:szCs w:val="21"/>
              </w:rPr>
              <w:t>：44</w:t>
            </w:r>
            <w:r>
              <w:rPr>
                <w:sz w:val="21"/>
                <w:szCs w:val="21"/>
              </w:rPr>
              <w:t>°</w:t>
            </w:r>
            <w:r>
              <w:rPr>
                <w:rFonts w:hint="eastAsia"/>
                <w:sz w:val="21"/>
                <w:szCs w:val="21"/>
              </w:rPr>
              <w:t>09</w:t>
            </w:r>
            <w:r>
              <w:rPr>
                <w:sz w:val="21"/>
                <w:szCs w:val="21"/>
              </w:rPr>
              <w:t>′</w:t>
            </w:r>
            <w:r>
              <w:rPr>
                <w:rFonts w:hint="eastAsia"/>
                <w:sz w:val="21"/>
                <w:szCs w:val="21"/>
              </w:rPr>
              <w:t>55.36</w:t>
            </w:r>
            <w:r>
              <w:rPr>
                <w:sz w:val="21"/>
                <w:szCs w:val="21"/>
              </w:rPr>
              <w:t>″</w:t>
            </w:r>
          </w:p>
        </w:tc>
      </w:tr>
      <w:tr w14:paraId="547D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14:paraId="729D39D9">
            <w:pPr>
              <w:spacing w:line="240" w:lineRule="auto"/>
              <w:ind w:firstLine="0" w:firstLineChars="0"/>
              <w:jc w:val="center"/>
              <w:rPr>
                <w:sz w:val="21"/>
                <w:szCs w:val="21"/>
              </w:rPr>
            </w:pPr>
            <w:r>
              <w:rPr>
                <w:rFonts w:hint="eastAsia"/>
                <w:sz w:val="21"/>
                <w:szCs w:val="21"/>
              </w:rPr>
              <w:t>2</w:t>
            </w:r>
            <w:r>
              <w:rPr>
                <w:sz w:val="21"/>
                <w:szCs w:val="21"/>
              </w:rPr>
              <w:t>#</w:t>
            </w:r>
            <w:r>
              <w:rPr>
                <w:rFonts w:hint="eastAsia"/>
                <w:sz w:val="21"/>
                <w:szCs w:val="21"/>
              </w:rPr>
              <w:t>：项目区上游地下水井</w:t>
            </w:r>
          </w:p>
        </w:tc>
        <w:tc>
          <w:tcPr>
            <w:tcW w:w="2593" w:type="pct"/>
            <w:vAlign w:val="center"/>
          </w:tcPr>
          <w:p w14:paraId="14C13E3C">
            <w:pPr>
              <w:spacing w:line="240" w:lineRule="auto"/>
              <w:ind w:firstLine="0" w:firstLineChars="0"/>
              <w:jc w:val="center"/>
              <w:rPr>
                <w:sz w:val="21"/>
                <w:szCs w:val="21"/>
              </w:rPr>
            </w:pPr>
            <w:r>
              <w:rPr>
                <w:sz w:val="21"/>
                <w:szCs w:val="21"/>
              </w:rPr>
              <w:t>E</w:t>
            </w:r>
            <w:r>
              <w:rPr>
                <w:rFonts w:hint="eastAsia"/>
                <w:sz w:val="21"/>
                <w:szCs w:val="21"/>
              </w:rPr>
              <w:t>：90</w:t>
            </w:r>
            <w:r>
              <w:rPr>
                <w:sz w:val="21"/>
                <w:szCs w:val="21"/>
              </w:rPr>
              <w:t>°</w:t>
            </w:r>
            <w:r>
              <w:rPr>
                <w:rFonts w:hint="eastAsia"/>
                <w:sz w:val="21"/>
                <w:szCs w:val="21"/>
              </w:rPr>
              <w:t>07</w:t>
            </w:r>
            <w:r>
              <w:rPr>
                <w:sz w:val="21"/>
                <w:szCs w:val="21"/>
              </w:rPr>
              <w:t>′</w:t>
            </w:r>
            <w:r>
              <w:rPr>
                <w:rFonts w:hint="eastAsia"/>
                <w:sz w:val="21"/>
                <w:szCs w:val="21"/>
              </w:rPr>
              <w:t>44.89</w:t>
            </w:r>
            <w:r>
              <w:rPr>
                <w:sz w:val="21"/>
                <w:szCs w:val="21"/>
              </w:rPr>
              <w:t>″N</w:t>
            </w:r>
            <w:r>
              <w:rPr>
                <w:rFonts w:hint="eastAsia"/>
                <w:sz w:val="21"/>
                <w:szCs w:val="21"/>
              </w:rPr>
              <w:t>：44</w:t>
            </w:r>
            <w:r>
              <w:rPr>
                <w:sz w:val="21"/>
                <w:szCs w:val="21"/>
              </w:rPr>
              <w:t>°</w:t>
            </w:r>
            <w:r>
              <w:rPr>
                <w:rFonts w:hint="eastAsia"/>
                <w:sz w:val="21"/>
                <w:szCs w:val="21"/>
              </w:rPr>
              <w:t>09</w:t>
            </w:r>
            <w:r>
              <w:rPr>
                <w:sz w:val="21"/>
                <w:szCs w:val="21"/>
              </w:rPr>
              <w:t>′</w:t>
            </w:r>
            <w:r>
              <w:rPr>
                <w:rFonts w:hint="eastAsia"/>
                <w:sz w:val="21"/>
                <w:szCs w:val="21"/>
              </w:rPr>
              <w:t>44.66</w:t>
            </w:r>
            <w:r>
              <w:rPr>
                <w:sz w:val="21"/>
                <w:szCs w:val="21"/>
              </w:rPr>
              <w:t>″</w:t>
            </w:r>
          </w:p>
        </w:tc>
      </w:tr>
      <w:tr w14:paraId="6489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14:paraId="6284CCB0">
            <w:pPr>
              <w:spacing w:line="240" w:lineRule="auto"/>
              <w:ind w:firstLine="0" w:firstLineChars="0"/>
              <w:jc w:val="center"/>
              <w:rPr>
                <w:sz w:val="21"/>
                <w:szCs w:val="21"/>
              </w:rPr>
            </w:pPr>
            <w:r>
              <w:rPr>
                <w:rFonts w:hint="eastAsia"/>
                <w:sz w:val="21"/>
                <w:szCs w:val="21"/>
              </w:rPr>
              <w:t>3</w:t>
            </w:r>
            <w:r>
              <w:rPr>
                <w:sz w:val="21"/>
                <w:szCs w:val="21"/>
              </w:rPr>
              <w:t>#</w:t>
            </w:r>
            <w:r>
              <w:rPr>
                <w:rFonts w:hint="eastAsia"/>
                <w:sz w:val="21"/>
                <w:szCs w:val="21"/>
              </w:rPr>
              <w:t>：项目区下游地下水井</w:t>
            </w:r>
          </w:p>
        </w:tc>
        <w:tc>
          <w:tcPr>
            <w:tcW w:w="2593" w:type="pct"/>
            <w:vAlign w:val="center"/>
          </w:tcPr>
          <w:p w14:paraId="1BAD5B06">
            <w:pPr>
              <w:spacing w:line="240" w:lineRule="auto"/>
              <w:ind w:firstLine="0" w:firstLineChars="0"/>
              <w:jc w:val="center"/>
              <w:rPr>
                <w:sz w:val="21"/>
                <w:szCs w:val="21"/>
              </w:rPr>
            </w:pPr>
            <w:r>
              <w:rPr>
                <w:sz w:val="21"/>
                <w:szCs w:val="21"/>
              </w:rPr>
              <w:t>E</w:t>
            </w:r>
            <w:r>
              <w:rPr>
                <w:rFonts w:hint="eastAsia"/>
                <w:sz w:val="21"/>
                <w:szCs w:val="21"/>
              </w:rPr>
              <w:t>：90</w:t>
            </w:r>
            <w:r>
              <w:rPr>
                <w:sz w:val="21"/>
                <w:szCs w:val="21"/>
              </w:rPr>
              <w:t>°</w:t>
            </w:r>
            <w:r>
              <w:rPr>
                <w:rFonts w:hint="eastAsia"/>
                <w:sz w:val="21"/>
                <w:szCs w:val="21"/>
              </w:rPr>
              <w:t>07</w:t>
            </w:r>
            <w:r>
              <w:rPr>
                <w:sz w:val="21"/>
                <w:szCs w:val="21"/>
              </w:rPr>
              <w:t>′</w:t>
            </w:r>
            <w:r>
              <w:rPr>
                <w:rFonts w:hint="eastAsia"/>
                <w:sz w:val="21"/>
                <w:szCs w:val="21"/>
              </w:rPr>
              <w:t>52.57</w:t>
            </w:r>
            <w:r>
              <w:rPr>
                <w:sz w:val="21"/>
                <w:szCs w:val="21"/>
              </w:rPr>
              <w:t>″</w:t>
            </w:r>
            <w:r>
              <w:rPr>
                <w:rFonts w:hint="eastAsia"/>
                <w:sz w:val="21"/>
                <w:szCs w:val="21"/>
              </w:rPr>
              <w:t>N：44</w:t>
            </w:r>
            <w:r>
              <w:rPr>
                <w:sz w:val="21"/>
                <w:szCs w:val="21"/>
              </w:rPr>
              <w:t>°</w:t>
            </w:r>
            <w:r>
              <w:rPr>
                <w:rFonts w:hint="eastAsia"/>
                <w:sz w:val="21"/>
                <w:szCs w:val="21"/>
              </w:rPr>
              <w:t>09</w:t>
            </w:r>
            <w:r>
              <w:rPr>
                <w:sz w:val="21"/>
                <w:szCs w:val="21"/>
              </w:rPr>
              <w:t>′</w:t>
            </w:r>
            <w:r>
              <w:rPr>
                <w:rFonts w:hint="eastAsia"/>
                <w:sz w:val="21"/>
                <w:szCs w:val="21"/>
              </w:rPr>
              <w:t>32.45</w:t>
            </w:r>
            <w:r>
              <w:rPr>
                <w:sz w:val="21"/>
                <w:szCs w:val="21"/>
              </w:rPr>
              <w:t>″</w:t>
            </w:r>
          </w:p>
        </w:tc>
      </w:tr>
    </w:tbl>
    <w:p w14:paraId="12FAC578">
      <w:pPr>
        <w:pStyle w:val="6"/>
        <w:ind w:firstLine="482"/>
      </w:pPr>
      <w:r>
        <w:rPr>
          <w:rFonts w:hint="eastAsia"/>
        </w:rPr>
        <w:t>4.2.3.2监测项目及分析方法</w:t>
      </w:r>
    </w:p>
    <w:p w14:paraId="39764EAE">
      <w:pPr>
        <w:ind w:firstLine="480"/>
      </w:pPr>
      <w:r>
        <w:rPr>
          <w:rFonts w:hint="eastAsia"/>
        </w:rPr>
        <w:t>监测项目：pH（无量纲）、耗氧量、阴离子表面活性剂、氨氮、挥发酚、总硬度、硝酸盐氮、硫酸盐、氟化物、氰化物、总大肠菌群、溶解性总固体、六价铬、汞、砷、硒、铜、铅、锌、镉、铁、锰等。</w:t>
      </w:r>
    </w:p>
    <w:p w14:paraId="0AB54AFF">
      <w:pPr>
        <w:ind w:firstLine="480"/>
      </w:pPr>
      <w:r>
        <w:rPr>
          <w:rFonts w:hint="eastAsia"/>
        </w:rPr>
        <w:t>本次环评水质现状监测、采样及分析方法按《地下水环境监测技术规范》（HJ/T164-2004）、《环境水质监测质量保证手册》及《水和废水监测分析方法》有关规定和要求执行。</w:t>
      </w:r>
    </w:p>
    <w:p w14:paraId="680ACDAF">
      <w:pPr>
        <w:pStyle w:val="6"/>
        <w:ind w:firstLine="482"/>
      </w:pPr>
      <w:r>
        <w:rPr>
          <w:rFonts w:hint="eastAsia"/>
        </w:rPr>
        <w:t>4.2.3.3评价标准及方法</w:t>
      </w:r>
    </w:p>
    <w:p w14:paraId="0181A37F">
      <w:pPr>
        <w:ind w:firstLine="480"/>
      </w:pPr>
      <w:r>
        <w:rPr>
          <w:rFonts w:hint="eastAsia"/>
        </w:rPr>
        <w:t>（1）</w:t>
      </w:r>
      <w:r>
        <w:t>评价标准</w:t>
      </w:r>
    </w:p>
    <w:p w14:paraId="6569E858">
      <w:pPr>
        <w:ind w:firstLine="480"/>
      </w:pPr>
      <w:r>
        <w:t>采用《地下水质量标准》（GB</w:t>
      </w:r>
      <w:r>
        <w:rPr>
          <w:rFonts w:hint="eastAsia"/>
        </w:rPr>
        <w:t>/</w:t>
      </w:r>
      <w:r>
        <w:t>T14848-2017）</w:t>
      </w:r>
      <w:r>
        <w:rPr>
          <w:rFonts w:hint="eastAsia" w:cs="宋体"/>
        </w:rPr>
        <w:t>Ⅲ</w:t>
      </w:r>
      <w:r>
        <w:t>类标准对各监测点位地下水水质进行评价</w:t>
      </w:r>
      <w:r>
        <w:rPr>
          <w:rFonts w:hint="eastAsia"/>
        </w:rPr>
        <w:t>。</w:t>
      </w:r>
    </w:p>
    <w:p w14:paraId="2B03746D">
      <w:pPr>
        <w:ind w:firstLine="480"/>
      </w:pPr>
      <w:r>
        <w:rPr>
          <w:rFonts w:hint="eastAsia"/>
        </w:rPr>
        <w:t>（2）评价方法</w:t>
      </w:r>
    </w:p>
    <w:p w14:paraId="3E965396">
      <w:pPr>
        <w:ind w:firstLine="480"/>
      </w:pPr>
      <w:r>
        <w:rPr>
          <w:rFonts w:hint="eastAsia"/>
        </w:rPr>
        <w:t>采用单项标准指数法对地下水进行评价。</w:t>
      </w:r>
    </w:p>
    <w:p w14:paraId="2811811A">
      <w:pPr>
        <w:ind w:firstLine="0" w:firstLineChars="0"/>
        <w:jc w:val="center"/>
      </w:pPr>
      <w:r>
        <w:rPr>
          <w:position w:val="-35"/>
        </w:rPr>
        <w:object>
          <v:shape id="_x0000_i1029" o:spt="75" type="#_x0000_t75" style="height:38.55pt;width:39.85pt;" o:ole="t" filled="f" o:preferrelative="t" stroked="f" coordsize="21600,21600">
            <v:path/>
            <v:fill on="f" focussize="0,0"/>
            <v:stroke on="f" joinstyle="miter"/>
            <v:imagedata r:id="rId43" o:title=""/>
            <o:lock v:ext="edit" aspectratio="t"/>
            <w10:wrap type="none"/>
            <w10:anchorlock/>
          </v:shape>
          <o:OLEObject Type="Embed" ProgID="Equation.AxMath" ShapeID="_x0000_i1029" DrawAspect="Content" ObjectID="_1468075728" r:id="rId42">
            <o:LockedField>false</o:LockedField>
          </o:OLEObject>
        </w:object>
      </w:r>
    </w:p>
    <w:p w14:paraId="42929398">
      <w:pPr>
        <w:ind w:firstLine="480"/>
      </w:pPr>
      <w:r>
        <w:rPr>
          <w:rFonts w:hint="eastAsia"/>
        </w:rPr>
        <w:t>式中：P</w:t>
      </w:r>
      <w:r>
        <w:rPr>
          <w:rFonts w:hint="eastAsia"/>
          <w:vertAlign w:val="subscript"/>
        </w:rPr>
        <w:t>i</w:t>
      </w:r>
      <w:r>
        <w:rPr>
          <w:rFonts w:hint="eastAsia"/>
        </w:rPr>
        <w:t>——第i个水质因子的标准指数，无量纲；</w:t>
      </w:r>
    </w:p>
    <w:p w14:paraId="0C34FD32">
      <w:pPr>
        <w:ind w:firstLine="1320" w:firstLineChars="550"/>
      </w:pPr>
      <w:r>
        <w:rPr>
          <w:rFonts w:hint="eastAsia"/>
        </w:rPr>
        <w:t>C</w:t>
      </w:r>
      <w:r>
        <w:rPr>
          <w:rFonts w:hint="eastAsia"/>
          <w:vertAlign w:val="subscript"/>
        </w:rPr>
        <w:t>i</w:t>
      </w:r>
      <w:r>
        <w:rPr>
          <w:rFonts w:hint="eastAsia"/>
        </w:rPr>
        <w:t>——第i个水质因子的监测浓度值，mg/L；</w:t>
      </w:r>
    </w:p>
    <w:p w14:paraId="67E22BDF">
      <w:pPr>
        <w:ind w:firstLine="1320" w:firstLineChars="550"/>
      </w:pPr>
      <w:r>
        <w:rPr>
          <w:rFonts w:hint="eastAsia"/>
        </w:rPr>
        <w:t>C</w:t>
      </w:r>
      <w:r>
        <w:rPr>
          <w:rFonts w:hint="eastAsia"/>
          <w:vertAlign w:val="subscript"/>
        </w:rPr>
        <w:t>si</w:t>
      </w:r>
      <w:r>
        <w:rPr>
          <w:rFonts w:hint="eastAsia"/>
        </w:rPr>
        <w:t>——第i个水质因子的标准浓度值，mg/L。</w:t>
      </w:r>
    </w:p>
    <w:p w14:paraId="6AB9F981">
      <w:pPr>
        <w:ind w:firstLine="480"/>
      </w:pPr>
      <w:r>
        <w:rPr>
          <w:rFonts w:hint="eastAsia"/>
        </w:rPr>
        <w:t>pH的标准指数为：</w:t>
      </w:r>
    </w:p>
    <w:p w14:paraId="7BA5AE7D">
      <w:pPr>
        <w:ind w:firstLine="0" w:firstLineChars="0"/>
        <w:jc w:val="center"/>
      </w:pPr>
      <w:r>
        <w:rPr>
          <w:position w:val="-35"/>
        </w:rPr>
        <w:object>
          <v:shape id="_x0000_i1030" o:spt="75" type="#_x0000_t75" style="height:39.85pt;width:159.45pt;" o:ole="t" filled="f" o:preferrelative="t" stroked="f" coordsize="21600,21600">
            <v:path/>
            <v:fill on="f" focussize="0,0"/>
            <v:stroke on="f" joinstyle="miter"/>
            <v:imagedata r:id="rId45" o:title=""/>
            <o:lock v:ext="edit" aspectratio="t"/>
            <w10:wrap type="none"/>
            <w10:anchorlock/>
          </v:shape>
          <o:OLEObject Type="Embed" ProgID="Equation.AxMath" ShapeID="_x0000_i1030" DrawAspect="Content" ObjectID="_1468075729" r:id="rId44">
            <o:LockedField>false</o:LockedField>
          </o:OLEObject>
        </w:object>
      </w:r>
    </w:p>
    <w:p w14:paraId="1E23EF71">
      <w:pPr>
        <w:ind w:firstLine="0" w:firstLineChars="0"/>
        <w:jc w:val="center"/>
      </w:pPr>
      <w:r>
        <w:rPr>
          <w:position w:val="-35"/>
        </w:rPr>
        <w:object>
          <v:shape id="_x0000_i1031" o:spt="75" type="#_x0000_t75" style="height:39pt;width:156.85pt;" o:ole="t" filled="f" o:preferrelative="t" stroked="f" coordsize="21600,21600">
            <v:path/>
            <v:fill on="f" focussize="0,0"/>
            <v:stroke on="f" joinstyle="miter"/>
            <v:imagedata r:id="rId47" o:title=""/>
            <o:lock v:ext="edit" aspectratio="t"/>
            <w10:wrap type="none"/>
            <w10:anchorlock/>
          </v:shape>
          <o:OLEObject Type="Embed" ProgID="Equation.AxMath" ShapeID="_x0000_i1031" DrawAspect="Content" ObjectID="_1468075730" r:id="rId46">
            <o:LockedField>false</o:LockedField>
          </o:OLEObject>
        </w:object>
      </w:r>
    </w:p>
    <w:p w14:paraId="63A5899B">
      <w:pPr>
        <w:ind w:firstLine="480"/>
      </w:pPr>
      <w:r>
        <w:rPr>
          <w:rFonts w:hint="eastAsia"/>
        </w:rPr>
        <w:t>式中：P</w:t>
      </w:r>
      <w:r>
        <w:rPr>
          <w:rFonts w:hint="eastAsia"/>
          <w:vertAlign w:val="subscript"/>
        </w:rPr>
        <w:t>pH</w:t>
      </w:r>
      <w:r>
        <w:rPr>
          <w:rFonts w:hint="eastAsia"/>
        </w:rPr>
        <w:t>——pH的标准指数，无量纲；</w:t>
      </w:r>
    </w:p>
    <w:p w14:paraId="609CEB0E">
      <w:pPr>
        <w:ind w:firstLine="1200" w:firstLineChars="500"/>
      </w:pPr>
      <w:r>
        <w:rPr>
          <w:rFonts w:hint="eastAsia"/>
        </w:rPr>
        <w:t>pH—pH监测值；</w:t>
      </w:r>
    </w:p>
    <w:p w14:paraId="7EF25990">
      <w:pPr>
        <w:ind w:firstLine="1200" w:firstLineChars="500"/>
      </w:pPr>
      <w:r>
        <w:rPr>
          <w:rFonts w:hint="eastAsia"/>
        </w:rPr>
        <w:t>pH</w:t>
      </w:r>
      <w:r>
        <w:rPr>
          <w:rFonts w:hint="eastAsia"/>
          <w:vertAlign w:val="subscript"/>
        </w:rPr>
        <w:t>su</w:t>
      </w:r>
      <w:r>
        <w:rPr>
          <w:rFonts w:hint="eastAsia"/>
        </w:rPr>
        <w:t>——标准中pH的上限值；</w:t>
      </w:r>
    </w:p>
    <w:p w14:paraId="3262F594">
      <w:pPr>
        <w:ind w:firstLine="1200" w:firstLineChars="500"/>
      </w:pPr>
      <w:r>
        <w:rPr>
          <w:rFonts w:hint="eastAsia"/>
        </w:rPr>
        <w:t>pH</w:t>
      </w:r>
      <w:r>
        <w:rPr>
          <w:rFonts w:hint="eastAsia"/>
          <w:vertAlign w:val="subscript"/>
        </w:rPr>
        <w:t>sd</w:t>
      </w:r>
      <w:r>
        <w:rPr>
          <w:rFonts w:hint="eastAsia"/>
        </w:rPr>
        <w:t>——标准中pH的下限值；</w:t>
      </w:r>
    </w:p>
    <w:p w14:paraId="197409CE">
      <w:pPr>
        <w:ind w:firstLine="480"/>
      </w:pPr>
      <w:r>
        <w:rPr>
          <w:rFonts w:hint="eastAsia"/>
        </w:rPr>
        <w:t>当P</w:t>
      </w:r>
      <w:r>
        <w:rPr>
          <w:rFonts w:hint="eastAsia"/>
          <w:vertAlign w:val="subscript"/>
        </w:rPr>
        <w:t>pH</w:t>
      </w:r>
      <w:r>
        <w:rPr>
          <w:rFonts w:hint="eastAsia"/>
        </w:rPr>
        <w:t>＞1时，表明该水质参数超过了规定的水质标准，P</w:t>
      </w:r>
      <w:r>
        <w:rPr>
          <w:rFonts w:hint="eastAsia"/>
          <w:vertAlign w:val="subscript"/>
        </w:rPr>
        <w:t>pH</w:t>
      </w:r>
      <w:r>
        <w:rPr>
          <w:rFonts w:hint="eastAsia"/>
        </w:rPr>
        <w:t>＜1时，说明该水质可以达到规定的水质标准。</w:t>
      </w:r>
    </w:p>
    <w:p w14:paraId="13A8F1EA">
      <w:pPr>
        <w:pStyle w:val="6"/>
        <w:ind w:firstLine="482"/>
      </w:pPr>
      <w:r>
        <w:rPr>
          <w:rFonts w:hint="eastAsia"/>
        </w:rPr>
        <w:t>4.2.3.4评价结果</w:t>
      </w:r>
    </w:p>
    <w:p w14:paraId="53555BD3">
      <w:pPr>
        <w:ind w:firstLine="480"/>
      </w:pPr>
      <w:r>
        <w:rPr>
          <w:rFonts w:hint="eastAsia"/>
        </w:rPr>
        <w:t>地下水现状评价结果见表4.2-7。</w:t>
      </w:r>
    </w:p>
    <w:p w14:paraId="0CB081E0">
      <w:pPr>
        <w:pStyle w:val="11"/>
        <w:rPr>
          <w:sz w:val="24"/>
          <w:szCs w:val="22"/>
        </w:rPr>
      </w:pPr>
      <w:r>
        <w:rPr>
          <w:rFonts w:hint="eastAsia"/>
          <w:sz w:val="24"/>
          <w:szCs w:val="22"/>
        </w:rPr>
        <w:t>表4.2-7地下水现状评价结果</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60"/>
        <w:gridCol w:w="1134"/>
        <w:gridCol w:w="992"/>
        <w:gridCol w:w="992"/>
        <w:gridCol w:w="992"/>
        <w:gridCol w:w="1276"/>
        <w:gridCol w:w="788"/>
      </w:tblGrid>
      <w:tr w14:paraId="1488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Merge w:val="restart"/>
            <w:vAlign w:val="center"/>
          </w:tcPr>
          <w:p w14:paraId="6A732824">
            <w:pPr>
              <w:spacing w:line="240" w:lineRule="auto"/>
              <w:ind w:firstLine="0" w:firstLineChars="0"/>
              <w:jc w:val="center"/>
              <w:rPr>
                <w:sz w:val="21"/>
                <w:szCs w:val="21"/>
              </w:rPr>
            </w:pPr>
            <w:r>
              <w:rPr>
                <w:rFonts w:hint="eastAsia"/>
                <w:sz w:val="21"/>
                <w:szCs w:val="21"/>
              </w:rPr>
              <w:t>序号</w:t>
            </w:r>
          </w:p>
        </w:tc>
        <w:tc>
          <w:tcPr>
            <w:tcW w:w="1560" w:type="dxa"/>
            <w:vMerge w:val="restart"/>
            <w:vAlign w:val="center"/>
          </w:tcPr>
          <w:p w14:paraId="5ED7EF01">
            <w:pPr>
              <w:spacing w:line="240" w:lineRule="auto"/>
              <w:ind w:firstLine="0" w:firstLineChars="0"/>
              <w:jc w:val="center"/>
              <w:rPr>
                <w:sz w:val="21"/>
                <w:szCs w:val="21"/>
              </w:rPr>
            </w:pPr>
            <w:r>
              <w:rPr>
                <w:rFonts w:hint="eastAsia"/>
                <w:sz w:val="21"/>
                <w:szCs w:val="21"/>
              </w:rPr>
              <w:t>检测项目</w:t>
            </w:r>
          </w:p>
        </w:tc>
        <w:tc>
          <w:tcPr>
            <w:tcW w:w="1134" w:type="dxa"/>
            <w:vMerge w:val="restart"/>
            <w:vAlign w:val="center"/>
          </w:tcPr>
          <w:p w14:paraId="1CF8D1DB">
            <w:pPr>
              <w:spacing w:line="240" w:lineRule="auto"/>
              <w:ind w:firstLine="0" w:firstLineChars="0"/>
              <w:jc w:val="center"/>
              <w:rPr>
                <w:sz w:val="21"/>
                <w:szCs w:val="21"/>
              </w:rPr>
            </w:pPr>
            <w:r>
              <w:rPr>
                <w:rFonts w:hint="eastAsia"/>
                <w:sz w:val="21"/>
                <w:szCs w:val="21"/>
              </w:rPr>
              <w:t>单位</w:t>
            </w:r>
          </w:p>
        </w:tc>
        <w:tc>
          <w:tcPr>
            <w:tcW w:w="2976" w:type="dxa"/>
            <w:gridSpan w:val="3"/>
            <w:vAlign w:val="center"/>
          </w:tcPr>
          <w:p w14:paraId="109785E5">
            <w:pPr>
              <w:spacing w:line="240" w:lineRule="auto"/>
              <w:ind w:firstLine="0" w:firstLineChars="0"/>
              <w:jc w:val="center"/>
              <w:rPr>
                <w:sz w:val="21"/>
                <w:szCs w:val="21"/>
              </w:rPr>
            </w:pPr>
            <w:r>
              <w:rPr>
                <w:rFonts w:hint="eastAsia"/>
                <w:sz w:val="21"/>
                <w:szCs w:val="21"/>
              </w:rPr>
              <w:t>检测结果</w:t>
            </w:r>
          </w:p>
        </w:tc>
        <w:tc>
          <w:tcPr>
            <w:tcW w:w="2064" w:type="dxa"/>
            <w:gridSpan w:val="2"/>
            <w:vAlign w:val="center"/>
          </w:tcPr>
          <w:p w14:paraId="1FF852AC">
            <w:pPr>
              <w:spacing w:line="240" w:lineRule="auto"/>
              <w:ind w:firstLine="0" w:firstLineChars="0"/>
              <w:jc w:val="center"/>
              <w:rPr>
                <w:sz w:val="21"/>
                <w:szCs w:val="21"/>
              </w:rPr>
            </w:pPr>
            <w:r>
              <w:rPr>
                <w:rFonts w:hint="eastAsia"/>
                <w:sz w:val="21"/>
                <w:szCs w:val="21"/>
              </w:rPr>
              <w:t>评价结果</w:t>
            </w:r>
          </w:p>
        </w:tc>
      </w:tr>
      <w:tr w14:paraId="37A7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562" w:type="dxa"/>
            <w:vMerge w:val="continue"/>
            <w:vAlign w:val="center"/>
          </w:tcPr>
          <w:p w14:paraId="4DA38382">
            <w:pPr>
              <w:spacing w:line="240" w:lineRule="auto"/>
              <w:ind w:firstLine="0" w:firstLineChars="0"/>
              <w:jc w:val="center"/>
              <w:rPr>
                <w:sz w:val="21"/>
                <w:szCs w:val="21"/>
              </w:rPr>
            </w:pPr>
          </w:p>
        </w:tc>
        <w:tc>
          <w:tcPr>
            <w:tcW w:w="1560" w:type="dxa"/>
            <w:vMerge w:val="continue"/>
            <w:vAlign w:val="center"/>
          </w:tcPr>
          <w:p w14:paraId="14F8F7D5">
            <w:pPr>
              <w:spacing w:line="240" w:lineRule="auto"/>
              <w:ind w:firstLine="0" w:firstLineChars="0"/>
              <w:jc w:val="center"/>
              <w:rPr>
                <w:sz w:val="21"/>
                <w:szCs w:val="21"/>
              </w:rPr>
            </w:pPr>
          </w:p>
        </w:tc>
        <w:tc>
          <w:tcPr>
            <w:tcW w:w="1134" w:type="dxa"/>
            <w:vMerge w:val="continue"/>
            <w:vAlign w:val="center"/>
          </w:tcPr>
          <w:p w14:paraId="2E48658B">
            <w:pPr>
              <w:spacing w:line="240" w:lineRule="auto"/>
              <w:ind w:firstLine="0" w:firstLineChars="0"/>
              <w:jc w:val="center"/>
              <w:rPr>
                <w:sz w:val="21"/>
                <w:szCs w:val="21"/>
              </w:rPr>
            </w:pPr>
          </w:p>
        </w:tc>
        <w:tc>
          <w:tcPr>
            <w:tcW w:w="992" w:type="dxa"/>
            <w:vAlign w:val="center"/>
          </w:tcPr>
          <w:p w14:paraId="2A6C640F">
            <w:pPr>
              <w:spacing w:line="240" w:lineRule="auto"/>
              <w:ind w:firstLine="0" w:firstLineChars="0"/>
              <w:jc w:val="center"/>
              <w:rPr>
                <w:sz w:val="21"/>
                <w:szCs w:val="21"/>
              </w:rPr>
            </w:pPr>
            <w:r>
              <w:rPr>
                <w:rFonts w:hint="eastAsia"/>
                <w:sz w:val="21"/>
                <w:szCs w:val="21"/>
              </w:rPr>
              <w:t>1</w:t>
            </w:r>
            <w:r>
              <w:rPr>
                <w:sz w:val="21"/>
                <w:szCs w:val="21"/>
              </w:rPr>
              <w:t>#</w:t>
            </w:r>
            <w:r>
              <w:rPr>
                <w:rFonts w:hint="eastAsia"/>
                <w:sz w:val="21"/>
                <w:szCs w:val="21"/>
              </w:rPr>
              <w:t>：项目区</w:t>
            </w:r>
          </w:p>
        </w:tc>
        <w:tc>
          <w:tcPr>
            <w:tcW w:w="992" w:type="dxa"/>
            <w:vAlign w:val="center"/>
          </w:tcPr>
          <w:p w14:paraId="1B474FC5">
            <w:pPr>
              <w:spacing w:line="240" w:lineRule="auto"/>
              <w:ind w:firstLine="0" w:firstLineChars="0"/>
              <w:jc w:val="center"/>
              <w:rPr>
                <w:sz w:val="21"/>
                <w:szCs w:val="21"/>
              </w:rPr>
            </w:pPr>
            <w:r>
              <w:rPr>
                <w:rFonts w:hint="eastAsia"/>
                <w:sz w:val="21"/>
                <w:szCs w:val="21"/>
              </w:rPr>
              <w:t>2</w:t>
            </w:r>
            <w:r>
              <w:rPr>
                <w:sz w:val="21"/>
                <w:szCs w:val="21"/>
              </w:rPr>
              <w:t>#</w:t>
            </w:r>
            <w:r>
              <w:rPr>
                <w:rFonts w:hint="eastAsia"/>
                <w:sz w:val="21"/>
                <w:szCs w:val="21"/>
              </w:rPr>
              <w:t>：项目区</w:t>
            </w:r>
          </w:p>
        </w:tc>
        <w:tc>
          <w:tcPr>
            <w:tcW w:w="992" w:type="dxa"/>
            <w:vAlign w:val="center"/>
          </w:tcPr>
          <w:p w14:paraId="19CBF483">
            <w:pPr>
              <w:spacing w:line="240" w:lineRule="auto"/>
              <w:ind w:firstLine="0" w:firstLineChars="0"/>
              <w:jc w:val="center"/>
              <w:rPr>
                <w:sz w:val="21"/>
                <w:szCs w:val="21"/>
              </w:rPr>
            </w:pPr>
            <w:r>
              <w:rPr>
                <w:rFonts w:hint="eastAsia"/>
                <w:sz w:val="21"/>
                <w:szCs w:val="21"/>
              </w:rPr>
              <w:t>3</w:t>
            </w:r>
            <w:r>
              <w:rPr>
                <w:sz w:val="21"/>
                <w:szCs w:val="21"/>
              </w:rPr>
              <w:t>#</w:t>
            </w:r>
            <w:r>
              <w:rPr>
                <w:rFonts w:hint="eastAsia"/>
                <w:sz w:val="21"/>
                <w:szCs w:val="21"/>
              </w:rPr>
              <w:t>：项目区</w:t>
            </w:r>
          </w:p>
        </w:tc>
        <w:tc>
          <w:tcPr>
            <w:tcW w:w="1276" w:type="dxa"/>
            <w:vAlign w:val="center"/>
          </w:tcPr>
          <w:p w14:paraId="4070050E">
            <w:pPr>
              <w:spacing w:line="240" w:lineRule="auto"/>
              <w:ind w:firstLine="0" w:firstLineChars="0"/>
              <w:jc w:val="center"/>
              <w:rPr>
                <w:sz w:val="21"/>
                <w:szCs w:val="21"/>
              </w:rPr>
            </w:pPr>
            <w:r>
              <w:rPr>
                <w:rFonts w:hint="eastAsia"/>
                <w:sz w:val="21"/>
                <w:szCs w:val="21"/>
              </w:rPr>
              <w:t>标准限值</w:t>
            </w:r>
          </w:p>
          <w:p w14:paraId="247EBE28">
            <w:pPr>
              <w:spacing w:line="240" w:lineRule="auto"/>
              <w:ind w:firstLine="0" w:firstLineChars="0"/>
              <w:jc w:val="center"/>
              <w:rPr>
                <w:sz w:val="21"/>
                <w:szCs w:val="21"/>
              </w:rPr>
            </w:pPr>
            <w:r>
              <w:rPr>
                <w:rFonts w:hint="eastAsia"/>
                <w:sz w:val="21"/>
                <w:szCs w:val="21"/>
              </w:rPr>
              <w:t>（mg/L）</w:t>
            </w:r>
          </w:p>
        </w:tc>
        <w:tc>
          <w:tcPr>
            <w:tcW w:w="788" w:type="dxa"/>
            <w:vAlign w:val="center"/>
          </w:tcPr>
          <w:p w14:paraId="2D51D6BB">
            <w:pPr>
              <w:spacing w:line="240" w:lineRule="auto"/>
              <w:ind w:firstLine="0" w:firstLineChars="0"/>
              <w:jc w:val="center"/>
              <w:rPr>
                <w:sz w:val="21"/>
                <w:szCs w:val="21"/>
              </w:rPr>
            </w:pPr>
            <w:r>
              <w:rPr>
                <w:rFonts w:hint="eastAsia"/>
                <w:sz w:val="21"/>
                <w:szCs w:val="21"/>
              </w:rPr>
              <w:t>是否合格</w:t>
            </w:r>
          </w:p>
        </w:tc>
      </w:tr>
      <w:tr w14:paraId="7C3E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301B179E">
            <w:pPr>
              <w:ind w:firstLine="0" w:firstLineChars="0"/>
              <w:jc w:val="center"/>
              <w:rPr>
                <w:sz w:val="21"/>
                <w:szCs w:val="21"/>
              </w:rPr>
            </w:pPr>
            <w:r>
              <w:rPr>
                <w:rFonts w:hint="eastAsia"/>
                <w:sz w:val="21"/>
                <w:szCs w:val="21"/>
              </w:rPr>
              <w:t>1</w:t>
            </w:r>
          </w:p>
        </w:tc>
        <w:tc>
          <w:tcPr>
            <w:tcW w:w="1560" w:type="dxa"/>
            <w:vAlign w:val="center"/>
          </w:tcPr>
          <w:p w14:paraId="1A65D6C7">
            <w:pPr>
              <w:ind w:firstLine="0" w:firstLineChars="0"/>
              <w:jc w:val="center"/>
              <w:rPr>
                <w:sz w:val="21"/>
                <w:szCs w:val="21"/>
              </w:rPr>
            </w:pPr>
            <w:r>
              <w:rPr>
                <w:sz w:val="21"/>
                <w:szCs w:val="21"/>
              </w:rPr>
              <w:t>pH</w:t>
            </w:r>
          </w:p>
        </w:tc>
        <w:tc>
          <w:tcPr>
            <w:tcW w:w="1134" w:type="dxa"/>
            <w:vAlign w:val="center"/>
          </w:tcPr>
          <w:p w14:paraId="4FED439E">
            <w:pPr>
              <w:ind w:firstLine="0" w:firstLineChars="0"/>
              <w:jc w:val="center"/>
              <w:rPr>
                <w:sz w:val="21"/>
                <w:szCs w:val="21"/>
              </w:rPr>
            </w:pPr>
            <w:r>
              <w:rPr>
                <w:sz w:val="21"/>
                <w:szCs w:val="21"/>
              </w:rPr>
              <w:t>无量纲</w:t>
            </w:r>
          </w:p>
        </w:tc>
        <w:tc>
          <w:tcPr>
            <w:tcW w:w="992" w:type="dxa"/>
            <w:vAlign w:val="center"/>
          </w:tcPr>
          <w:p w14:paraId="5C47EE7F">
            <w:pPr>
              <w:snapToGrid w:val="0"/>
              <w:ind w:firstLine="0" w:firstLineChars="0"/>
              <w:jc w:val="center"/>
              <w:rPr>
                <w:sz w:val="21"/>
                <w:szCs w:val="21"/>
              </w:rPr>
            </w:pPr>
            <w:r>
              <w:rPr>
                <w:rFonts w:hint="eastAsia"/>
                <w:sz w:val="21"/>
                <w:szCs w:val="21"/>
              </w:rPr>
              <w:t>7.3</w:t>
            </w:r>
          </w:p>
        </w:tc>
        <w:tc>
          <w:tcPr>
            <w:tcW w:w="992" w:type="dxa"/>
            <w:vAlign w:val="center"/>
          </w:tcPr>
          <w:p w14:paraId="4E955FC5">
            <w:pPr>
              <w:snapToGrid w:val="0"/>
              <w:ind w:firstLine="0" w:firstLineChars="0"/>
              <w:jc w:val="center"/>
              <w:rPr>
                <w:sz w:val="21"/>
                <w:szCs w:val="21"/>
              </w:rPr>
            </w:pPr>
            <w:r>
              <w:rPr>
                <w:rFonts w:hint="eastAsia"/>
                <w:sz w:val="21"/>
                <w:szCs w:val="21"/>
              </w:rPr>
              <w:t>7.2</w:t>
            </w:r>
          </w:p>
        </w:tc>
        <w:tc>
          <w:tcPr>
            <w:tcW w:w="992" w:type="dxa"/>
            <w:vAlign w:val="center"/>
          </w:tcPr>
          <w:p w14:paraId="5387D60B">
            <w:pPr>
              <w:snapToGrid w:val="0"/>
              <w:ind w:firstLine="0" w:firstLineChars="0"/>
              <w:jc w:val="center"/>
              <w:rPr>
                <w:sz w:val="21"/>
                <w:szCs w:val="21"/>
              </w:rPr>
            </w:pPr>
            <w:r>
              <w:rPr>
                <w:rFonts w:hint="eastAsia"/>
                <w:sz w:val="21"/>
                <w:szCs w:val="21"/>
              </w:rPr>
              <w:t>7.4</w:t>
            </w:r>
          </w:p>
        </w:tc>
        <w:tc>
          <w:tcPr>
            <w:tcW w:w="1276" w:type="dxa"/>
            <w:vAlign w:val="center"/>
          </w:tcPr>
          <w:p w14:paraId="1D2B36CB">
            <w:pPr>
              <w:ind w:firstLine="0" w:firstLineChars="0"/>
              <w:jc w:val="center"/>
              <w:rPr>
                <w:sz w:val="21"/>
                <w:szCs w:val="21"/>
              </w:rPr>
            </w:pPr>
            <w:r>
              <w:rPr>
                <w:rFonts w:hint="eastAsia"/>
                <w:sz w:val="21"/>
                <w:szCs w:val="21"/>
              </w:rPr>
              <w:t>6.5~8.5</w:t>
            </w:r>
          </w:p>
        </w:tc>
        <w:tc>
          <w:tcPr>
            <w:tcW w:w="788" w:type="dxa"/>
            <w:vAlign w:val="center"/>
          </w:tcPr>
          <w:p w14:paraId="1DE1D893">
            <w:pPr>
              <w:ind w:firstLine="0" w:firstLineChars="0"/>
              <w:jc w:val="center"/>
              <w:rPr>
                <w:sz w:val="21"/>
                <w:szCs w:val="21"/>
              </w:rPr>
            </w:pPr>
            <w:r>
              <w:rPr>
                <w:rFonts w:hint="eastAsia"/>
                <w:sz w:val="21"/>
                <w:szCs w:val="21"/>
              </w:rPr>
              <w:t>合格</w:t>
            </w:r>
          </w:p>
        </w:tc>
      </w:tr>
      <w:tr w14:paraId="7665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79B12DB7">
            <w:pPr>
              <w:ind w:firstLine="0" w:firstLineChars="0"/>
              <w:jc w:val="center"/>
              <w:rPr>
                <w:sz w:val="21"/>
                <w:szCs w:val="21"/>
              </w:rPr>
            </w:pPr>
            <w:r>
              <w:rPr>
                <w:rFonts w:hint="eastAsia"/>
                <w:sz w:val="21"/>
                <w:szCs w:val="21"/>
              </w:rPr>
              <w:t>2</w:t>
            </w:r>
          </w:p>
        </w:tc>
        <w:tc>
          <w:tcPr>
            <w:tcW w:w="1560" w:type="dxa"/>
            <w:vAlign w:val="center"/>
          </w:tcPr>
          <w:p w14:paraId="1D33CFE0">
            <w:pPr>
              <w:ind w:firstLine="0" w:firstLineChars="0"/>
              <w:jc w:val="center"/>
              <w:rPr>
                <w:sz w:val="21"/>
                <w:szCs w:val="21"/>
              </w:rPr>
            </w:pPr>
            <w:r>
              <w:rPr>
                <w:rFonts w:hint="eastAsia"/>
                <w:bCs/>
                <w:sz w:val="21"/>
                <w:szCs w:val="24"/>
              </w:rPr>
              <w:t>挥发酚</w:t>
            </w:r>
          </w:p>
        </w:tc>
        <w:tc>
          <w:tcPr>
            <w:tcW w:w="1134" w:type="dxa"/>
            <w:vAlign w:val="center"/>
          </w:tcPr>
          <w:p w14:paraId="67BA8ABB">
            <w:pPr>
              <w:ind w:firstLine="0" w:firstLineChars="0"/>
              <w:jc w:val="center"/>
              <w:rPr>
                <w:sz w:val="21"/>
                <w:szCs w:val="21"/>
              </w:rPr>
            </w:pPr>
            <w:r>
              <w:rPr>
                <w:sz w:val="21"/>
                <w:szCs w:val="21"/>
              </w:rPr>
              <w:t>mg/L</w:t>
            </w:r>
          </w:p>
        </w:tc>
        <w:tc>
          <w:tcPr>
            <w:tcW w:w="992" w:type="dxa"/>
            <w:vAlign w:val="center"/>
          </w:tcPr>
          <w:p w14:paraId="7A691746">
            <w:pPr>
              <w:snapToGrid w:val="0"/>
              <w:ind w:firstLine="0" w:firstLineChars="0"/>
              <w:jc w:val="center"/>
              <w:rPr>
                <w:sz w:val="21"/>
                <w:szCs w:val="21"/>
              </w:rPr>
            </w:pPr>
            <w:r>
              <w:rPr>
                <w:sz w:val="21"/>
                <w:szCs w:val="21"/>
                <w:lang w:bidi="ar"/>
              </w:rPr>
              <w:t>&lt;</w:t>
            </w:r>
            <w:r>
              <w:rPr>
                <w:rFonts w:hint="eastAsia"/>
                <w:sz w:val="21"/>
                <w:szCs w:val="21"/>
                <w:lang w:bidi="ar"/>
              </w:rPr>
              <w:t>0.0003</w:t>
            </w:r>
          </w:p>
        </w:tc>
        <w:tc>
          <w:tcPr>
            <w:tcW w:w="992" w:type="dxa"/>
            <w:vAlign w:val="center"/>
          </w:tcPr>
          <w:p w14:paraId="2CAED57D">
            <w:pPr>
              <w:snapToGrid w:val="0"/>
              <w:ind w:firstLine="0" w:firstLineChars="0"/>
              <w:jc w:val="center"/>
              <w:rPr>
                <w:sz w:val="21"/>
                <w:szCs w:val="21"/>
              </w:rPr>
            </w:pPr>
            <w:r>
              <w:rPr>
                <w:sz w:val="21"/>
                <w:szCs w:val="21"/>
                <w:lang w:bidi="ar"/>
              </w:rPr>
              <w:t>&lt;</w:t>
            </w:r>
            <w:r>
              <w:rPr>
                <w:rFonts w:hint="eastAsia"/>
                <w:sz w:val="21"/>
                <w:szCs w:val="21"/>
                <w:lang w:bidi="ar"/>
              </w:rPr>
              <w:t>0.0003</w:t>
            </w:r>
          </w:p>
        </w:tc>
        <w:tc>
          <w:tcPr>
            <w:tcW w:w="992" w:type="dxa"/>
            <w:vAlign w:val="center"/>
          </w:tcPr>
          <w:p w14:paraId="4A40D608">
            <w:pPr>
              <w:snapToGrid w:val="0"/>
              <w:ind w:firstLine="0" w:firstLineChars="0"/>
              <w:jc w:val="center"/>
              <w:rPr>
                <w:sz w:val="21"/>
                <w:szCs w:val="21"/>
              </w:rPr>
            </w:pPr>
            <w:r>
              <w:rPr>
                <w:sz w:val="21"/>
                <w:szCs w:val="21"/>
                <w:lang w:bidi="ar"/>
              </w:rPr>
              <w:t>&lt;</w:t>
            </w:r>
            <w:r>
              <w:rPr>
                <w:rFonts w:hint="eastAsia"/>
                <w:sz w:val="21"/>
                <w:szCs w:val="21"/>
                <w:lang w:bidi="ar"/>
              </w:rPr>
              <w:t>0.0003</w:t>
            </w:r>
          </w:p>
        </w:tc>
        <w:tc>
          <w:tcPr>
            <w:tcW w:w="1276" w:type="dxa"/>
            <w:vAlign w:val="center"/>
          </w:tcPr>
          <w:p w14:paraId="345FBE88">
            <w:pPr>
              <w:ind w:firstLine="0" w:firstLineChars="0"/>
              <w:jc w:val="center"/>
              <w:rPr>
                <w:sz w:val="21"/>
                <w:szCs w:val="21"/>
              </w:rPr>
            </w:pPr>
            <w:r>
              <w:rPr>
                <w:sz w:val="21"/>
                <w:szCs w:val="21"/>
              </w:rPr>
              <w:t>≤</w:t>
            </w:r>
            <w:r>
              <w:rPr>
                <w:rFonts w:hint="eastAsia"/>
                <w:sz w:val="21"/>
                <w:szCs w:val="21"/>
              </w:rPr>
              <w:t>0.002</w:t>
            </w:r>
            <w:r>
              <w:rPr>
                <w:sz w:val="21"/>
                <w:szCs w:val="21"/>
              </w:rPr>
              <w:t>mg/L</w:t>
            </w:r>
          </w:p>
        </w:tc>
        <w:tc>
          <w:tcPr>
            <w:tcW w:w="788" w:type="dxa"/>
            <w:vAlign w:val="center"/>
          </w:tcPr>
          <w:p w14:paraId="581D4823">
            <w:pPr>
              <w:ind w:firstLine="0" w:firstLineChars="0"/>
              <w:jc w:val="center"/>
              <w:rPr>
                <w:sz w:val="21"/>
                <w:szCs w:val="21"/>
              </w:rPr>
            </w:pPr>
            <w:r>
              <w:rPr>
                <w:rFonts w:hint="eastAsia"/>
                <w:sz w:val="21"/>
                <w:szCs w:val="21"/>
              </w:rPr>
              <w:t>合格</w:t>
            </w:r>
          </w:p>
        </w:tc>
      </w:tr>
      <w:tr w14:paraId="6D7D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28475848">
            <w:pPr>
              <w:ind w:firstLine="0" w:firstLineChars="0"/>
              <w:jc w:val="center"/>
              <w:rPr>
                <w:sz w:val="21"/>
                <w:szCs w:val="21"/>
              </w:rPr>
            </w:pPr>
            <w:r>
              <w:rPr>
                <w:rFonts w:hint="eastAsia"/>
                <w:sz w:val="21"/>
                <w:szCs w:val="21"/>
              </w:rPr>
              <w:t>3</w:t>
            </w:r>
          </w:p>
        </w:tc>
        <w:tc>
          <w:tcPr>
            <w:tcW w:w="1560" w:type="dxa"/>
            <w:vAlign w:val="center"/>
          </w:tcPr>
          <w:p w14:paraId="54128C8F">
            <w:pPr>
              <w:ind w:firstLine="0" w:firstLineChars="0"/>
              <w:jc w:val="center"/>
              <w:rPr>
                <w:sz w:val="21"/>
                <w:szCs w:val="21"/>
              </w:rPr>
            </w:pPr>
            <w:r>
              <w:rPr>
                <w:rFonts w:hint="eastAsia"/>
                <w:bCs/>
                <w:sz w:val="21"/>
                <w:szCs w:val="24"/>
              </w:rPr>
              <w:t>镉</w:t>
            </w:r>
          </w:p>
        </w:tc>
        <w:tc>
          <w:tcPr>
            <w:tcW w:w="1134" w:type="dxa"/>
            <w:vAlign w:val="center"/>
          </w:tcPr>
          <w:p w14:paraId="66A731F3">
            <w:pPr>
              <w:ind w:firstLine="0" w:firstLineChars="0"/>
              <w:jc w:val="center"/>
              <w:rPr>
                <w:sz w:val="21"/>
                <w:szCs w:val="21"/>
              </w:rPr>
            </w:pPr>
            <w:r>
              <w:rPr>
                <w:sz w:val="21"/>
                <w:szCs w:val="21"/>
              </w:rPr>
              <w:t>μg/L</w:t>
            </w:r>
          </w:p>
        </w:tc>
        <w:tc>
          <w:tcPr>
            <w:tcW w:w="992" w:type="dxa"/>
            <w:vAlign w:val="center"/>
          </w:tcPr>
          <w:p w14:paraId="3734159D">
            <w:pPr>
              <w:snapToGrid w:val="0"/>
              <w:ind w:left="-1" w:leftChars="-44" w:right="-103" w:rightChars="-43" w:hanging="105" w:hangingChars="50"/>
              <w:jc w:val="center"/>
              <w:rPr>
                <w:sz w:val="21"/>
                <w:szCs w:val="21"/>
                <w:vertAlign w:val="superscript"/>
              </w:rPr>
            </w:pPr>
            <w:r>
              <w:rPr>
                <w:sz w:val="21"/>
                <w:szCs w:val="21"/>
                <w:lang w:bidi="ar"/>
              </w:rPr>
              <w:t>&lt;</w:t>
            </w:r>
            <w:r>
              <w:rPr>
                <w:rFonts w:hint="eastAsia"/>
                <w:sz w:val="21"/>
                <w:szCs w:val="21"/>
                <w:lang w:bidi="ar"/>
              </w:rPr>
              <w:t>5.0×10</w:t>
            </w:r>
            <w:r>
              <w:rPr>
                <w:rFonts w:hint="eastAsia"/>
                <w:sz w:val="21"/>
                <w:szCs w:val="21"/>
                <w:vertAlign w:val="superscript"/>
                <w:lang w:bidi="ar"/>
              </w:rPr>
              <w:t>-4</w:t>
            </w:r>
          </w:p>
        </w:tc>
        <w:tc>
          <w:tcPr>
            <w:tcW w:w="992" w:type="dxa"/>
            <w:vAlign w:val="center"/>
          </w:tcPr>
          <w:p w14:paraId="642DF5CF">
            <w:pPr>
              <w:snapToGrid w:val="0"/>
              <w:ind w:left="-1" w:leftChars="-44" w:right="-103" w:rightChars="-43" w:hanging="105" w:hangingChars="50"/>
              <w:jc w:val="center"/>
              <w:rPr>
                <w:sz w:val="21"/>
                <w:szCs w:val="21"/>
              </w:rPr>
            </w:pPr>
            <w:r>
              <w:rPr>
                <w:rFonts w:hint="eastAsia"/>
                <w:sz w:val="21"/>
                <w:szCs w:val="21"/>
                <w:lang w:bidi="ar"/>
              </w:rPr>
              <w:t>5.4×10</w:t>
            </w:r>
            <w:r>
              <w:rPr>
                <w:rFonts w:hint="eastAsia"/>
                <w:sz w:val="21"/>
                <w:szCs w:val="21"/>
                <w:vertAlign w:val="superscript"/>
                <w:lang w:bidi="ar"/>
              </w:rPr>
              <w:t>-4</w:t>
            </w:r>
          </w:p>
        </w:tc>
        <w:tc>
          <w:tcPr>
            <w:tcW w:w="992" w:type="dxa"/>
            <w:vAlign w:val="center"/>
          </w:tcPr>
          <w:p w14:paraId="523BF4DE">
            <w:pPr>
              <w:snapToGrid w:val="0"/>
              <w:ind w:left="-1" w:leftChars="-44" w:right="-103" w:rightChars="-43" w:hanging="105" w:hangingChars="50"/>
              <w:jc w:val="center"/>
              <w:rPr>
                <w:sz w:val="21"/>
                <w:szCs w:val="21"/>
              </w:rPr>
            </w:pPr>
            <w:r>
              <w:rPr>
                <w:rFonts w:hint="eastAsia"/>
                <w:sz w:val="21"/>
                <w:szCs w:val="21"/>
                <w:lang w:bidi="ar"/>
              </w:rPr>
              <w:t>5.6×10</w:t>
            </w:r>
            <w:r>
              <w:rPr>
                <w:rFonts w:hint="eastAsia"/>
                <w:sz w:val="21"/>
                <w:szCs w:val="21"/>
                <w:vertAlign w:val="superscript"/>
                <w:lang w:bidi="ar"/>
              </w:rPr>
              <w:t>-4</w:t>
            </w:r>
          </w:p>
        </w:tc>
        <w:tc>
          <w:tcPr>
            <w:tcW w:w="1276" w:type="dxa"/>
            <w:vAlign w:val="center"/>
          </w:tcPr>
          <w:p w14:paraId="612DCD5A">
            <w:pPr>
              <w:ind w:firstLine="0" w:firstLineChars="0"/>
              <w:jc w:val="center"/>
              <w:rPr>
                <w:sz w:val="21"/>
                <w:szCs w:val="21"/>
              </w:rPr>
            </w:pPr>
            <w:r>
              <w:rPr>
                <w:sz w:val="21"/>
                <w:szCs w:val="21"/>
              </w:rPr>
              <w:t>≤</w:t>
            </w:r>
            <w:r>
              <w:rPr>
                <w:rFonts w:hint="eastAsia"/>
                <w:sz w:val="21"/>
                <w:szCs w:val="21"/>
              </w:rPr>
              <w:t>0.005</w:t>
            </w:r>
            <w:r>
              <w:rPr>
                <w:sz w:val="21"/>
                <w:szCs w:val="21"/>
              </w:rPr>
              <w:t>mg/L</w:t>
            </w:r>
          </w:p>
        </w:tc>
        <w:tc>
          <w:tcPr>
            <w:tcW w:w="788" w:type="dxa"/>
            <w:vAlign w:val="center"/>
          </w:tcPr>
          <w:p w14:paraId="352BD455">
            <w:pPr>
              <w:ind w:firstLine="0" w:firstLineChars="0"/>
              <w:jc w:val="center"/>
              <w:rPr>
                <w:sz w:val="21"/>
                <w:szCs w:val="21"/>
              </w:rPr>
            </w:pPr>
            <w:r>
              <w:rPr>
                <w:rFonts w:hint="eastAsia"/>
                <w:sz w:val="21"/>
                <w:szCs w:val="21"/>
              </w:rPr>
              <w:t>合格</w:t>
            </w:r>
          </w:p>
        </w:tc>
      </w:tr>
      <w:tr w14:paraId="547D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03441D72">
            <w:pPr>
              <w:ind w:firstLine="0" w:firstLineChars="0"/>
              <w:jc w:val="center"/>
              <w:rPr>
                <w:sz w:val="21"/>
                <w:szCs w:val="21"/>
              </w:rPr>
            </w:pPr>
            <w:r>
              <w:rPr>
                <w:rFonts w:hint="eastAsia"/>
                <w:sz w:val="21"/>
                <w:szCs w:val="21"/>
              </w:rPr>
              <w:t>4</w:t>
            </w:r>
          </w:p>
        </w:tc>
        <w:tc>
          <w:tcPr>
            <w:tcW w:w="1560" w:type="dxa"/>
            <w:vAlign w:val="center"/>
          </w:tcPr>
          <w:p w14:paraId="672A5E53">
            <w:pPr>
              <w:ind w:firstLine="0" w:firstLineChars="0"/>
              <w:jc w:val="center"/>
              <w:rPr>
                <w:sz w:val="21"/>
                <w:szCs w:val="21"/>
              </w:rPr>
            </w:pPr>
            <w:r>
              <w:rPr>
                <w:rFonts w:hint="eastAsia"/>
                <w:bCs/>
                <w:sz w:val="21"/>
                <w:szCs w:val="24"/>
              </w:rPr>
              <w:t>砷</w:t>
            </w:r>
          </w:p>
        </w:tc>
        <w:tc>
          <w:tcPr>
            <w:tcW w:w="1134" w:type="dxa"/>
            <w:vAlign w:val="center"/>
          </w:tcPr>
          <w:p w14:paraId="5F719408">
            <w:pPr>
              <w:ind w:firstLine="0" w:firstLineChars="0"/>
              <w:jc w:val="center"/>
              <w:rPr>
                <w:sz w:val="21"/>
                <w:szCs w:val="21"/>
              </w:rPr>
            </w:pPr>
            <w:r>
              <w:rPr>
                <w:sz w:val="21"/>
                <w:szCs w:val="21"/>
              </w:rPr>
              <w:t>μg/L</w:t>
            </w:r>
          </w:p>
        </w:tc>
        <w:tc>
          <w:tcPr>
            <w:tcW w:w="992" w:type="dxa"/>
            <w:vAlign w:val="center"/>
          </w:tcPr>
          <w:p w14:paraId="2348EDBF">
            <w:pPr>
              <w:snapToGrid w:val="0"/>
              <w:ind w:left="-1" w:leftChars="-44" w:right="-103" w:rightChars="-43" w:hanging="105" w:hangingChars="50"/>
              <w:jc w:val="center"/>
              <w:rPr>
                <w:sz w:val="21"/>
                <w:szCs w:val="21"/>
              </w:rPr>
            </w:pPr>
            <w:r>
              <w:rPr>
                <w:sz w:val="21"/>
                <w:szCs w:val="21"/>
                <w:lang w:bidi="ar"/>
              </w:rPr>
              <w:t>&lt;</w:t>
            </w:r>
            <w:r>
              <w:rPr>
                <w:rFonts w:hint="eastAsia"/>
                <w:sz w:val="21"/>
                <w:szCs w:val="21"/>
                <w:lang w:bidi="ar"/>
              </w:rPr>
              <w:t>3.0×10</w:t>
            </w:r>
            <w:r>
              <w:rPr>
                <w:rFonts w:hint="eastAsia"/>
                <w:sz w:val="21"/>
                <w:szCs w:val="21"/>
                <w:vertAlign w:val="superscript"/>
                <w:lang w:bidi="ar"/>
              </w:rPr>
              <w:t>-4</w:t>
            </w:r>
          </w:p>
        </w:tc>
        <w:tc>
          <w:tcPr>
            <w:tcW w:w="992" w:type="dxa"/>
            <w:vAlign w:val="center"/>
          </w:tcPr>
          <w:p w14:paraId="3FD56F03">
            <w:pPr>
              <w:snapToGrid w:val="0"/>
              <w:ind w:left="-1" w:leftChars="-44" w:right="-103" w:rightChars="-43" w:hanging="105" w:hangingChars="50"/>
              <w:jc w:val="center"/>
              <w:rPr>
                <w:sz w:val="21"/>
                <w:szCs w:val="21"/>
              </w:rPr>
            </w:pPr>
            <w:r>
              <w:rPr>
                <w:sz w:val="21"/>
                <w:szCs w:val="21"/>
                <w:lang w:bidi="ar"/>
              </w:rPr>
              <w:t>&lt;</w:t>
            </w:r>
            <w:r>
              <w:rPr>
                <w:rFonts w:hint="eastAsia"/>
                <w:sz w:val="21"/>
                <w:szCs w:val="21"/>
                <w:lang w:bidi="ar"/>
              </w:rPr>
              <w:t>3.0×10</w:t>
            </w:r>
            <w:r>
              <w:rPr>
                <w:rFonts w:hint="eastAsia"/>
                <w:sz w:val="21"/>
                <w:szCs w:val="21"/>
                <w:vertAlign w:val="superscript"/>
                <w:lang w:bidi="ar"/>
              </w:rPr>
              <w:t>-4</w:t>
            </w:r>
          </w:p>
        </w:tc>
        <w:tc>
          <w:tcPr>
            <w:tcW w:w="992" w:type="dxa"/>
            <w:vAlign w:val="center"/>
          </w:tcPr>
          <w:p w14:paraId="7A108986">
            <w:pPr>
              <w:snapToGrid w:val="0"/>
              <w:ind w:left="-1" w:leftChars="-44" w:right="-103" w:rightChars="-43" w:hanging="105" w:hangingChars="50"/>
              <w:jc w:val="center"/>
              <w:rPr>
                <w:sz w:val="21"/>
                <w:szCs w:val="21"/>
              </w:rPr>
            </w:pPr>
            <w:r>
              <w:rPr>
                <w:sz w:val="21"/>
                <w:szCs w:val="21"/>
                <w:lang w:bidi="ar"/>
              </w:rPr>
              <w:t>&lt;</w:t>
            </w:r>
            <w:r>
              <w:rPr>
                <w:rFonts w:hint="eastAsia"/>
                <w:sz w:val="21"/>
                <w:szCs w:val="21"/>
                <w:lang w:bidi="ar"/>
              </w:rPr>
              <w:t>3.0×10</w:t>
            </w:r>
            <w:r>
              <w:rPr>
                <w:rFonts w:hint="eastAsia"/>
                <w:sz w:val="21"/>
                <w:szCs w:val="21"/>
                <w:vertAlign w:val="superscript"/>
                <w:lang w:bidi="ar"/>
              </w:rPr>
              <w:t>-4</w:t>
            </w:r>
          </w:p>
        </w:tc>
        <w:tc>
          <w:tcPr>
            <w:tcW w:w="1276" w:type="dxa"/>
            <w:vAlign w:val="center"/>
          </w:tcPr>
          <w:p w14:paraId="6778C5CD">
            <w:pPr>
              <w:ind w:firstLine="0" w:firstLineChars="0"/>
              <w:jc w:val="center"/>
              <w:rPr>
                <w:sz w:val="21"/>
                <w:szCs w:val="21"/>
              </w:rPr>
            </w:pPr>
            <w:r>
              <w:rPr>
                <w:sz w:val="21"/>
                <w:szCs w:val="21"/>
              </w:rPr>
              <w:t>≤</w:t>
            </w:r>
            <w:r>
              <w:rPr>
                <w:rFonts w:hint="eastAsia"/>
                <w:sz w:val="21"/>
                <w:szCs w:val="21"/>
              </w:rPr>
              <w:t>0.01</w:t>
            </w:r>
            <w:r>
              <w:rPr>
                <w:sz w:val="21"/>
                <w:szCs w:val="21"/>
              </w:rPr>
              <w:t>mg/L</w:t>
            </w:r>
          </w:p>
        </w:tc>
        <w:tc>
          <w:tcPr>
            <w:tcW w:w="788" w:type="dxa"/>
            <w:vAlign w:val="center"/>
          </w:tcPr>
          <w:p w14:paraId="1F492783">
            <w:pPr>
              <w:ind w:firstLine="0" w:firstLineChars="0"/>
              <w:jc w:val="center"/>
              <w:rPr>
                <w:sz w:val="21"/>
                <w:szCs w:val="21"/>
              </w:rPr>
            </w:pPr>
            <w:r>
              <w:rPr>
                <w:rFonts w:hint="eastAsia"/>
                <w:sz w:val="21"/>
                <w:szCs w:val="21"/>
              </w:rPr>
              <w:t>合格</w:t>
            </w:r>
          </w:p>
        </w:tc>
      </w:tr>
      <w:tr w14:paraId="58E3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6D6A8090">
            <w:pPr>
              <w:ind w:firstLine="0" w:firstLineChars="0"/>
              <w:jc w:val="center"/>
              <w:rPr>
                <w:sz w:val="21"/>
                <w:szCs w:val="21"/>
              </w:rPr>
            </w:pPr>
            <w:r>
              <w:rPr>
                <w:rFonts w:hint="eastAsia"/>
                <w:sz w:val="21"/>
                <w:szCs w:val="21"/>
              </w:rPr>
              <w:t>5</w:t>
            </w:r>
          </w:p>
        </w:tc>
        <w:tc>
          <w:tcPr>
            <w:tcW w:w="1560" w:type="dxa"/>
            <w:vAlign w:val="center"/>
          </w:tcPr>
          <w:p w14:paraId="29D2F785">
            <w:pPr>
              <w:ind w:firstLine="0" w:firstLineChars="0"/>
              <w:jc w:val="center"/>
              <w:rPr>
                <w:sz w:val="21"/>
                <w:szCs w:val="21"/>
              </w:rPr>
            </w:pPr>
            <w:r>
              <w:rPr>
                <w:rFonts w:hint="eastAsia"/>
                <w:bCs/>
                <w:sz w:val="21"/>
                <w:szCs w:val="24"/>
              </w:rPr>
              <w:t>汞</w:t>
            </w:r>
          </w:p>
        </w:tc>
        <w:tc>
          <w:tcPr>
            <w:tcW w:w="1134" w:type="dxa"/>
            <w:vAlign w:val="center"/>
          </w:tcPr>
          <w:p w14:paraId="1D6E6FAD">
            <w:pPr>
              <w:ind w:firstLine="0" w:firstLineChars="0"/>
              <w:jc w:val="center"/>
              <w:rPr>
                <w:sz w:val="21"/>
                <w:szCs w:val="21"/>
              </w:rPr>
            </w:pPr>
            <w:r>
              <w:rPr>
                <w:sz w:val="21"/>
                <w:szCs w:val="21"/>
              </w:rPr>
              <w:t>μg/L</w:t>
            </w:r>
          </w:p>
        </w:tc>
        <w:tc>
          <w:tcPr>
            <w:tcW w:w="992" w:type="dxa"/>
            <w:vAlign w:val="center"/>
          </w:tcPr>
          <w:p w14:paraId="30BF08D4">
            <w:pPr>
              <w:snapToGrid w:val="0"/>
              <w:ind w:left="-1" w:leftChars="-44" w:right="-103" w:rightChars="-43" w:hanging="105" w:hangingChars="50"/>
              <w:jc w:val="center"/>
              <w:rPr>
                <w:sz w:val="21"/>
                <w:szCs w:val="21"/>
                <w:vertAlign w:val="superscript"/>
              </w:rPr>
            </w:pPr>
            <w:r>
              <w:rPr>
                <w:rFonts w:hint="eastAsia"/>
                <w:sz w:val="21"/>
                <w:szCs w:val="21"/>
                <w:lang w:bidi="ar"/>
              </w:rPr>
              <w:t>5.50×10</w:t>
            </w:r>
            <w:r>
              <w:rPr>
                <w:rFonts w:hint="eastAsia"/>
                <w:sz w:val="21"/>
                <w:szCs w:val="21"/>
                <w:vertAlign w:val="superscript"/>
                <w:lang w:bidi="ar"/>
              </w:rPr>
              <w:t>-5</w:t>
            </w:r>
          </w:p>
        </w:tc>
        <w:tc>
          <w:tcPr>
            <w:tcW w:w="992" w:type="dxa"/>
            <w:vAlign w:val="center"/>
          </w:tcPr>
          <w:p w14:paraId="2BC283B6">
            <w:pPr>
              <w:snapToGrid w:val="0"/>
              <w:ind w:left="-1" w:leftChars="-44" w:right="-103" w:rightChars="-43" w:hanging="105" w:hangingChars="50"/>
              <w:jc w:val="center"/>
              <w:rPr>
                <w:sz w:val="21"/>
                <w:szCs w:val="21"/>
              </w:rPr>
            </w:pPr>
            <w:r>
              <w:rPr>
                <w:rFonts w:hint="eastAsia"/>
                <w:sz w:val="21"/>
                <w:szCs w:val="21"/>
                <w:lang w:bidi="ar"/>
              </w:rPr>
              <w:t>8.20×10</w:t>
            </w:r>
            <w:r>
              <w:rPr>
                <w:rFonts w:hint="eastAsia"/>
                <w:sz w:val="21"/>
                <w:szCs w:val="21"/>
                <w:vertAlign w:val="superscript"/>
                <w:lang w:bidi="ar"/>
              </w:rPr>
              <w:t>-5</w:t>
            </w:r>
          </w:p>
        </w:tc>
        <w:tc>
          <w:tcPr>
            <w:tcW w:w="992" w:type="dxa"/>
            <w:vAlign w:val="center"/>
          </w:tcPr>
          <w:p w14:paraId="604396A9">
            <w:pPr>
              <w:snapToGrid w:val="0"/>
              <w:ind w:left="-1" w:leftChars="-44" w:right="-103" w:rightChars="-43" w:hanging="105" w:hangingChars="50"/>
              <w:jc w:val="center"/>
              <w:rPr>
                <w:sz w:val="21"/>
                <w:szCs w:val="21"/>
              </w:rPr>
            </w:pPr>
            <w:r>
              <w:rPr>
                <w:rFonts w:hint="eastAsia"/>
                <w:sz w:val="21"/>
                <w:szCs w:val="21"/>
                <w:lang w:bidi="ar"/>
              </w:rPr>
              <w:t>8.20×10</w:t>
            </w:r>
            <w:r>
              <w:rPr>
                <w:rFonts w:hint="eastAsia"/>
                <w:sz w:val="21"/>
                <w:szCs w:val="21"/>
                <w:vertAlign w:val="superscript"/>
                <w:lang w:bidi="ar"/>
              </w:rPr>
              <w:t>-5</w:t>
            </w:r>
          </w:p>
        </w:tc>
        <w:tc>
          <w:tcPr>
            <w:tcW w:w="1276" w:type="dxa"/>
            <w:vAlign w:val="center"/>
          </w:tcPr>
          <w:p w14:paraId="1BF7BE6B">
            <w:pPr>
              <w:ind w:firstLine="0" w:firstLineChars="0"/>
              <w:jc w:val="center"/>
              <w:rPr>
                <w:sz w:val="21"/>
                <w:szCs w:val="21"/>
              </w:rPr>
            </w:pPr>
            <w:r>
              <w:rPr>
                <w:sz w:val="21"/>
                <w:szCs w:val="21"/>
              </w:rPr>
              <w:t>≤</w:t>
            </w:r>
            <w:r>
              <w:rPr>
                <w:rFonts w:hint="eastAsia"/>
                <w:sz w:val="21"/>
                <w:szCs w:val="21"/>
              </w:rPr>
              <w:t>0.001</w:t>
            </w:r>
            <w:r>
              <w:rPr>
                <w:sz w:val="21"/>
                <w:szCs w:val="21"/>
              </w:rPr>
              <w:t>mg/L</w:t>
            </w:r>
          </w:p>
        </w:tc>
        <w:tc>
          <w:tcPr>
            <w:tcW w:w="788" w:type="dxa"/>
            <w:vAlign w:val="center"/>
          </w:tcPr>
          <w:p w14:paraId="0A50CD5D">
            <w:pPr>
              <w:ind w:firstLine="0" w:firstLineChars="0"/>
              <w:jc w:val="center"/>
              <w:rPr>
                <w:sz w:val="21"/>
                <w:szCs w:val="21"/>
              </w:rPr>
            </w:pPr>
            <w:r>
              <w:rPr>
                <w:rFonts w:hint="eastAsia"/>
                <w:sz w:val="21"/>
                <w:szCs w:val="21"/>
              </w:rPr>
              <w:t>合格</w:t>
            </w:r>
          </w:p>
        </w:tc>
      </w:tr>
      <w:tr w14:paraId="4691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1E8EA7AF">
            <w:pPr>
              <w:ind w:firstLine="0" w:firstLineChars="0"/>
              <w:jc w:val="center"/>
              <w:rPr>
                <w:sz w:val="21"/>
                <w:szCs w:val="21"/>
              </w:rPr>
            </w:pPr>
            <w:r>
              <w:rPr>
                <w:rFonts w:hint="eastAsia"/>
                <w:sz w:val="21"/>
                <w:szCs w:val="21"/>
              </w:rPr>
              <w:t>6</w:t>
            </w:r>
          </w:p>
        </w:tc>
        <w:tc>
          <w:tcPr>
            <w:tcW w:w="1560" w:type="dxa"/>
            <w:vAlign w:val="center"/>
          </w:tcPr>
          <w:p w14:paraId="61C39D25">
            <w:pPr>
              <w:ind w:firstLine="0" w:firstLineChars="0"/>
              <w:jc w:val="center"/>
              <w:rPr>
                <w:sz w:val="21"/>
                <w:szCs w:val="21"/>
              </w:rPr>
            </w:pPr>
            <w:r>
              <w:rPr>
                <w:rFonts w:hint="eastAsia"/>
                <w:bCs/>
                <w:sz w:val="21"/>
                <w:szCs w:val="24"/>
              </w:rPr>
              <w:t>铅</w:t>
            </w:r>
          </w:p>
        </w:tc>
        <w:tc>
          <w:tcPr>
            <w:tcW w:w="1134" w:type="dxa"/>
            <w:vAlign w:val="center"/>
          </w:tcPr>
          <w:p w14:paraId="2870739A">
            <w:pPr>
              <w:ind w:firstLine="0" w:firstLineChars="0"/>
              <w:jc w:val="center"/>
              <w:rPr>
                <w:sz w:val="21"/>
                <w:szCs w:val="21"/>
              </w:rPr>
            </w:pPr>
            <w:r>
              <w:rPr>
                <w:sz w:val="21"/>
                <w:szCs w:val="21"/>
              </w:rPr>
              <w:t>μg/L</w:t>
            </w:r>
          </w:p>
        </w:tc>
        <w:tc>
          <w:tcPr>
            <w:tcW w:w="992" w:type="dxa"/>
            <w:vAlign w:val="center"/>
          </w:tcPr>
          <w:p w14:paraId="7D0FA8A4">
            <w:pPr>
              <w:snapToGrid w:val="0"/>
              <w:ind w:left="-1" w:leftChars="-44" w:right="-103" w:rightChars="-43" w:hanging="105" w:hangingChars="50"/>
              <w:jc w:val="center"/>
              <w:rPr>
                <w:sz w:val="21"/>
                <w:szCs w:val="21"/>
                <w:vertAlign w:val="superscript"/>
              </w:rPr>
            </w:pPr>
            <w:r>
              <w:rPr>
                <w:sz w:val="21"/>
                <w:szCs w:val="21"/>
                <w:lang w:bidi="ar"/>
              </w:rPr>
              <w:t>&lt;</w:t>
            </w:r>
            <w:r>
              <w:rPr>
                <w:rFonts w:hint="eastAsia"/>
                <w:sz w:val="21"/>
                <w:szCs w:val="21"/>
                <w:lang w:bidi="ar"/>
              </w:rPr>
              <w:t>2.5×10</w:t>
            </w:r>
            <w:r>
              <w:rPr>
                <w:rFonts w:hint="eastAsia"/>
                <w:sz w:val="21"/>
                <w:szCs w:val="21"/>
                <w:vertAlign w:val="superscript"/>
                <w:lang w:bidi="ar"/>
              </w:rPr>
              <w:t>-3</w:t>
            </w:r>
          </w:p>
        </w:tc>
        <w:tc>
          <w:tcPr>
            <w:tcW w:w="992" w:type="dxa"/>
            <w:vAlign w:val="center"/>
          </w:tcPr>
          <w:p w14:paraId="5CC5A9A4">
            <w:pPr>
              <w:snapToGrid w:val="0"/>
              <w:ind w:left="-1" w:leftChars="-44" w:right="-103" w:rightChars="-43" w:hanging="105" w:hangingChars="50"/>
              <w:jc w:val="center"/>
              <w:rPr>
                <w:sz w:val="21"/>
                <w:szCs w:val="21"/>
              </w:rPr>
            </w:pPr>
            <w:r>
              <w:rPr>
                <w:sz w:val="21"/>
                <w:szCs w:val="21"/>
                <w:lang w:bidi="ar"/>
              </w:rPr>
              <w:t>&lt;</w:t>
            </w:r>
            <w:r>
              <w:rPr>
                <w:rFonts w:hint="eastAsia"/>
                <w:sz w:val="21"/>
                <w:szCs w:val="21"/>
                <w:lang w:bidi="ar"/>
              </w:rPr>
              <w:t>2.5×10</w:t>
            </w:r>
            <w:r>
              <w:rPr>
                <w:rFonts w:hint="eastAsia"/>
                <w:sz w:val="21"/>
                <w:szCs w:val="21"/>
                <w:vertAlign w:val="superscript"/>
                <w:lang w:bidi="ar"/>
              </w:rPr>
              <w:t>-3</w:t>
            </w:r>
          </w:p>
        </w:tc>
        <w:tc>
          <w:tcPr>
            <w:tcW w:w="992" w:type="dxa"/>
            <w:vAlign w:val="center"/>
          </w:tcPr>
          <w:p w14:paraId="2609E168">
            <w:pPr>
              <w:snapToGrid w:val="0"/>
              <w:ind w:left="-1" w:leftChars="-44" w:right="-103" w:rightChars="-43" w:hanging="105" w:hangingChars="50"/>
              <w:jc w:val="center"/>
              <w:rPr>
                <w:sz w:val="21"/>
                <w:szCs w:val="21"/>
              </w:rPr>
            </w:pPr>
            <w:r>
              <w:rPr>
                <w:sz w:val="21"/>
                <w:szCs w:val="21"/>
                <w:lang w:bidi="ar"/>
              </w:rPr>
              <w:t>&lt;</w:t>
            </w:r>
            <w:r>
              <w:rPr>
                <w:rFonts w:hint="eastAsia"/>
                <w:sz w:val="21"/>
                <w:szCs w:val="21"/>
                <w:lang w:bidi="ar"/>
              </w:rPr>
              <w:t>2.5×10</w:t>
            </w:r>
            <w:r>
              <w:rPr>
                <w:rFonts w:hint="eastAsia"/>
                <w:sz w:val="21"/>
                <w:szCs w:val="21"/>
                <w:vertAlign w:val="superscript"/>
                <w:lang w:bidi="ar"/>
              </w:rPr>
              <w:t>-3</w:t>
            </w:r>
          </w:p>
        </w:tc>
        <w:tc>
          <w:tcPr>
            <w:tcW w:w="1276" w:type="dxa"/>
            <w:vAlign w:val="center"/>
          </w:tcPr>
          <w:p w14:paraId="64190AAD">
            <w:pPr>
              <w:ind w:firstLine="0" w:firstLineChars="0"/>
              <w:jc w:val="center"/>
              <w:rPr>
                <w:sz w:val="21"/>
                <w:szCs w:val="21"/>
              </w:rPr>
            </w:pPr>
            <w:r>
              <w:rPr>
                <w:sz w:val="21"/>
                <w:szCs w:val="21"/>
              </w:rPr>
              <w:t>≤</w:t>
            </w:r>
            <w:r>
              <w:rPr>
                <w:rFonts w:hint="eastAsia"/>
                <w:sz w:val="21"/>
                <w:szCs w:val="21"/>
              </w:rPr>
              <w:t>0.01</w:t>
            </w:r>
            <w:r>
              <w:rPr>
                <w:sz w:val="21"/>
                <w:szCs w:val="21"/>
              </w:rPr>
              <w:t>mg/L</w:t>
            </w:r>
          </w:p>
        </w:tc>
        <w:tc>
          <w:tcPr>
            <w:tcW w:w="788" w:type="dxa"/>
            <w:vAlign w:val="center"/>
          </w:tcPr>
          <w:p w14:paraId="2FBB7C05">
            <w:pPr>
              <w:ind w:firstLine="0" w:firstLineChars="0"/>
              <w:jc w:val="center"/>
              <w:rPr>
                <w:sz w:val="21"/>
                <w:szCs w:val="21"/>
              </w:rPr>
            </w:pPr>
            <w:r>
              <w:rPr>
                <w:rFonts w:hint="eastAsia"/>
                <w:sz w:val="21"/>
                <w:szCs w:val="21"/>
              </w:rPr>
              <w:t>合格</w:t>
            </w:r>
          </w:p>
        </w:tc>
      </w:tr>
      <w:tr w14:paraId="526C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5A8A66DA">
            <w:pPr>
              <w:ind w:firstLine="0" w:firstLineChars="0"/>
              <w:jc w:val="center"/>
              <w:rPr>
                <w:sz w:val="21"/>
                <w:szCs w:val="21"/>
              </w:rPr>
            </w:pPr>
            <w:r>
              <w:rPr>
                <w:rFonts w:hint="eastAsia"/>
                <w:sz w:val="21"/>
                <w:szCs w:val="21"/>
              </w:rPr>
              <w:t>7</w:t>
            </w:r>
          </w:p>
        </w:tc>
        <w:tc>
          <w:tcPr>
            <w:tcW w:w="1560" w:type="dxa"/>
            <w:vAlign w:val="center"/>
          </w:tcPr>
          <w:p w14:paraId="0A989B5B">
            <w:pPr>
              <w:ind w:firstLine="0" w:firstLineChars="0"/>
              <w:jc w:val="center"/>
              <w:rPr>
                <w:sz w:val="21"/>
                <w:szCs w:val="21"/>
              </w:rPr>
            </w:pPr>
            <w:r>
              <w:rPr>
                <w:rFonts w:hint="eastAsia"/>
                <w:bCs/>
                <w:sz w:val="21"/>
                <w:szCs w:val="24"/>
              </w:rPr>
              <w:t>氨氮</w:t>
            </w:r>
          </w:p>
        </w:tc>
        <w:tc>
          <w:tcPr>
            <w:tcW w:w="1134" w:type="dxa"/>
            <w:vAlign w:val="center"/>
          </w:tcPr>
          <w:p w14:paraId="1B8CA397">
            <w:pPr>
              <w:ind w:firstLine="0" w:firstLineChars="0"/>
              <w:jc w:val="center"/>
              <w:rPr>
                <w:sz w:val="21"/>
                <w:szCs w:val="21"/>
              </w:rPr>
            </w:pPr>
            <w:r>
              <w:rPr>
                <w:sz w:val="21"/>
                <w:szCs w:val="21"/>
              </w:rPr>
              <w:t>mg/L</w:t>
            </w:r>
          </w:p>
        </w:tc>
        <w:tc>
          <w:tcPr>
            <w:tcW w:w="992" w:type="dxa"/>
            <w:vAlign w:val="center"/>
          </w:tcPr>
          <w:p w14:paraId="7D6C8DCD">
            <w:pPr>
              <w:snapToGrid w:val="0"/>
              <w:ind w:firstLine="0" w:firstLineChars="0"/>
              <w:jc w:val="center"/>
              <w:rPr>
                <w:sz w:val="21"/>
                <w:szCs w:val="21"/>
              </w:rPr>
            </w:pPr>
            <w:r>
              <w:rPr>
                <w:rFonts w:hint="eastAsia"/>
                <w:sz w:val="21"/>
                <w:szCs w:val="21"/>
              </w:rPr>
              <w:t>0.059</w:t>
            </w:r>
          </w:p>
        </w:tc>
        <w:tc>
          <w:tcPr>
            <w:tcW w:w="992" w:type="dxa"/>
            <w:vAlign w:val="center"/>
          </w:tcPr>
          <w:p w14:paraId="4888E948">
            <w:pPr>
              <w:snapToGrid w:val="0"/>
              <w:ind w:firstLine="0" w:firstLineChars="0"/>
              <w:jc w:val="center"/>
              <w:rPr>
                <w:sz w:val="21"/>
                <w:szCs w:val="21"/>
              </w:rPr>
            </w:pPr>
            <w:r>
              <w:rPr>
                <w:rFonts w:hint="eastAsia"/>
                <w:sz w:val="21"/>
                <w:szCs w:val="21"/>
              </w:rPr>
              <w:t>0.121</w:t>
            </w:r>
          </w:p>
        </w:tc>
        <w:tc>
          <w:tcPr>
            <w:tcW w:w="992" w:type="dxa"/>
            <w:vAlign w:val="center"/>
          </w:tcPr>
          <w:p w14:paraId="476A5A14">
            <w:pPr>
              <w:snapToGrid w:val="0"/>
              <w:ind w:firstLine="0" w:firstLineChars="0"/>
              <w:jc w:val="center"/>
              <w:rPr>
                <w:sz w:val="21"/>
                <w:szCs w:val="21"/>
              </w:rPr>
            </w:pPr>
            <w:r>
              <w:rPr>
                <w:rFonts w:hint="eastAsia"/>
                <w:sz w:val="21"/>
                <w:szCs w:val="21"/>
              </w:rPr>
              <w:t>0.146</w:t>
            </w:r>
          </w:p>
        </w:tc>
        <w:tc>
          <w:tcPr>
            <w:tcW w:w="1276" w:type="dxa"/>
            <w:vAlign w:val="center"/>
          </w:tcPr>
          <w:p w14:paraId="560E92D2">
            <w:pPr>
              <w:ind w:firstLine="0" w:firstLineChars="0"/>
              <w:jc w:val="center"/>
              <w:rPr>
                <w:sz w:val="21"/>
                <w:szCs w:val="21"/>
              </w:rPr>
            </w:pPr>
            <w:r>
              <w:rPr>
                <w:sz w:val="21"/>
                <w:szCs w:val="21"/>
              </w:rPr>
              <w:t>≤</w:t>
            </w:r>
            <w:r>
              <w:rPr>
                <w:rFonts w:hint="eastAsia"/>
                <w:sz w:val="21"/>
                <w:szCs w:val="21"/>
              </w:rPr>
              <w:t>0.50</w:t>
            </w:r>
            <w:r>
              <w:rPr>
                <w:sz w:val="21"/>
                <w:szCs w:val="21"/>
              </w:rPr>
              <w:t>mg/L</w:t>
            </w:r>
          </w:p>
        </w:tc>
        <w:tc>
          <w:tcPr>
            <w:tcW w:w="788" w:type="dxa"/>
            <w:vAlign w:val="center"/>
          </w:tcPr>
          <w:p w14:paraId="08236F2A">
            <w:pPr>
              <w:ind w:firstLine="0" w:firstLineChars="0"/>
              <w:jc w:val="center"/>
              <w:rPr>
                <w:sz w:val="21"/>
                <w:szCs w:val="21"/>
              </w:rPr>
            </w:pPr>
            <w:r>
              <w:rPr>
                <w:rFonts w:hint="eastAsia"/>
                <w:sz w:val="21"/>
                <w:szCs w:val="21"/>
              </w:rPr>
              <w:t>合格</w:t>
            </w:r>
          </w:p>
        </w:tc>
      </w:tr>
      <w:tr w14:paraId="4FAE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20185004">
            <w:pPr>
              <w:ind w:firstLine="0" w:firstLineChars="0"/>
              <w:jc w:val="center"/>
              <w:rPr>
                <w:sz w:val="21"/>
                <w:szCs w:val="21"/>
              </w:rPr>
            </w:pPr>
            <w:r>
              <w:rPr>
                <w:rFonts w:hint="eastAsia"/>
                <w:sz w:val="21"/>
                <w:szCs w:val="21"/>
              </w:rPr>
              <w:t>8</w:t>
            </w:r>
          </w:p>
        </w:tc>
        <w:tc>
          <w:tcPr>
            <w:tcW w:w="1560" w:type="dxa"/>
            <w:vAlign w:val="center"/>
          </w:tcPr>
          <w:p w14:paraId="5FC263BF">
            <w:pPr>
              <w:ind w:firstLine="0" w:firstLineChars="0"/>
              <w:jc w:val="center"/>
              <w:rPr>
                <w:sz w:val="21"/>
                <w:szCs w:val="21"/>
              </w:rPr>
            </w:pPr>
            <w:r>
              <w:rPr>
                <w:rFonts w:hint="eastAsia"/>
                <w:bCs/>
                <w:sz w:val="21"/>
                <w:szCs w:val="24"/>
              </w:rPr>
              <w:t>总硬度</w:t>
            </w:r>
          </w:p>
        </w:tc>
        <w:tc>
          <w:tcPr>
            <w:tcW w:w="1134" w:type="dxa"/>
            <w:vAlign w:val="center"/>
          </w:tcPr>
          <w:p w14:paraId="3F797C5D">
            <w:pPr>
              <w:ind w:firstLine="0" w:firstLineChars="0"/>
              <w:jc w:val="center"/>
              <w:rPr>
                <w:sz w:val="21"/>
                <w:szCs w:val="21"/>
              </w:rPr>
            </w:pPr>
            <w:r>
              <w:rPr>
                <w:sz w:val="21"/>
                <w:szCs w:val="21"/>
              </w:rPr>
              <w:t>mg/L</w:t>
            </w:r>
          </w:p>
        </w:tc>
        <w:tc>
          <w:tcPr>
            <w:tcW w:w="992" w:type="dxa"/>
            <w:vAlign w:val="center"/>
          </w:tcPr>
          <w:p w14:paraId="32A4DDCB">
            <w:pPr>
              <w:snapToGrid w:val="0"/>
              <w:ind w:firstLine="0" w:firstLineChars="0"/>
              <w:jc w:val="center"/>
              <w:rPr>
                <w:sz w:val="21"/>
                <w:szCs w:val="21"/>
              </w:rPr>
            </w:pPr>
            <w:r>
              <w:rPr>
                <w:rFonts w:hint="eastAsia"/>
                <w:sz w:val="21"/>
                <w:szCs w:val="21"/>
              </w:rPr>
              <w:t>280</w:t>
            </w:r>
          </w:p>
        </w:tc>
        <w:tc>
          <w:tcPr>
            <w:tcW w:w="992" w:type="dxa"/>
            <w:vAlign w:val="center"/>
          </w:tcPr>
          <w:p w14:paraId="79DD7EB2">
            <w:pPr>
              <w:snapToGrid w:val="0"/>
              <w:ind w:firstLine="0" w:firstLineChars="0"/>
              <w:jc w:val="center"/>
              <w:rPr>
                <w:sz w:val="21"/>
                <w:szCs w:val="21"/>
              </w:rPr>
            </w:pPr>
            <w:r>
              <w:rPr>
                <w:rFonts w:hint="eastAsia"/>
                <w:sz w:val="21"/>
                <w:szCs w:val="21"/>
              </w:rPr>
              <w:t>282</w:t>
            </w:r>
          </w:p>
        </w:tc>
        <w:tc>
          <w:tcPr>
            <w:tcW w:w="992" w:type="dxa"/>
            <w:vAlign w:val="center"/>
          </w:tcPr>
          <w:p w14:paraId="41527D95">
            <w:pPr>
              <w:snapToGrid w:val="0"/>
              <w:ind w:firstLine="0" w:firstLineChars="0"/>
              <w:jc w:val="center"/>
              <w:rPr>
                <w:sz w:val="21"/>
                <w:szCs w:val="21"/>
              </w:rPr>
            </w:pPr>
            <w:r>
              <w:rPr>
                <w:rFonts w:hint="eastAsia"/>
                <w:sz w:val="21"/>
                <w:szCs w:val="21"/>
              </w:rPr>
              <w:t>284</w:t>
            </w:r>
          </w:p>
        </w:tc>
        <w:tc>
          <w:tcPr>
            <w:tcW w:w="1276" w:type="dxa"/>
            <w:vAlign w:val="center"/>
          </w:tcPr>
          <w:p w14:paraId="14A88DFB">
            <w:pPr>
              <w:ind w:firstLine="0" w:firstLineChars="0"/>
              <w:jc w:val="center"/>
              <w:rPr>
                <w:sz w:val="21"/>
                <w:szCs w:val="21"/>
              </w:rPr>
            </w:pPr>
            <w:r>
              <w:rPr>
                <w:sz w:val="21"/>
                <w:szCs w:val="21"/>
              </w:rPr>
              <w:t>≤</w:t>
            </w:r>
            <w:r>
              <w:rPr>
                <w:rFonts w:hint="eastAsia"/>
                <w:sz w:val="21"/>
                <w:szCs w:val="21"/>
              </w:rPr>
              <w:t>450</w:t>
            </w:r>
            <w:r>
              <w:rPr>
                <w:sz w:val="21"/>
                <w:szCs w:val="21"/>
              </w:rPr>
              <w:t>mg/L</w:t>
            </w:r>
          </w:p>
        </w:tc>
        <w:tc>
          <w:tcPr>
            <w:tcW w:w="788" w:type="dxa"/>
            <w:vAlign w:val="center"/>
          </w:tcPr>
          <w:p w14:paraId="215B8949">
            <w:pPr>
              <w:ind w:firstLine="0" w:firstLineChars="0"/>
              <w:jc w:val="center"/>
              <w:rPr>
                <w:sz w:val="21"/>
                <w:szCs w:val="21"/>
              </w:rPr>
            </w:pPr>
            <w:r>
              <w:rPr>
                <w:rFonts w:hint="eastAsia"/>
                <w:sz w:val="21"/>
                <w:szCs w:val="21"/>
              </w:rPr>
              <w:t>合格</w:t>
            </w:r>
          </w:p>
        </w:tc>
      </w:tr>
      <w:tr w14:paraId="3E87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760C561C">
            <w:pPr>
              <w:ind w:firstLine="0" w:firstLineChars="0"/>
              <w:jc w:val="center"/>
              <w:rPr>
                <w:sz w:val="21"/>
                <w:szCs w:val="21"/>
              </w:rPr>
            </w:pPr>
            <w:r>
              <w:rPr>
                <w:rFonts w:hint="eastAsia"/>
                <w:sz w:val="21"/>
                <w:szCs w:val="21"/>
              </w:rPr>
              <w:t>9</w:t>
            </w:r>
          </w:p>
        </w:tc>
        <w:tc>
          <w:tcPr>
            <w:tcW w:w="1560" w:type="dxa"/>
            <w:vAlign w:val="center"/>
          </w:tcPr>
          <w:p w14:paraId="525062E3">
            <w:pPr>
              <w:ind w:firstLine="0" w:firstLineChars="0"/>
              <w:jc w:val="center"/>
              <w:rPr>
                <w:sz w:val="21"/>
                <w:szCs w:val="21"/>
              </w:rPr>
            </w:pPr>
            <w:r>
              <w:rPr>
                <w:rFonts w:hint="eastAsia"/>
                <w:bCs/>
                <w:sz w:val="21"/>
                <w:szCs w:val="24"/>
              </w:rPr>
              <w:t>硝酸盐氮</w:t>
            </w:r>
          </w:p>
        </w:tc>
        <w:tc>
          <w:tcPr>
            <w:tcW w:w="1134" w:type="dxa"/>
            <w:vAlign w:val="center"/>
          </w:tcPr>
          <w:p w14:paraId="70EE7BE6">
            <w:pPr>
              <w:ind w:firstLine="0" w:firstLineChars="0"/>
              <w:jc w:val="center"/>
              <w:rPr>
                <w:sz w:val="21"/>
                <w:szCs w:val="21"/>
              </w:rPr>
            </w:pPr>
            <w:r>
              <w:rPr>
                <w:sz w:val="21"/>
                <w:szCs w:val="21"/>
              </w:rPr>
              <w:t>mg/L</w:t>
            </w:r>
          </w:p>
        </w:tc>
        <w:tc>
          <w:tcPr>
            <w:tcW w:w="992" w:type="dxa"/>
            <w:vAlign w:val="center"/>
          </w:tcPr>
          <w:p w14:paraId="081413CE">
            <w:pPr>
              <w:snapToGrid w:val="0"/>
              <w:ind w:firstLine="0" w:firstLineChars="0"/>
              <w:jc w:val="center"/>
              <w:rPr>
                <w:sz w:val="21"/>
                <w:szCs w:val="21"/>
              </w:rPr>
            </w:pPr>
            <w:r>
              <w:rPr>
                <w:rFonts w:hint="eastAsia"/>
                <w:sz w:val="21"/>
                <w:szCs w:val="21"/>
              </w:rPr>
              <w:t>5.08</w:t>
            </w:r>
          </w:p>
        </w:tc>
        <w:tc>
          <w:tcPr>
            <w:tcW w:w="992" w:type="dxa"/>
            <w:vAlign w:val="center"/>
          </w:tcPr>
          <w:p w14:paraId="05487306">
            <w:pPr>
              <w:snapToGrid w:val="0"/>
              <w:ind w:firstLine="0" w:firstLineChars="0"/>
              <w:jc w:val="center"/>
              <w:rPr>
                <w:sz w:val="21"/>
                <w:szCs w:val="21"/>
              </w:rPr>
            </w:pPr>
            <w:r>
              <w:rPr>
                <w:rFonts w:hint="eastAsia"/>
                <w:sz w:val="21"/>
                <w:szCs w:val="21"/>
              </w:rPr>
              <w:t>5.19</w:t>
            </w:r>
          </w:p>
        </w:tc>
        <w:tc>
          <w:tcPr>
            <w:tcW w:w="992" w:type="dxa"/>
            <w:vAlign w:val="center"/>
          </w:tcPr>
          <w:p w14:paraId="47714E99">
            <w:pPr>
              <w:snapToGrid w:val="0"/>
              <w:ind w:firstLine="0" w:firstLineChars="0"/>
              <w:jc w:val="center"/>
              <w:rPr>
                <w:sz w:val="21"/>
                <w:szCs w:val="21"/>
              </w:rPr>
            </w:pPr>
            <w:r>
              <w:rPr>
                <w:rFonts w:hint="eastAsia"/>
                <w:sz w:val="21"/>
                <w:szCs w:val="21"/>
              </w:rPr>
              <w:t>5.65</w:t>
            </w:r>
          </w:p>
        </w:tc>
        <w:tc>
          <w:tcPr>
            <w:tcW w:w="1276" w:type="dxa"/>
            <w:vAlign w:val="center"/>
          </w:tcPr>
          <w:p w14:paraId="60E11DDE">
            <w:pPr>
              <w:ind w:firstLine="0" w:firstLineChars="0"/>
              <w:jc w:val="center"/>
              <w:rPr>
                <w:sz w:val="21"/>
                <w:szCs w:val="21"/>
              </w:rPr>
            </w:pPr>
            <w:r>
              <w:rPr>
                <w:sz w:val="21"/>
                <w:szCs w:val="21"/>
              </w:rPr>
              <w:t>≤</w:t>
            </w:r>
            <w:r>
              <w:rPr>
                <w:rFonts w:hint="eastAsia"/>
                <w:sz w:val="21"/>
                <w:szCs w:val="21"/>
              </w:rPr>
              <w:t>20</w:t>
            </w:r>
            <w:r>
              <w:rPr>
                <w:sz w:val="21"/>
                <w:szCs w:val="21"/>
              </w:rPr>
              <w:t>mg/L</w:t>
            </w:r>
          </w:p>
        </w:tc>
        <w:tc>
          <w:tcPr>
            <w:tcW w:w="788" w:type="dxa"/>
            <w:vAlign w:val="center"/>
          </w:tcPr>
          <w:p w14:paraId="3743C922">
            <w:pPr>
              <w:ind w:firstLine="0" w:firstLineChars="0"/>
              <w:jc w:val="center"/>
              <w:rPr>
                <w:sz w:val="21"/>
                <w:szCs w:val="21"/>
              </w:rPr>
            </w:pPr>
            <w:r>
              <w:rPr>
                <w:rFonts w:hint="eastAsia"/>
                <w:sz w:val="21"/>
                <w:szCs w:val="21"/>
              </w:rPr>
              <w:t>合格</w:t>
            </w:r>
          </w:p>
        </w:tc>
      </w:tr>
      <w:tr w14:paraId="17C1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7D5D0FEC">
            <w:pPr>
              <w:ind w:firstLine="0" w:firstLineChars="0"/>
              <w:jc w:val="center"/>
              <w:rPr>
                <w:sz w:val="21"/>
                <w:szCs w:val="21"/>
              </w:rPr>
            </w:pPr>
            <w:r>
              <w:rPr>
                <w:rFonts w:hint="eastAsia"/>
                <w:sz w:val="21"/>
                <w:szCs w:val="21"/>
              </w:rPr>
              <w:t>10</w:t>
            </w:r>
          </w:p>
        </w:tc>
        <w:tc>
          <w:tcPr>
            <w:tcW w:w="1560" w:type="dxa"/>
            <w:vAlign w:val="center"/>
          </w:tcPr>
          <w:p w14:paraId="7638D415">
            <w:pPr>
              <w:ind w:firstLine="0" w:firstLineChars="0"/>
              <w:jc w:val="center"/>
              <w:rPr>
                <w:sz w:val="21"/>
                <w:szCs w:val="21"/>
              </w:rPr>
            </w:pPr>
            <w:r>
              <w:rPr>
                <w:rFonts w:hint="eastAsia"/>
                <w:bCs/>
                <w:sz w:val="21"/>
                <w:szCs w:val="24"/>
              </w:rPr>
              <w:t>亚硝酸盐氮</w:t>
            </w:r>
          </w:p>
        </w:tc>
        <w:tc>
          <w:tcPr>
            <w:tcW w:w="1134" w:type="dxa"/>
            <w:vAlign w:val="center"/>
          </w:tcPr>
          <w:p w14:paraId="7D2D1380">
            <w:pPr>
              <w:ind w:firstLine="0" w:firstLineChars="0"/>
              <w:jc w:val="center"/>
              <w:rPr>
                <w:sz w:val="21"/>
                <w:szCs w:val="21"/>
              </w:rPr>
            </w:pPr>
            <w:r>
              <w:rPr>
                <w:sz w:val="21"/>
                <w:szCs w:val="21"/>
              </w:rPr>
              <w:t>mg/L</w:t>
            </w:r>
          </w:p>
        </w:tc>
        <w:tc>
          <w:tcPr>
            <w:tcW w:w="992" w:type="dxa"/>
            <w:vAlign w:val="center"/>
          </w:tcPr>
          <w:p w14:paraId="455208AA">
            <w:pPr>
              <w:snapToGrid w:val="0"/>
              <w:ind w:firstLine="0" w:firstLineChars="0"/>
              <w:jc w:val="center"/>
              <w:rPr>
                <w:sz w:val="21"/>
                <w:szCs w:val="21"/>
              </w:rPr>
            </w:pPr>
            <w:r>
              <w:rPr>
                <w:rFonts w:hint="eastAsia"/>
                <w:sz w:val="21"/>
                <w:szCs w:val="21"/>
              </w:rPr>
              <w:t>＜0.003</w:t>
            </w:r>
          </w:p>
        </w:tc>
        <w:tc>
          <w:tcPr>
            <w:tcW w:w="992" w:type="dxa"/>
            <w:vAlign w:val="center"/>
          </w:tcPr>
          <w:p w14:paraId="772342A3">
            <w:pPr>
              <w:snapToGrid w:val="0"/>
              <w:ind w:firstLine="0" w:firstLineChars="0"/>
              <w:jc w:val="center"/>
              <w:rPr>
                <w:sz w:val="21"/>
                <w:szCs w:val="21"/>
              </w:rPr>
            </w:pPr>
            <w:r>
              <w:rPr>
                <w:rFonts w:hint="eastAsia"/>
                <w:sz w:val="21"/>
                <w:szCs w:val="21"/>
              </w:rPr>
              <w:t>＜0.003</w:t>
            </w:r>
          </w:p>
        </w:tc>
        <w:tc>
          <w:tcPr>
            <w:tcW w:w="992" w:type="dxa"/>
            <w:vAlign w:val="center"/>
          </w:tcPr>
          <w:p w14:paraId="1EC06219">
            <w:pPr>
              <w:snapToGrid w:val="0"/>
              <w:ind w:firstLine="0" w:firstLineChars="0"/>
              <w:jc w:val="center"/>
              <w:rPr>
                <w:sz w:val="21"/>
                <w:szCs w:val="21"/>
              </w:rPr>
            </w:pPr>
            <w:r>
              <w:rPr>
                <w:rFonts w:hint="eastAsia"/>
                <w:sz w:val="21"/>
                <w:szCs w:val="21"/>
              </w:rPr>
              <w:t>＜0.003</w:t>
            </w:r>
          </w:p>
        </w:tc>
        <w:tc>
          <w:tcPr>
            <w:tcW w:w="1276" w:type="dxa"/>
            <w:vAlign w:val="center"/>
          </w:tcPr>
          <w:p w14:paraId="55802EB9">
            <w:pPr>
              <w:ind w:firstLine="0" w:firstLineChars="0"/>
              <w:jc w:val="center"/>
              <w:rPr>
                <w:sz w:val="21"/>
                <w:szCs w:val="21"/>
              </w:rPr>
            </w:pPr>
            <w:r>
              <w:rPr>
                <w:sz w:val="21"/>
                <w:szCs w:val="21"/>
              </w:rPr>
              <w:t>≤</w:t>
            </w:r>
            <w:r>
              <w:rPr>
                <w:rFonts w:hint="eastAsia"/>
                <w:sz w:val="21"/>
                <w:szCs w:val="21"/>
              </w:rPr>
              <w:t>1.00</w:t>
            </w:r>
            <w:r>
              <w:rPr>
                <w:sz w:val="21"/>
                <w:szCs w:val="21"/>
              </w:rPr>
              <w:t>mg/L</w:t>
            </w:r>
          </w:p>
        </w:tc>
        <w:tc>
          <w:tcPr>
            <w:tcW w:w="788" w:type="dxa"/>
            <w:vAlign w:val="center"/>
          </w:tcPr>
          <w:p w14:paraId="318D60A6">
            <w:pPr>
              <w:ind w:firstLine="0" w:firstLineChars="0"/>
              <w:jc w:val="center"/>
              <w:rPr>
                <w:sz w:val="21"/>
                <w:szCs w:val="21"/>
              </w:rPr>
            </w:pPr>
            <w:r>
              <w:rPr>
                <w:rFonts w:hint="eastAsia"/>
                <w:sz w:val="21"/>
                <w:szCs w:val="21"/>
              </w:rPr>
              <w:t>合格</w:t>
            </w:r>
          </w:p>
        </w:tc>
      </w:tr>
      <w:tr w14:paraId="6932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79490EDA">
            <w:pPr>
              <w:ind w:firstLine="0" w:firstLineChars="0"/>
              <w:jc w:val="center"/>
              <w:rPr>
                <w:sz w:val="21"/>
                <w:szCs w:val="21"/>
              </w:rPr>
            </w:pPr>
            <w:r>
              <w:rPr>
                <w:rFonts w:hint="eastAsia"/>
                <w:sz w:val="21"/>
                <w:szCs w:val="21"/>
              </w:rPr>
              <w:t>11</w:t>
            </w:r>
          </w:p>
        </w:tc>
        <w:tc>
          <w:tcPr>
            <w:tcW w:w="1560" w:type="dxa"/>
            <w:vAlign w:val="center"/>
          </w:tcPr>
          <w:p w14:paraId="02CBB8B6">
            <w:pPr>
              <w:ind w:firstLine="0" w:firstLineChars="0"/>
              <w:jc w:val="center"/>
              <w:rPr>
                <w:sz w:val="21"/>
                <w:szCs w:val="21"/>
              </w:rPr>
            </w:pPr>
            <w:r>
              <w:rPr>
                <w:rFonts w:hint="eastAsia"/>
                <w:bCs/>
                <w:sz w:val="21"/>
                <w:szCs w:val="24"/>
              </w:rPr>
              <w:t>氰化物</w:t>
            </w:r>
          </w:p>
        </w:tc>
        <w:tc>
          <w:tcPr>
            <w:tcW w:w="1134" w:type="dxa"/>
            <w:vAlign w:val="center"/>
          </w:tcPr>
          <w:p w14:paraId="5C79C6CD">
            <w:pPr>
              <w:ind w:firstLine="0" w:firstLineChars="0"/>
              <w:jc w:val="center"/>
              <w:rPr>
                <w:sz w:val="21"/>
                <w:szCs w:val="21"/>
              </w:rPr>
            </w:pPr>
            <w:r>
              <w:rPr>
                <w:sz w:val="21"/>
                <w:szCs w:val="21"/>
              </w:rPr>
              <w:t>mg/L</w:t>
            </w:r>
          </w:p>
        </w:tc>
        <w:tc>
          <w:tcPr>
            <w:tcW w:w="992" w:type="dxa"/>
            <w:vAlign w:val="center"/>
          </w:tcPr>
          <w:p w14:paraId="46CC9884">
            <w:pPr>
              <w:snapToGrid w:val="0"/>
              <w:ind w:firstLine="0" w:firstLineChars="0"/>
              <w:jc w:val="center"/>
              <w:rPr>
                <w:sz w:val="21"/>
                <w:szCs w:val="21"/>
              </w:rPr>
            </w:pPr>
            <w:r>
              <w:rPr>
                <w:rFonts w:hint="eastAsia"/>
                <w:sz w:val="21"/>
                <w:szCs w:val="21"/>
              </w:rPr>
              <w:t>＜0.002</w:t>
            </w:r>
          </w:p>
        </w:tc>
        <w:tc>
          <w:tcPr>
            <w:tcW w:w="992" w:type="dxa"/>
            <w:vAlign w:val="center"/>
          </w:tcPr>
          <w:p w14:paraId="3203DBF7">
            <w:pPr>
              <w:snapToGrid w:val="0"/>
              <w:ind w:firstLine="0" w:firstLineChars="0"/>
              <w:jc w:val="center"/>
              <w:rPr>
                <w:sz w:val="21"/>
                <w:szCs w:val="21"/>
              </w:rPr>
            </w:pPr>
            <w:r>
              <w:rPr>
                <w:rFonts w:hint="eastAsia"/>
                <w:sz w:val="21"/>
                <w:szCs w:val="21"/>
              </w:rPr>
              <w:t>＜0.002</w:t>
            </w:r>
          </w:p>
        </w:tc>
        <w:tc>
          <w:tcPr>
            <w:tcW w:w="992" w:type="dxa"/>
            <w:vAlign w:val="center"/>
          </w:tcPr>
          <w:p w14:paraId="591A6EAB">
            <w:pPr>
              <w:snapToGrid w:val="0"/>
              <w:ind w:firstLine="0" w:firstLineChars="0"/>
              <w:jc w:val="center"/>
              <w:rPr>
                <w:sz w:val="21"/>
                <w:szCs w:val="21"/>
              </w:rPr>
            </w:pPr>
            <w:r>
              <w:rPr>
                <w:rFonts w:hint="eastAsia"/>
                <w:sz w:val="21"/>
                <w:szCs w:val="21"/>
              </w:rPr>
              <w:t>＜0.002</w:t>
            </w:r>
          </w:p>
        </w:tc>
        <w:tc>
          <w:tcPr>
            <w:tcW w:w="1276" w:type="dxa"/>
            <w:vAlign w:val="center"/>
          </w:tcPr>
          <w:p w14:paraId="66146B16">
            <w:pPr>
              <w:ind w:firstLine="0" w:firstLineChars="0"/>
              <w:jc w:val="center"/>
              <w:rPr>
                <w:sz w:val="21"/>
                <w:szCs w:val="21"/>
              </w:rPr>
            </w:pPr>
            <w:r>
              <w:rPr>
                <w:sz w:val="21"/>
                <w:szCs w:val="21"/>
              </w:rPr>
              <w:t>≤</w:t>
            </w:r>
            <w:r>
              <w:rPr>
                <w:rFonts w:hint="eastAsia"/>
                <w:sz w:val="21"/>
                <w:szCs w:val="21"/>
              </w:rPr>
              <w:t>0.05</w:t>
            </w:r>
            <w:r>
              <w:rPr>
                <w:sz w:val="21"/>
                <w:szCs w:val="21"/>
              </w:rPr>
              <w:t>mg/L</w:t>
            </w:r>
          </w:p>
        </w:tc>
        <w:tc>
          <w:tcPr>
            <w:tcW w:w="788" w:type="dxa"/>
            <w:vAlign w:val="center"/>
          </w:tcPr>
          <w:p w14:paraId="385D2A72">
            <w:pPr>
              <w:ind w:firstLine="0" w:firstLineChars="0"/>
              <w:jc w:val="center"/>
              <w:rPr>
                <w:sz w:val="21"/>
                <w:szCs w:val="21"/>
              </w:rPr>
            </w:pPr>
            <w:r>
              <w:rPr>
                <w:rFonts w:hint="eastAsia"/>
                <w:sz w:val="21"/>
                <w:szCs w:val="21"/>
              </w:rPr>
              <w:t>合格</w:t>
            </w:r>
          </w:p>
        </w:tc>
      </w:tr>
      <w:tr w14:paraId="4688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456D3E3A">
            <w:pPr>
              <w:ind w:firstLine="0" w:firstLineChars="0"/>
              <w:jc w:val="center"/>
              <w:rPr>
                <w:sz w:val="21"/>
                <w:szCs w:val="21"/>
              </w:rPr>
            </w:pPr>
            <w:r>
              <w:rPr>
                <w:rFonts w:hint="eastAsia"/>
                <w:sz w:val="21"/>
                <w:szCs w:val="21"/>
              </w:rPr>
              <w:t>12</w:t>
            </w:r>
          </w:p>
        </w:tc>
        <w:tc>
          <w:tcPr>
            <w:tcW w:w="1560" w:type="dxa"/>
            <w:vAlign w:val="center"/>
          </w:tcPr>
          <w:p w14:paraId="0AF9018D">
            <w:pPr>
              <w:ind w:firstLine="0" w:firstLineChars="0"/>
              <w:jc w:val="center"/>
              <w:rPr>
                <w:sz w:val="21"/>
                <w:szCs w:val="21"/>
              </w:rPr>
            </w:pPr>
            <w:r>
              <w:rPr>
                <w:rFonts w:hint="eastAsia"/>
                <w:bCs/>
                <w:sz w:val="21"/>
                <w:szCs w:val="24"/>
              </w:rPr>
              <w:t>氟化物</w:t>
            </w:r>
          </w:p>
        </w:tc>
        <w:tc>
          <w:tcPr>
            <w:tcW w:w="1134" w:type="dxa"/>
            <w:vAlign w:val="center"/>
          </w:tcPr>
          <w:p w14:paraId="0DBD46D5">
            <w:pPr>
              <w:ind w:firstLine="0" w:firstLineChars="0"/>
              <w:jc w:val="center"/>
              <w:rPr>
                <w:sz w:val="21"/>
                <w:szCs w:val="21"/>
              </w:rPr>
            </w:pPr>
            <w:r>
              <w:rPr>
                <w:sz w:val="21"/>
                <w:szCs w:val="21"/>
              </w:rPr>
              <w:t>mg/L</w:t>
            </w:r>
          </w:p>
        </w:tc>
        <w:tc>
          <w:tcPr>
            <w:tcW w:w="992" w:type="dxa"/>
            <w:vAlign w:val="center"/>
          </w:tcPr>
          <w:p w14:paraId="31530D3B">
            <w:pPr>
              <w:snapToGrid w:val="0"/>
              <w:ind w:firstLine="0" w:firstLineChars="0"/>
              <w:jc w:val="center"/>
              <w:rPr>
                <w:sz w:val="21"/>
                <w:szCs w:val="21"/>
              </w:rPr>
            </w:pPr>
            <w:r>
              <w:rPr>
                <w:rFonts w:hint="eastAsia"/>
                <w:sz w:val="21"/>
                <w:szCs w:val="21"/>
              </w:rPr>
              <w:t>0.336</w:t>
            </w:r>
          </w:p>
        </w:tc>
        <w:tc>
          <w:tcPr>
            <w:tcW w:w="992" w:type="dxa"/>
            <w:vAlign w:val="center"/>
          </w:tcPr>
          <w:p w14:paraId="5A2F5E95">
            <w:pPr>
              <w:snapToGrid w:val="0"/>
              <w:ind w:firstLine="0" w:firstLineChars="0"/>
              <w:jc w:val="center"/>
              <w:rPr>
                <w:sz w:val="21"/>
                <w:szCs w:val="21"/>
              </w:rPr>
            </w:pPr>
            <w:r>
              <w:rPr>
                <w:rFonts w:hint="eastAsia"/>
                <w:sz w:val="21"/>
                <w:szCs w:val="21"/>
              </w:rPr>
              <w:t>0.368</w:t>
            </w:r>
          </w:p>
        </w:tc>
        <w:tc>
          <w:tcPr>
            <w:tcW w:w="992" w:type="dxa"/>
            <w:vAlign w:val="center"/>
          </w:tcPr>
          <w:p w14:paraId="664C6546">
            <w:pPr>
              <w:snapToGrid w:val="0"/>
              <w:ind w:firstLine="0" w:firstLineChars="0"/>
              <w:jc w:val="center"/>
              <w:rPr>
                <w:sz w:val="21"/>
                <w:szCs w:val="21"/>
              </w:rPr>
            </w:pPr>
            <w:r>
              <w:rPr>
                <w:rFonts w:hint="eastAsia"/>
                <w:sz w:val="21"/>
                <w:szCs w:val="21"/>
              </w:rPr>
              <w:t>0.476</w:t>
            </w:r>
          </w:p>
        </w:tc>
        <w:tc>
          <w:tcPr>
            <w:tcW w:w="1276" w:type="dxa"/>
            <w:vAlign w:val="center"/>
          </w:tcPr>
          <w:p w14:paraId="1BD624E5">
            <w:pPr>
              <w:ind w:firstLine="0" w:firstLineChars="0"/>
              <w:jc w:val="center"/>
              <w:rPr>
                <w:sz w:val="21"/>
                <w:szCs w:val="21"/>
              </w:rPr>
            </w:pPr>
            <w:r>
              <w:rPr>
                <w:sz w:val="21"/>
                <w:szCs w:val="21"/>
              </w:rPr>
              <w:t>≤</w:t>
            </w:r>
            <w:r>
              <w:rPr>
                <w:rFonts w:hint="eastAsia"/>
                <w:sz w:val="21"/>
                <w:szCs w:val="21"/>
              </w:rPr>
              <w:t>1.0</w:t>
            </w:r>
            <w:r>
              <w:rPr>
                <w:sz w:val="21"/>
                <w:szCs w:val="21"/>
              </w:rPr>
              <w:t>mg/L</w:t>
            </w:r>
          </w:p>
        </w:tc>
        <w:tc>
          <w:tcPr>
            <w:tcW w:w="788" w:type="dxa"/>
            <w:vAlign w:val="center"/>
          </w:tcPr>
          <w:p w14:paraId="01521F57">
            <w:pPr>
              <w:ind w:firstLine="0" w:firstLineChars="0"/>
              <w:jc w:val="center"/>
              <w:rPr>
                <w:sz w:val="21"/>
                <w:szCs w:val="21"/>
              </w:rPr>
            </w:pPr>
            <w:r>
              <w:rPr>
                <w:rFonts w:hint="eastAsia"/>
                <w:sz w:val="21"/>
                <w:szCs w:val="21"/>
              </w:rPr>
              <w:t>合格</w:t>
            </w:r>
          </w:p>
        </w:tc>
      </w:tr>
      <w:tr w14:paraId="0381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108FFA69">
            <w:pPr>
              <w:ind w:firstLine="0" w:firstLineChars="0"/>
              <w:jc w:val="center"/>
              <w:rPr>
                <w:sz w:val="21"/>
                <w:szCs w:val="21"/>
              </w:rPr>
            </w:pPr>
            <w:r>
              <w:rPr>
                <w:rFonts w:hint="eastAsia"/>
                <w:sz w:val="21"/>
                <w:szCs w:val="21"/>
              </w:rPr>
              <w:t>13</w:t>
            </w:r>
          </w:p>
        </w:tc>
        <w:tc>
          <w:tcPr>
            <w:tcW w:w="1560" w:type="dxa"/>
            <w:vAlign w:val="center"/>
          </w:tcPr>
          <w:p w14:paraId="7E863C72">
            <w:pPr>
              <w:ind w:firstLine="0" w:firstLineChars="0"/>
              <w:jc w:val="center"/>
              <w:rPr>
                <w:sz w:val="21"/>
                <w:szCs w:val="21"/>
              </w:rPr>
            </w:pPr>
            <w:r>
              <w:rPr>
                <w:rFonts w:hint="eastAsia"/>
                <w:bCs/>
                <w:sz w:val="21"/>
                <w:szCs w:val="24"/>
              </w:rPr>
              <w:t>溶解性总固体</w:t>
            </w:r>
          </w:p>
        </w:tc>
        <w:tc>
          <w:tcPr>
            <w:tcW w:w="1134" w:type="dxa"/>
            <w:vAlign w:val="center"/>
          </w:tcPr>
          <w:p w14:paraId="7EC9EB5B">
            <w:pPr>
              <w:ind w:firstLine="0" w:firstLineChars="0"/>
              <w:jc w:val="center"/>
              <w:rPr>
                <w:sz w:val="21"/>
                <w:szCs w:val="21"/>
              </w:rPr>
            </w:pPr>
            <w:r>
              <w:rPr>
                <w:sz w:val="21"/>
                <w:szCs w:val="21"/>
              </w:rPr>
              <w:t>mg/L</w:t>
            </w:r>
          </w:p>
        </w:tc>
        <w:tc>
          <w:tcPr>
            <w:tcW w:w="992" w:type="dxa"/>
            <w:vAlign w:val="center"/>
          </w:tcPr>
          <w:p w14:paraId="2356EB56">
            <w:pPr>
              <w:snapToGrid w:val="0"/>
              <w:ind w:firstLine="0" w:firstLineChars="0"/>
              <w:jc w:val="center"/>
              <w:rPr>
                <w:sz w:val="21"/>
                <w:szCs w:val="21"/>
              </w:rPr>
            </w:pPr>
            <w:r>
              <w:rPr>
                <w:rFonts w:hint="eastAsia"/>
                <w:sz w:val="21"/>
                <w:szCs w:val="21"/>
              </w:rPr>
              <w:t>687</w:t>
            </w:r>
          </w:p>
        </w:tc>
        <w:tc>
          <w:tcPr>
            <w:tcW w:w="992" w:type="dxa"/>
            <w:vAlign w:val="center"/>
          </w:tcPr>
          <w:p w14:paraId="588EFDA9">
            <w:pPr>
              <w:snapToGrid w:val="0"/>
              <w:ind w:firstLine="0" w:firstLineChars="0"/>
              <w:jc w:val="center"/>
              <w:rPr>
                <w:sz w:val="21"/>
                <w:szCs w:val="21"/>
              </w:rPr>
            </w:pPr>
            <w:r>
              <w:rPr>
                <w:rFonts w:hint="eastAsia"/>
                <w:sz w:val="21"/>
                <w:szCs w:val="21"/>
              </w:rPr>
              <w:t>592</w:t>
            </w:r>
          </w:p>
        </w:tc>
        <w:tc>
          <w:tcPr>
            <w:tcW w:w="992" w:type="dxa"/>
            <w:vAlign w:val="center"/>
          </w:tcPr>
          <w:p w14:paraId="00A617D0">
            <w:pPr>
              <w:snapToGrid w:val="0"/>
              <w:ind w:firstLine="0" w:firstLineChars="0"/>
              <w:jc w:val="center"/>
              <w:rPr>
                <w:sz w:val="21"/>
                <w:szCs w:val="21"/>
              </w:rPr>
            </w:pPr>
            <w:r>
              <w:rPr>
                <w:rFonts w:hint="eastAsia"/>
                <w:sz w:val="21"/>
                <w:szCs w:val="21"/>
              </w:rPr>
              <w:t>664</w:t>
            </w:r>
          </w:p>
        </w:tc>
        <w:tc>
          <w:tcPr>
            <w:tcW w:w="1276" w:type="dxa"/>
            <w:vAlign w:val="center"/>
          </w:tcPr>
          <w:p w14:paraId="7EEC2AC0">
            <w:pPr>
              <w:ind w:firstLine="0" w:firstLineChars="0"/>
              <w:jc w:val="center"/>
              <w:rPr>
                <w:sz w:val="21"/>
                <w:szCs w:val="21"/>
              </w:rPr>
            </w:pPr>
            <w:r>
              <w:rPr>
                <w:sz w:val="21"/>
                <w:szCs w:val="21"/>
              </w:rPr>
              <w:t>≤</w:t>
            </w:r>
            <w:r>
              <w:rPr>
                <w:rFonts w:hint="eastAsia"/>
                <w:sz w:val="21"/>
                <w:szCs w:val="21"/>
              </w:rPr>
              <w:t>1000</w:t>
            </w:r>
            <w:r>
              <w:rPr>
                <w:sz w:val="21"/>
                <w:szCs w:val="21"/>
              </w:rPr>
              <w:t>mg/L</w:t>
            </w:r>
          </w:p>
        </w:tc>
        <w:tc>
          <w:tcPr>
            <w:tcW w:w="788" w:type="dxa"/>
            <w:vAlign w:val="center"/>
          </w:tcPr>
          <w:p w14:paraId="4530FDB0">
            <w:pPr>
              <w:ind w:firstLine="0" w:firstLineChars="0"/>
              <w:jc w:val="center"/>
              <w:rPr>
                <w:sz w:val="21"/>
                <w:szCs w:val="21"/>
              </w:rPr>
            </w:pPr>
            <w:r>
              <w:rPr>
                <w:rFonts w:hint="eastAsia"/>
                <w:sz w:val="21"/>
                <w:szCs w:val="21"/>
              </w:rPr>
              <w:t>合格</w:t>
            </w:r>
          </w:p>
        </w:tc>
      </w:tr>
      <w:tr w14:paraId="04EA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0D4AF085">
            <w:pPr>
              <w:ind w:firstLine="0" w:firstLineChars="0"/>
              <w:jc w:val="center"/>
              <w:rPr>
                <w:sz w:val="21"/>
                <w:szCs w:val="21"/>
              </w:rPr>
            </w:pPr>
            <w:r>
              <w:rPr>
                <w:rFonts w:hint="eastAsia"/>
                <w:sz w:val="21"/>
                <w:szCs w:val="21"/>
              </w:rPr>
              <w:t>14</w:t>
            </w:r>
          </w:p>
        </w:tc>
        <w:tc>
          <w:tcPr>
            <w:tcW w:w="1560" w:type="dxa"/>
            <w:vAlign w:val="center"/>
          </w:tcPr>
          <w:p w14:paraId="0EF9CAC1">
            <w:pPr>
              <w:ind w:firstLine="0" w:firstLineChars="0"/>
              <w:jc w:val="center"/>
              <w:rPr>
                <w:sz w:val="21"/>
                <w:szCs w:val="21"/>
              </w:rPr>
            </w:pPr>
            <w:r>
              <w:rPr>
                <w:rFonts w:hint="eastAsia"/>
                <w:bCs/>
                <w:sz w:val="21"/>
                <w:szCs w:val="24"/>
              </w:rPr>
              <w:t>总大肠菌群</w:t>
            </w:r>
          </w:p>
        </w:tc>
        <w:tc>
          <w:tcPr>
            <w:tcW w:w="1134" w:type="dxa"/>
            <w:vAlign w:val="center"/>
          </w:tcPr>
          <w:p w14:paraId="1FE3F694">
            <w:pPr>
              <w:snapToGrid w:val="0"/>
              <w:ind w:left="-1" w:leftChars="-44" w:right="-103" w:rightChars="-43" w:hanging="105" w:hangingChars="50"/>
              <w:jc w:val="center"/>
              <w:rPr>
                <w:sz w:val="21"/>
                <w:szCs w:val="21"/>
              </w:rPr>
            </w:pPr>
            <w:r>
              <w:rPr>
                <w:rFonts w:hint="eastAsia"/>
                <w:sz w:val="21"/>
                <w:szCs w:val="21"/>
              </w:rPr>
              <w:t>（MPN/100ml）</w:t>
            </w:r>
          </w:p>
        </w:tc>
        <w:tc>
          <w:tcPr>
            <w:tcW w:w="992" w:type="dxa"/>
            <w:vAlign w:val="center"/>
          </w:tcPr>
          <w:p w14:paraId="0777428B">
            <w:pPr>
              <w:snapToGrid w:val="0"/>
              <w:ind w:firstLine="0" w:firstLineChars="0"/>
              <w:jc w:val="center"/>
              <w:rPr>
                <w:sz w:val="21"/>
                <w:szCs w:val="21"/>
              </w:rPr>
            </w:pPr>
            <w:r>
              <w:rPr>
                <w:rFonts w:hint="eastAsia"/>
                <w:sz w:val="21"/>
                <w:szCs w:val="21"/>
              </w:rPr>
              <w:t>1.0</w:t>
            </w:r>
          </w:p>
        </w:tc>
        <w:tc>
          <w:tcPr>
            <w:tcW w:w="992" w:type="dxa"/>
            <w:vAlign w:val="center"/>
          </w:tcPr>
          <w:p w14:paraId="05407982">
            <w:pPr>
              <w:snapToGrid w:val="0"/>
              <w:ind w:firstLine="0" w:firstLineChars="0"/>
              <w:jc w:val="center"/>
              <w:rPr>
                <w:sz w:val="21"/>
                <w:szCs w:val="21"/>
              </w:rPr>
            </w:pPr>
            <w:r>
              <w:rPr>
                <w:rFonts w:hint="eastAsia"/>
                <w:sz w:val="21"/>
                <w:szCs w:val="21"/>
              </w:rPr>
              <w:t>＜1.0</w:t>
            </w:r>
          </w:p>
        </w:tc>
        <w:tc>
          <w:tcPr>
            <w:tcW w:w="992" w:type="dxa"/>
            <w:vAlign w:val="center"/>
          </w:tcPr>
          <w:p w14:paraId="15822DBF">
            <w:pPr>
              <w:snapToGrid w:val="0"/>
              <w:ind w:firstLine="0" w:firstLineChars="0"/>
              <w:jc w:val="center"/>
              <w:rPr>
                <w:sz w:val="21"/>
                <w:szCs w:val="21"/>
              </w:rPr>
            </w:pPr>
            <w:r>
              <w:rPr>
                <w:rFonts w:hint="eastAsia"/>
                <w:sz w:val="21"/>
                <w:szCs w:val="21"/>
              </w:rPr>
              <w:t>2.0</w:t>
            </w:r>
          </w:p>
        </w:tc>
        <w:tc>
          <w:tcPr>
            <w:tcW w:w="1276" w:type="dxa"/>
            <w:vAlign w:val="center"/>
          </w:tcPr>
          <w:p w14:paraId="3E21B0BC">
            <w:pPr>
              <w:ind w:firstLine="0" w:firstLineChars="0"/>
              <w:jc w:val="center"/>
              <w:rPr>
                <w:sz w:val="21"/>
                <w:szCs w:val="21"/>
              </w:rPr>
            </w:pPr>
            <w:r>
              <w:rPr>
                <w:rFonts w:hint="eastAsia"/>
                <w:sz w:val="21"/>
                <w:szCs w:val="21"/>
              </w:rPr>
              <w:t>≤3.0</w:t>
            </w:r>
          </w:p>
        </w:tc>
        <w:tc>
          <w:tcPr>
            <w:tcW w:w="788" w:type="dxa"/>
            <w:vAlign w:val="center"/>
          </w:tcPr>
          <w:p w14:paraId="2D85E68D">
            <w:pPr>
              <w:ind w:firstLine="0" w:firstLineChars="0"/>
              <w:jc w:val="center"/>
              <w:rPr>
                <w:sz w:val="21"/>
                <w:szCs w:val="21"/>
              </w:rPr>
            </w:pPr>
            <w:r>
              <w:rPr>
                <w:rFonts w:hint="eastAsia"/>
                <w:sz w:val="21"/>
                <w:szCs w:val="21"/>
              </w:rPr>
              <w:t>合格</w:t>
            </w:r>
          </w:p>
        </w:tc>
      </w:tr>
      <w:tr w14:paraId="0E89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34A19C19">
            <w:pPr>
              <w:ind w:firstLine="0" w:firstLineChars="0"/>
              <w:jc w:val="center"/>
              <w:rPr>
                <w:sz w:val="21"/>
                <w:szCs w:val="21"/>
              </w:rPr>
            </w:pPr>
            <w:r>
              <w:rPr>
                <w:rFonts w:hint="eastAsia"/>
                <w:sz w:val="21"/>
                <w:szCs w:val="21"/>
              </w:rPr>
              <w:t>15</w:t>
            </w:r>
          </w:p>
        </w:tc>
        <w:tc>
          <w:tcPr>
            <w:tcW w:w="1560" w:type="dxa"/>
            <w:vAlign w:val="center"/>
          </w:tcPr>
          <w:p w14:paraId="36EE381C">
            <w:pPr>
              <w:ind w:firstLine="0" w:firstLineChars="0"/>
              <w:jc w:val="center"/>
              <w:rPr>
                <w:sz w:val="21"/>
                <w:szCs w:val="21"/>
              </w:rPr>
            </w:pPr>
            <w:r>
              <w:rPr>
                <w:rFonts w:hint="eastAsia"/>
                <w:bCs/>
                <w:sz w:val="21"/>
                <w:szCs w:val="24"/>
              </w:rPr>
              <w:t>铁</w:t>
            </w:r>
          </w:p>
        </w:tc>
        <w:tc>
          <w:tcPr>
            <w:tcW w:w="1134" w:type="dxa"/>
            <w:vAlign w:val="center"/>
          </w:tcPr>
          <w:p w14:paraId="6BEB5985">
            <w:pPr>
              <w:ind w:firstLine="0" w:firstLineChars="0"/>
              <w:jc w:val="center"/>
              <w:rPr>
                <w:sz w:val="21"/>
                <w:szCs w:val="21"/>
              </w:rPr>
            </w:pPr>
            <w:r>
              <w:rPr>
                <w:sz w:val="21"/>
                <w:szCs w:val="21"/>
              </w:rPr>
              <w:t>mg/L</w:t>
            </w:r>
          </w:p>
        </w:tc>
        <w:tc>
          <w:tcPr>
            <w:tcW w:w="992" w:type="dxa"/>
            <w:vAlign w:val="center"/>
          </w:tcPr>
          <w:p w14:paraId="3ED62ADE">
            <w:pPr>
              <w:snapToGrid w:val="0"/>
              <w:ind w:firstLine="0" w:firstLineChars="0"/>
              <w:jc w:val="center"/>
              <w:rPr>
                <w:sz w:val="21"/>
                <w:szCs w:val="21"/>
              </w:rPr>
            </w:pPr>
            <w:r>
              <w:rPr>
                <w:rFonts w:hint="eastAsia"/>
                <w:sz w:val="21"/>
                <w:szCs w:val="21"/>
              </w:rPr>
              <w:t>＜0.03</w:t>
            </w:r>
          </w:p>
        </w:tc>
        <w:tc>
          <w:tcPr>
            <w:tcW w:w="992" w:type="dxa"/>
            <w:vAlign w:val="center"/>
          </w:tcPr>
          <w:p w14:paraId="393761B0">
            <w:pPr>
              <w:snapToGrid w:val="0"/>
              <w:ind w:firstLine="0" w:firstLineChars="0"/>
              <w:jc w:val="center"/>
              <w:rPr>
                <w:sz w:val="21"/>
                <w:szCs w:val="21"/>
              </w:rPr>
            </w:pPr>
            <w:r>
              <w:rPr>
                <w:rFonts w:hint="eastAsia"/>
                <w:sz w:val="21"/>
                <w:szCs w:val="21"/>
              </w:rPr>
              <w:t>＜0.03</w:t>
            </w:r>
          </w:p>
        </w:tc>
        <w:tc>
          <w:tcPr>
            <w:tcW w:w="992" w:type="dxa"/>
            <w:vAlign w:val="center"/>
          </w:tcPr>
          <w:p w14:paraId="1CAB6B04">
            <w:pPr>
              <w:snapToGrid w:val="0"/>
              <w:ind w:firstLine="0" w:firstLineChars="0"/>
              <w:jc w:val="center"/>
              <w:rPr>
                <w:sz w:val="21"/>
                <w:szCs w:val="21"/>
              </w:rPr>
            </w:pPr>
            <w:r>
              <w:rPr>
                <w:rFonts w:hint="eastAsia"/>
                <w:sz w:val="21"/>
                <w:szCs w:val="21"/>
              </w:rPr>
              <w:t>＜0.03</w:t>
            </w:r>
          </w:p>
        </w:tc>
        <w:tc>
          <w:tcPr>
            <w:tcW w:w="1276" w:type="dxa"/>
            <w:vAlign w:val="center"/>
          </w:tcPr>
          <w:p w14:paraId="77353644">
            <w:pPr>
              <w:ind w:firstLine="0" w:firstLineChars="0"/>
              <w:jc w:val="center"/>
              <w:rPr>
                <w:sz w:val="21"/>
                <w:szCs w:val="21"/>
              </w:rPr>
            </w:pPr>
            <w:r>
              <w:rPr>
                <w:sz w:val="21"/>
                <w:szCs w:val="21"/>
              </w:rPr>
              <w:t>≤</w:t>
            </w:r>
            <w:r>
              <w:rPr>
                <w:rFonts w:hint="eastAsia"/>
                <w:sz w:val="21"/>
                <w:szCs w:val="21"/>
              </w:rPr>
              <w:t>0.3</w:t>
            </w:r>
            <w:r>
              <w:rPr>
                <w:sz w:val="21"/>
                <w:szCs w:val="21"/>
              </w:rPr>
              <w:t>mg/L</w:t>
            </w:r>
          </w:p>
        </w:tc>
        <w:tc>
          <w:tcPr>
            <w:tcW w:w="788" w:type="dxa"/>
            <w:vAlign w:val="center"/>
          </w:tcPr>
          <w:p w14:paraId="4F6FC949">
            <w:pPr>
              <w:ind w:firstLine="0" w:firstLineChars="0"/>
              <w:jc w:val="center"/>
              <w:rPr>
                <w:sz w:val="21"/>
                <w:szCs w:val="21"/>
              </w:rPr>
            </w:pPr>
            <w:r>
              <w:rPr>
                <w:rFonts w:hint="eastAsia"/>
                <w:sz w:val="21"/>
                <w:szCs w:val="21"/>
              </w:rPr>
              <w:t>合格</w:t>
            </w:r>
          </w:p>
        </w:tc>
      </w:tr>
      <w:tr w14:paraId="489A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58D6433B">
            <w:pPr>
              <w:ind w:firstLine="0" w:firstLineChars="0"/>
              <w:jc w:val="center"/>
              <w:rPr>
                <w:sz w:val="21"/>
                <w:szCs w:val="21"/>
              </w:rPr>
            </w:pPr>
            <w:r>
              <w:rPr>
                <w:rFonts w:hint="eastAsia"/>
                <w:sz w:val="21"/>
                <w:szCs w:val="21"/>
              </w:rPr>
              <w:t>16</w:t>
            </w:r>
          </w:p>
        </w:tc>
        <w:tc>
          <w:tcPr>
            <w:tcW w:w="1560" w:type="dxa"/>
            <w:vAlign w:val="center"/>
          </w:tcPr>
          <w:p w14:paraId="2EDE06ED">
            <w:pPr>
              <w:ind w:firstLine="0" w:firstLineChars="0"/>
              <w:jc w:val="center"/>
              <w:rPr>
                <w:sz w:val="21"/>
                <w:szCs w:val="21"/>
              </w:rPr>
            </w:pPr>
            <w:r>
              <w:rPr>
                <w:rFonts w:hint="eastAsia"/>
                <w:bCs/>
                <w:sz w:val="21"/>
                <w:szCs w:val="24"/>
              </w:rPr>
              <w:t>六价铬</w:t>
            </w:r>
          </w:p>
        </w:tc>
        <w:tc>
          <w:tcPr>
            <w:tcW w:w="1134" w:type="dxa"/>
            <w:vAlign w:val="center"/>
          </w:tcPr>
          <w:p w14:paraId="16BC796F">
            <w:pPr>
              <w:ind w:firstLine="0" w:firstLineChars="0"/>
              <w:jc w:val="center"/>
              <w:rPr>
                <w:sz w:val="21"/>
                <w:szCs w:val="21"/>
              </w:rPr>
            </w:pPr>
            <w:r>
              <w:rPr>
                <w:sz w:val="21"/>
                <w:szCs w:val="21"/>
              </w:rPr>
              <w:t>mg/L</w:t>
            </w:r>
          </w:p>
        </w:tc>
        <w:tc>
          <w:tcPr>
            <w:tcW w:w="992" w:type="dxa"/>
            <w:vAlign w:val="center"/>
          </w:tcPr>
          <w:p w14:paraId="578B47CD">
            <w:pPr>
              <w:snapToGrid w:val="0"/>
              <w:ind w:firstLine="0" w:firstLineChars="0"/>
              <w:jc w:val="center"/>
              <w:rPr>
                <w:sz w:val="21"/>
                <w:szCs w:val="21"/>
              </w:rPr>
            </w:pPr>
            <w:r>
              <w:rPr>
                <w:rFonts w:hint="eastAsia"/>
                <w:sz w:val="21"/>
                <w:szCs w:val="21"/>
              </w:rPr>
              <w:t>＜0.004</w:t>
            </w:r>
          </w:p>
        </w:tc>
        <w:tc>
          <w:tcPr>
            <w:tcW w:w="992" w:type="dxa"/>
            <w:vAlign w:val="center"/>
          </w:tcPr>
          <w:p w14:paraId="154E7152">
            <w:pPr>
              <w:snapToGrid w:val="0"/>
              <w:ind w:firstLine="0" w:firstLineChars="0"/>
              <w:jc w:val="center"/>
              <w:rPr>
                <w:sz w:val="21"/>
                <w:szCs w:val="21"/>
              </w:rPr>
            </w:pPr>
            <w:r>
              <w:rPr>
                <w:rFonts w:hint="eastAsia"/>
                <w:sz w:val="21"/>
                <w:szCs w:val="21"/>
              </w:rPr>
              <w:t>＜0.004</w:t>
            </w:r>
          </w:p>
        </w:tc>
        <w:tc>
          <w:tcPr>
            <w:tcW w:w="992" w:type="dxa"/>
            <w:vAlign w:val="center"/>
          </w:tcPr>
          <w:p w14:paraId="7D5E1533">
            <w:pPr>
              <w:snapToGrid w:val="0"/>
              <w:ind w:firstLine="0" w:firstLineChars="0"/>
              <w:jc w:val="center"/>
              <w:rPr>
                <w:sz w:val="21"/>
                <w:szCs w:val="21"/>
              </w:rPr>
            </w:pPr>
            <w:r>
              <w:rPr>
                <w:rFonts w:hint="eastAsia"/>
                <w:sz w:val="21"/>
                <w:szCs w:val="21"/>
              </w:rPr>
              <w:t>＜0.004</w:t>
            </w:r>
          </w:p>
        </w:tc>
        <w:tc>
          <w:tcPr>
            <w:tcW w:w="1276" w:type="dxa"/>
            <w:vAlign w:val="center"/>
          </w:tcPr>
          <w:p w14:paraId="1D60517F">
            <w:pPr>
              <w:ind w:firstLine="0" w:firstLineChars="0"/>
              <w:jc w:val="center"/>
              <w:rPr>
                <w:sz w:val="21"/>
                <w:szCs w:val="21"/>
              </w:rPr>
            </w:pPr>
            <w:r>
              <w:rPr>
                <w:sz w:val="21"/>
                <w:szCs w:val="21"/>
              </w:rPr>
              <w:t>≤</w:t>
            </w:r>
            <w:r>
              <w:rPr>
                <w:rFonts w:hint="eastAsia"/>
                <w:sz w:val="21"/>
                <w:szCs w:val="21"/>
              </w:rPr>
              <w:t>0.50</w:t>
            </w:r>
            <w:r>
              <w:rPr>
                <w:sz w:val="21"/>
                <w:szCs w:val="21"/>
              </w:rPr>
              <w:t>mg/L</w:t>
            </w:r>
          </w:p>
        </w:tc>
        <w:tc>
          <w:tcPr>
            <w:tcW w:w="788" w:type="dxa"/>
            <w:vAlign w:val="center"/>
          </w:tcPr>
          <w:p w14:paraId="1323344E">
            <w:pPr>
              <w:ind w:firstLine="0" w:firstLineChars="0"/>
              <w:jc w:val="center"/>
              <w:rPr>
                <w:sz w:val="21"/>
                <w:szCs w:val="21"/>
              </w:rPr>
            </w:pPr>
            <w:r>
              <w:rPr>
                <w:rFonts w:hint="eastAsia"/>
                <w:sz w:val="21"/>
                <w:szCs w:val="21"/>
              </w:rPr>
              <w:t>合格</w:t>
            </w:r>
          </w:p>
        </w:tc>
      </w:tr>
      <w:tr w14:paraId="546A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6276E016">
            <w:pPr>
              <w:ind w:firstLine="0" w:firstLineChars="0"/>
              <w:jc w:val="center"/>
              <w:rPr>
                <w:sz w:val="21"/>
                <w:szCs w:val="21"/>
              </w:rPr>
            </w:pPr>
            <w:r>
              <w:rPr>
                <w:rFonts w:hint="eastAsia"/>
                <w:sz w:val="21"/>
                <w:szCs w:val="21"/>
              </w:rPr>
              <w:t>17</w:t>
            </w:r>
          </w:p>
        </w:tc>
        <w:tc>
          <w:tcPr>
            <w:tcW w:w="1560" w:type="dxa"/>
            <w:vAlign w:val="center"/>
          </w:tcPr>
          <w:p w14:paraId="057F8E4D">
            <w:pPr>
              <w:ind w:firstLine="0" w:firstLineChars="0"/>
              <w:jc w:val="center"/>
              <w:rPr>
                <w:sz w:val="21"/>
                <w:szCs w:val="21"/>
              </w:rPr>
            </w:pPr>
            <w:r>
              <w:rPr>
                <w:rFonts w:hint="eastAsia"/>
                <w:bCs/>
                <w:sz w:val="21"/>
                <w:szCs w:val="24"/>
              </w:rPr>
              <w:t>锰</w:t>
            </w:r>
          </w:p>
        </w:tc>
        <w:tc>
          <w:tcPr>
            <w:tcW w:w="1134" w:type="dxa"/>
            <w:vAlign w:val="center"/>
          </w:tcPr>
          <w:p w14:paraId="0982DF71">
            <w:pPr>
              <w:ind w:firstLine="0" w:firstLineChars="0"/>
              <w:jc w:val="center"/>
              <w:rPr>
                <w:sz w:val="21"/>
                <w:szCs w:val="21"/>
              </w:rPr>
            </w:pPr>
            <w:r>
              <w:rPr>
                <w:sz w:val="21"/>
                <w:szCs w:val="21"/>
              </w:rPr>
              <w:t>mg/L</w:t>
            </w:r>
          </w:p>
        </w:tc>
        <w:tc>
          <w:tcPr>
            <w:tcW w:w="992" w:type="dxa"/>
            <w:vAlign w:val="center"/>
          </w:tcPr>
          <w:p w14:paraId="7CC29FC1">
            <w:pPr>
              <w:snapToGrid w:val="0"/>
              <w:ind w:firstLine="0" w:firstLineChars="0"/>
              <w:jc w:val="center"/>
              <w:rPr>
                <w:sz w:val="21"/>
                <w:szCs w:val="21"/>
              </w:rPr>
            </w:pPr>
            <w:r>
              <w:rPr>
                <w:rFonts w:hint="eastAsia"/>
                <w:sz w:val="21"/>
                <w:szCs w:val="21"/>
              </w:rPr>
              <w:t>＜0.01</w:t>
            </w:r>
          </w:p>
        </w:tc>
        <w:tc>
          <w:tcPr>
            <w:tcW w:w="992" w:type="dxa"/>
            <w:vAlign w:val="center"/>
          </w:tcPr>
          <w:p w14:paraId="5177A7AC">
            <w:pPr>
              <w:snapToGrid w:val="0"/>
              <w:ind w:firstLine="0" w:firstLineChars="0"/>
              <w:jc w:val="center"/>
              <w:rPr>
                <w:sz w:val="21"/>
                <w:szCs w:val="21"/>
              </w:rPr>
            </w:pPr>
            <w:r>
              <w:rPr>
                <w:rFonts w:hint="eastAsia"/>
                <w:sz w:val="21"/>
                <w:szCs w:val="21"/>
              </w:rPr>
              <w:t>＜0.01</w:t>
            </w:r>
          </w:p>
        </w:tc>
        <w:tc>
          <w:tcPr>
            <w:tcW w:w="992" w:type="dxa"/>
            <w:vAlign w:val="center"/>
          </w:tcPr>
          <w:p w14:paraId="7668555C">
            <w:pPr>
              <w:snapToGrid w:val="0"/>
              <w:ind w:firstLine="0" w:firstLineChars="0"/>
              <w:jc w:val="center"/>
              <w:rPr>
                <w:sz w:val="21"/>
                <w:szCs w:val="21"/>
              </w:rPr>
            </w:pPr>
            <w:r>
              <w:rPr>
                <w:rFonts w:hint="eastAsia"/>
                <w:sz w:val="21"/>
                <w:szCs w:val="21"/>
              </w:rPr>
              <w:t>＜0.01</w:t>
            </w:r>
          </w:p>
        </w:tc>
        <w:tc>
          <w:tcPr>
            <w:tcW w:w="1276" w:type="dxa"/>
            <w:vAlign w:val="center"/>
          </w:tcPr>
          <w:p w14:paraId="1B9FAF7F">
            <w:pPr>
              <w:ind w:firstLine="0" w:firstLineChars="0"/>
              <w:jc w:val="center"/>
              <w:rPr>
                <w:sz w:val="21"/>
                <w:szCs w:val="21"/>
              </w:rPr>
            </w:pPr>
            <w:r>
              <w:rPr>
                <w:rFonts w:hint="eastAsia"/>
                <w:sz w:val="21"/>
                <w:szCs w:val="21"/>
              </w:rPr>
              <w:t>≤0.10</w:t>
            </w:r>
          </w:p>
        </w:tc>
        <w:tc>
          <w:tcPr>
            <w:tcW w:w="788" w:type="dxa"/>
            <w:vAlign w:val="center"/>
          </w:tcPr>
          <w:p w14:paraId="581C6564">
            <w:pPr>
              <w:ind w:firstLine="0" w:firstLineChars="0"/>
              <w:jc w:val="center"/>
              <w:rPr>
                <w:sz w:val="21"/>
                <w:szCs w:val="21"/>
              </w:rPr>
            </w:pPr>
            <w:r>
              <w:rPr>
                <w:rFonts w:hint="eastAsia"/>
                <w:sz w:val="21"/>
                <w:szCs w:val="21"/>
              </w:rPr>
              <w:t>合格</w:t>
            </w:r>
          </w:p>
        </w:tc>
      </w:tr>
      <w:tr w14:paraId="575C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15D8EDE8">
            <w:pPr>
              <w:ind w:firstLine="0" w:firstLineChars="0"/>
              <w:jc w:val="center"/>
              <w:rPr>
                <w:sz w:val="21"/>
                <w:szCs w:val="21"/>
              </w:rPr>
            </w:pPr>
            <w:r>
              <w:rPr>
                <w:rFonts w:hint="eastAsia"/>
                <w:sz w:val="21"/>
                <w:szCs w:val="21"/>
              </w:rPr>
              <w:t>18</w:t>
            </w:r>
          </w:p>
        </w:tc>
        <w:tc>
          <w:tcPr>
            <w:tcW w:w="1560" w:type="dxa"/>
            <w:vAlign w:val="center"/>
          </w:tcPr>
          <w:p w14:paraId="3E2BAA4F">
            <w:pPr>
              <w:snapToGrid w:val="0"/>
              <w:ind w:left="-1" w:leftChars="-44" w:right="-103" w:rightChars="-43" w:hanging="105" w:hangingChars="50"/>
              <w:jc w:val="center"/>
              <w:rPr>
                <w:sz w:val="21"/>
                <w:szCs w:val="21"/>
              </w:rPr>
            </w:pPr>
            <w:r>
              <w:rPr>
                <w:rFonts w:hint="eastAsia"/>
                <w:bCs/>
                <w:sz w:val="21"/>
                <w:szCs w:val="24"/>
              </w:rPr>
              <w:t>耗氧量（</w:t>
            </w:r>
            <w:r>
              <w:rPr>
                <w:rFonts w:hint="eastAsia"/>
                <w:sz w:val="21"/>
                <w:szCs w:val="21"/>
                <w:lang w:bidi="ar"/>
              </w:rPr>
              <w:t>高锰酸钾</w:t>
            </w:r>
            <w:r>
              <w:rPr>
                <w:rFonts w:hint="eastAsia"/>
                <w:bCs/>
                <w:sz w:val="21"/>
                <w:szCs w:val="24"/>
              </w:rPr>
              <w:t>指数）</w:t>
            </w:r>
          </w:p>
        </w:tc>
        <w:tc>
          <w:tcPr>
            <w:tcW w:w="1134" w:type="dxa"/>
            <w:vAlign w:val="center"/>
          </w:tcPr>
          <w:p w14:paraId="2C31680D">
            <w:pPr>
              <w:ind w:firstLine="0" w:firstLineChars="0"/>
              <w:jc w:val="center"/>
              <w:rPr>
                <w:sz w:val="21"/>
                <w:szCs w:val="21"/>
              </w:rPr>
            </w:pPr>
            <w:r>
              <w:rPr>
                <w:sz w:val="21"/>
                <w:szCs w:val="21"/>
              </w:rPr>
              <w:t>mg/L</w:t>
            </w:r>
          </w:p>
        </w:tc>
        <w:tc>
          <w:tcPr>
            <w:tcW w:w="992" w:type="dxa"/>
            <w:vAlign w:val="center"/>
          </w:tcPr>
          <w:p w14:paraId="7E717BE8">
            <w:pPr>
              <w:snapToGrid w:val="0"/>
              <w:ind w:firstLine="0" w:firstLineChars="0"/>
              <w:jc w:val="center"/>
              <w:rPr>
                <w:sz w:val="21"/>
                <w:szCs w:val="21"/>
              </w:rPr>
            </w:pPr>
            <w:r>
              <w:rPr>
                <w:rFonts w:hint="eastAsia"/>
                <w:sz w:val="21"/>
                <w:szCs w:val="21"/>
              </w:rPr>
              <w:t>1.7</w:t>
            </w:r>
          </w:p>
        </w:tc>
        <w:tc>
          <w:tcPr>
            <w:tcW w:w="992" w:type="dxa"/>
            <w:vAlign w:val="center"/>
          </w:tcPr>
          <w:p w14:paraId="62AB7488">
            <w:pPr>
              <w:snapToGrid w:val="0"/>
              <w:ind w:firstLine="0" w:firstLineChars="0"/>
              <w:jc w:val="center"/>
              <w:rPr>
                <w:sz w:val="21"/>
                <w:szCs w:val="21"/>
              </w:rPr>
            </w:pPr>
            <w:r>
              <w:rPr>
                <w:rFonts w:hint="eastAsia"/>
                <w:sz w:val="21"/>
                <w:szCs w:val="21"/>
              </w:rPr>
              <w:t>1.9</w:t>
            </w:r>
          </w:p>
        </w:tc>
        <w:tc>
          <w:tcPr>
            <w:tcW w:w="992" w:type="dxa"/>
            <w:vAlign w:val="center"/>
          </w:tcPr>
          <w:p w14:paraId="66A26BFB">
            <w:pPr>
              <w:snapToGrid w:val="0"/>
              <w:ind w:firstLine="0" w:firstLineChars="0"/>
              <w:jc w:val="center"/>
              <w:rPr>
                <w:sz w:val="21"/>
                <w:szCs w:val="21"/>
              </w:rPr>
            </w:pPr>
            <w:r>
              <w:rPr>
                <w:rFonts w:hint="eastAsia"/>
                <w:sz w:val="21"/>
                <w:szCs w:val="21"/>
              </w:rPr>
              <w:t>1.5</w:t>
            </w:r>
          </w:p>
        </w:tc>
        <w:tc>
          <w:tcPr>
            <w:tcW w:w="1276" w:type="dxa"/>
            <w:vAlign w:val="center"/>
          </w:tcPr>
          <w:p w14:paraId="00156F94">
            <w:pPr>
              <w:ind w:firstLine="0" w:firstLineChars="0"/>
              <w:jc w:val="center"/>
              <w:rPr>
                <w:sz w:val="21"/>
                <w:szCs w:val="21"/>
              </w:rPr>
            </w:pPr>
            <w:r>
              <w:rPr>
                <w:sz w:val="21"/>
                <w:szCs w:val="21"/>
              </w:rPr>
              <w:t>≤</w:t>
            </w:r>
            <w:r>
              <w:rPr>
                <w:rFonts w:hint="eastAsia"/>
                <w:sz w:val="21"/>
                <w:szCs w:val="21"/>
              </w:rPr>
              <w:t>3.0</w:t>
            </w:r>
            <w:r>
              <w:rPr>
                <w:sz w:val="21"/>
                <w:szCs w:val="21"/>
              </w:rPr>
              <w:t>mg/L</w:t>
            </w:r>
          </w:p>
        </w:tc>
        <w:tc>
          <w:tcPr>
            <w:tcW w:w="788" w:type="dxa"/>
            <w:vAlign w:val="center"/>
          </w:tcPr>
          <w:p w14:paraId="516629C0">
            <w:pPr>
              <w:ind w:firstLine="0" w:firstLineChars="0"/>
              <w:jc w:val="center"/>
              <w:rPr>
                <w:sz w:val="21"/>
                <w:szCs w:val="21"/>
              </w:rPr>
            </w:pPr>
            <w:r>
              <w:rPr>
                <w:rFonts w:hint="eastAsia"/>
                <w:sz w:val="21"/>
                <w:szCs w:val="21"/>
              </w:rPr>
              <w:t>合格</w:t>
            </w:r>
          </w:p>
        </w:tc>
      </w:tr>
      <w:tr w14:paraId="4AF6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15657C80">
            <w:pPr>
              <w:ind w:firstLine="0" w:firstLineChars="0"/>
              <w:jc w:val="center"/>
              <w:rPr>
                <w:sz w:val="21"/>
                <w:szCs w:val="21"/>
              </w:rPr>
            </w:pPr>
            <w:r>
              <w:rPr>
                <w:rFonts w:hint="eastAsia"/>
                <w:sz w:val="21"/>
                <w:szCs w:val="21"/>
              </w:rPr>
              <w:t>19</w:t>
            </w:r>
          </w:p>
        </w:tc>
        <w:tc>
          <w:tcPr>
            <w:tcW w:w="1560" w:type="dxa"/>
            <w:vAlign w:val="center"/>
          </w:tcPr>
          <w:p w14:paraId="7165FCE2">
            <w:pPr>
              <w:ind w:firstLine="0" w:firstLineChars="0"/>
              <w:jc w:val="center"/>
              <w:rPr>
                <w:sz w:val="21"/>
                <w:szCs w:val="21"/>
              </w:rPr>
            </w:pPr>
            <w:r>
              <w:rPr>
                <w:rFonts w:hint="eastAsia"/>
                <w:bCs/>
                <w:sz w:val="21"/>
                <w:szCs w:val="24"/>
              </w:rPr>
              <w:t>氯化物</w:t>
            </w:r>
          </w:p>
        </w:tc>
        <w:tc>
          <w:tcPr>
            <w:tcW w:w="1134" w:type="dxa"/>
            <w:vAlign w:val="center"/>
          </w:tcPr>
          <w:p w14:paraId="70A367C1">
            <w:pPr>
              <w:ind w:firstLine="0" w:firstLineChars="0"/>
              <w:jc w:val="center"/>
              <w:rPr>
                <w:sz w:val="21"/>
                <w:szCs w:val="21"/>
              </w:rPr>
            </w:pPr>
            <w:r>
              <w:rPr>
                <w:sz w:val="21"/>
                <w:szCs w:val="21"/>
              </w:rPr>
              <w:t>mg/L</w:t>
            </w:r>
          </w:p>
        </w:tc>
        <w:tc>
          <w:tcPr>
            <w:tcW w:w="992" w:type="dxa"/>
            <w:vAlign w:val="center"/>
          </w:tcPr>
          <w:p w14:paraId="47D0487B">
            <w:pPr>
              <w:snapToGrid w:val="0"/>
              <w:ind w:firstLine="0" w:firstLineChars="0"/>
              <w:jc w:val="center"/>
              <w:rPr>
                <w:sz w:val="21"/>
                <w:szCs w:val="21"/>
              </w:rPr>
            </w:pPr>
            <w:r>
              <w:rPr>
                <w:rFonts w:hint="eastAsia"/>
                <w:sz w:val="21"/>
                <w:szCs w:val="21"/>
              </w:rPr>
              <w:t>32.9</w:t>
            </w:r>
          </w:p>
        </w:tc>
        <w:tc>
          <w:tcPr>
            <w:tcW w:w="992" w:type="dxa"/>
            <w:vAlign w:val="center"/>
          </w:tcPr>
          <w:p w14:paraId="1C7969C8">
            <w:pPr>
              <w:snapToGrid w:val="0"/>
              <w:ind w:firstLine="0" w:firstLineChars="0"/>
              <w:jc w:val="center"/>
              <w:rPr>
                <w:sz w:val="21"/>
                <w:szCs w:val="21"/>
              </w:rPr>
            </w:pPr>
            <w:r>
              <w:rPr>
                <w:rFonts w:hint="eastAsia"/>
                <w:sz w:val="21"/>
                <w:szCs w:val="21"/>
              </w:rPr>
              <w:t>33.7</w:t>
            </w:r>
          </w:p>
        </w:tc>
        <w:tc>
          <w:tcPr>
            <w:tcW w:w="992" w:type="dxa"/>
            <w:vAlign w:val="center"/>
          </w:tcPr>
          <w:p w14:paraId="78DBE1FD">
            <w:pPr>
              <w:snapToGrid w:val="0"/>
              <w:ind w:firstLine="0" w:firstLineChars="0"/>
              <w:jc w:val="center"/>
              <w:rPr>
                <w:sz w:val="21"/>
                <w:szCs w:val="21"/>
              </w:rPr>
            </w:pPr>
            <w:r>
              <w:rPr>
                <w:rFonts w:hint="eastAsia"/>
                <w:sz w:val="21"/>
                <w:szCs w:val="21"/>
              </w:rPr>
              <w:t>37.9</w:t>
            </w:r>
          </w:p>
        </w:tc>
        <w:tc>
          <w:tcPr>
            <w:tcW w:w="1276" w:type="dxa"/>
            <w:vAlign w:val="center"/>
          </w:tcPr>
          <w:p w14:paraId="267999ED">
            <w:pPr>
              <w:ind w:firstLine="0" w:firstLineChars="0"/>
              <w:jc w:val="center"/>
              <w:rPr>
                <w:sz w:val="21"/>
                <w:szCs w:val="21"/>
              </w:rPr>
            </w:pPr>
            <w:r>
              <w:rPr>
                <w:sz w:val="21"/>
                <w:szCs w:val="21"/>
              </w:rPr>
              <w:t>≤</w:t>
            </w:r>
            <w:r>
              <w:rPr>
                <w:rFonts w:hint="eastAsia"/>
                <w:sz w:val="21"/>
                <w:szCs w:val="21"/>
              </w:rPr>
              <w:t>250</w:t>
            </w:r>
            <w:r>
              <w:rPr>
                <w:sz w:val="21"/>
                <w:szCs w:val="21"/>
              </w:rPr>
              <w:t>mg/L</w:t>
            </w:r>
          </w:p>
        </w:tc>
        <w:tc>
          <w:tcPr>
            <w:tcW w:w="788" w:type="dxa"/>
            <w:vAlign w:val="center"/>
          </w:tcPr>
          <w:p w14:paraId="2212EC0C">
            <w:pPr>
              <w:ind w:firstLine="0" w:firstLineChars="0"/>
              <w:jc w:val="center"/>
              <w:rPr>
                <w:sz w:val="21"/>
                <w:szCs w:val="21"/>
              </w:rPr>
            </w:pPr>
            <w:r>
              <w:rPr>
                <w:rFonts w:hint="eastAsia"/>
                <w:sz w:val="21"/>
                <w:szCs w:val="21"/>
              </w:rPr>
              <w:t>合格</w:t>
            </w:r>
          </w:p>
        </w:tc>
      </w:tr>
      <w:tr w14:paraId="0B11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63D26D5E">
            <w:pPr>
              <w:ind w:firstLine="0" w:firstLineChars="0"/>
              <w:jc w:val="center"/>
              <w:rPr>
                <w:sz w:val="21"/>
                <w:szCs w:val="21"/>
              </w:rPr>
            </w:pPr>
            <w:r>
              <w:rPr>
                <w:rFonts w:hint="eastAsia"/>
                <w:sz w:val="21"/>
                <w:szCs w:val="21"/>
              </w:rPr>
              <w:t>20</w:t>
            </w:r>
          </w:p>
        </w:tc>
        <w:tc>
          <w:tcPr>
            <w:tcW w:w="1560" w:type="dxa"/>
            <w:vAlign w:val="center"/>
          </w:tcPr>
          <w:p w14:paraId="1ABAA7A3">
            <w:pPr>
              <w:ind w:firstLine="0" w:firstLineChars="0"/>
              <w:jc w:val="center"/>
              <w:rPr>
                <w:sz w:val="21"/>
                <w:szCs w:val="21"/>
              </w:rPr>
            </w:pPr>
            <w:r>
              <w:rPr>
                <w:rFonts w:hint="eastAsia"/>
                <w:bCs/>
                <w:sz w:val="21"/>
                <w:szCs w:val="24"/>
              </w:rPr>
              <w:t>硫酸盐</w:t>
            </w:r>
          </w:p>
        </w:tc>
        <w:tc>
          <w:tcPr>
            <w:tcW w:w="1134" w:type="dxa"/>
            <w:vAlign w:val="center"/>
          </w:tcPr>
          <w:p w14:paraId="05BDCEB1">
            <w:pPr>
              <w:ind w:firstLine="0" w:firstLineChars="0"/>
              <w:jc w:val="center"/>
              <w:rPr>
                <w:sz w:val="21"/>
                <w:szCs w:val="21"/>
              </w:rPr>
            </w:pPr>
            <w:r>
              <w:rPr>
                <w:sz w:val="21"/>
                <w:szCs w:val="21"/>
              </w:rPr>
              <w:t>mg/L</w:t>
            </w:r>
          </w:p>
        </w:tc>
        <w:tc>
          <w:tcPr>
            <w:tcW w:w="992" w:type="dxa"/>
            <w:vAlign w:val="center"/>
          </w:tcPr>
          <w:p w14:paraId="5DAF11CC">
            <w:pPr>
              <w:snapToGrid w:val="0"/>
              <w:ind w:firstLine="0" w:firstLineChars="0"/>
              <w:jc w:val="center"/>
              <w:rPr>
                <w:sz w:val="21"/>
                <w:szCs w:val="21"/>
              </w:rPr>
            </w:pPr>
            <w:r>
              <w:rPr>
                <w:rFonts w:hint="eastAsia"/>
                <w:sz w:val="21"/>
                <w:szCs w:val="21"/>
              </w:rPr>
              <w:t>96.0</w:t>
            </w:r>
          </w:p>
        </w:tc>
        <w:tc>
          <w:tcPr>
            <w:tcW w:w="992" w:type="dxa"/>
            <w:vAlign w:val="center"/>
          </w:tcPr>
          <w:p w14:paraId="204AB37A">
            <w:pPr>
              <w:snapToGrid w:val="0"/>
              <w:ind w:firstLine="0" w:firstLineChars="0"/>
              <w:jc w:val="center"/>
              <w:rPr>
                <w:sz w:val="21"/>
                <w:szCs w:val="21"/>
              </w:rPr>
            </w:pPr>
            <w:r>
              <w:rPr>
                <w:rFonts w:hint="eastAsia"/>
                <w:sz w:val="21"/>
                <w:szCs w:val="21"/>
              </w:rPr>
              <w:t>99.1</w:t>
            </w:r>
          </w:p>
        </w:tc>
        <w:tc>
          <w:tcPr>
            <w:tcW w:w="992" w:type="dxa"/>
            <w:vAlign w:val="center"/>
          </w:tcPr>
          <w:p w14:paraId="6CD4062A">
            <w:pPr>
              <w:snapToGrid w:val="0"/>
              <w:ind w:firstLine="0" w:firstLineChars="0"/>
              <w:jc w:val="center"/>
              <w:rPr>
                <w:sz w:val="21"/>
                <w:szCs w:val="21"/>
              </w:rPr>
            </w:pPr>
            <w:r>
              <w:rPr>
                <w:rFonts w:hint="eastAsia"/>
                <w:sz w:val="21"/>
                <w:szCs w:val="21"/>
              </w:rPr>
              <w:t>111</w:t>
            </w:r>
          </w:p>
        </w:tc>
        <w:tc>
          <w:tcPr>
            <w:tcW w:w="1276" w:type="dxa"/>
            <w:vAlign w:val="center"/>
          </w:tcPr>
          <w:p w14:paraId="1CFD77F7">
            <w:pPr>
              <w:ind w:firstLine="0" w:firstLineChars="0"/>
              <w:jc w:val="center"/>
              <w:rPr>
                <w:sz w:val="21"/>
                <w:szCs w:val="21"/>
              </w:rPr>
            </w:pPr>
            <w:r>
              <w:rPr>
                <w:sz w:val="21"/>
                <w:szCs w:val="21"/>
              </w:rPr>
              <w:t>≤</w:t>
            </w:r>
            <w:r>
              <w:rPr>
                <w:rFonts w:hint="eastAsia"/>
                <w:sz w:val="21"/>
                <w:szCs w:val="21"/>
              </w:rPr>
              <w:t>250</w:t>
            </w:r>
            <w:r>
              <w:rPr>
                <w:sz w:val="21"/>
                <w:szCs w:val="21"/>
              </w:rPr>
              <w:t>mg/L</w:t>
            </w:r>
          </w:p>
        </w:tc>
        <w:tc>
          <w:tcPr>
            <w:tcW w:w="788" w:type="dxa"/>
            <w:vAlign w:val="center"/>
          </w:tcPr>
          <w:p w14:paraId="42EFF833">
            <w:pPr>
              <w:ind w:firstLine="0" w:firstLineChars="0"/>
              <w:jc w:val="center"/>
              <w:rPr>
                <w:sz w:val="21"/>
                <w:szCs w:val="21"/>
              </w:rPr>
            </w:pPr>
            <w:r>
              <w:rPr>
                <w:rFonts w:hint="eastAsia"/>
                <w:sz w:val="21"/>
                <w:szCs w:val="21"/>
              </w:rPr>
              <w:t>合格</w:t>
            </w:r>
          </w:p>
        </w:tc>
      </w:tr>
      <w:tr w14:paraId="067C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3E96F0BE">
            <w:pPr>
              <w:ind w:firstLine="0" w:firstLineChars="0"/>
              <w:jc w:val="center"/>
              <w:rPr>
                <w:sz w:val="21"/>
                <w:szCs w:val="21"/>
              </w:rPr>
            </w:pPr>
            <w:r>
              <w:rPr>
                <w:rFonts w:hint="eastAsia"/>
                <w:sz w:val="21"/>
                <w:szCs w:val="21"/>
              </w:rPr>
              <w:t>21</w:t>
            </w:r>
          </w:p>
        </w:tc>
        <w:tc>
          <w:tcPr>
            <w:tcW w:w="1560" w:type="dxa"/>
            <w:vAlign w:val="center"/>
          </w:tcPr>
          <w:p w14:paraId="3F9E6EDB">
            <w:pPr>
              <w:ind w:firstLine="0" w:firstLineChars="0"/>
              <w:jc w:val="center"/>
              <w:rPr>
                <w:bCs/>
                <w:sz w:val="21"/>
                <w:szCs w:val="24"/>
              </w:rPr>
            </w:pPr>
            <w:r>
              <w:rPr>
                <w:rFonts w:hint="eastAsia"/>
                <w:bCs/>
                <w:sz w:val="21"/>
                <w:szCs w:val="24"/>
              </w:rPr>
              <w:t>钠</w:t>
            </w:r>
          </w:p>
        </w:tc>
        <w:tc>
          <w:tcPr>
            <w:tcW w:w="1134" w:type="dxa"/>
            <w:vAlign w:val="center"/>
          </w:tcPr>
          <w:p w14:paraId="3C0FAC7D">
            <w:pPr>
              <w:ind w:firstLine="0" w:firstLineChars="0"/>
              <w:jc w:val="center"/>
              <w:rPr>
                <w:sz w:val="21"/>
                <w:szCs w:val="21"/>
              </w:rPr>
            </w:pPr>
            <w:r>
              <w:rPr>
                <w:sz w:val="21"/>
                <w:szCs w:val="21"/>
              </w:rPr>
              <w:t>mg/L</w:t>
            </w:r>
          </w:p>
        </w:tc>
        <w:tc>
          <w:tcPr>
            <w:tcW w:w="992" w:type="dxa"/>
            <w:vAlign w:val="center"/>
          </w:tcPr>
          <w:p w14:paraId="40590496">
            <w:pPr>
              <w:snapToGrid w:val="0"/>
              <w:ind w:firstLine="0" w:firstLineChars="0"/>
              <w:jc w:val="center"/>
              <w:rPr>
                <w:sz w:val="21"/>
                <w:szCs w:val="21"/>
              </w:rPr>
            </w:pPr>
            <w:r>
              <w:rPr>
                <w:rFonts w:hint="eastAsia"/>
                <w:sz w:val="21"/>
                <w:szCs w:val="21"/>
              </w:rPr>
              <w:t>29.1</w:t>
            </w:r>
          </w:p>
        </w:tc>
        <w:tc>
          <w:tcPr>
            <w:tcW w:w="992" w:type="dxa"/>
            <w:vAlign w:val="center"/>
          </w:tcPr>
          <w:p w14:paraId="3211CBC7">
            <w:pPr>
              <w:snapToGrid w:val="0"/>
              <w:ind w:firstLine="0" w:firstLineChars="0"/>
              <w:jc w:val="center"/>
              <w:rPr>
                <w:sz w:val="21"/>
                <w:szCs w:val="21"/>
              </w:rPr>
            </w:pPr>
            <w:r>
              <w:rPr>
                <w:rFonts w:hint="eastAsia"/>
                <w:sz w:val="21"/>
                <w:szCs w:val="21"/>
              </w:rPr>
              <w:t>38.3</w:t>
            </w:r>
          </w:p>
        </w:tc>
        <w:tc>
          <w:tcPr>
            <w:tcW w:w="992" w:type="dxa"/>
            <w:vAlign w:val="center"/>
          </w:tcPr>
          <w:p w14:paraId="6FC37099">
            <w:pPr>
              <w:snapToGrid w:val="0"/>
              <w:ind w:firstLine="0" w:firstLineChars="0"/>
              <w:jc w:val="center"/>
              <w:rPr>
                <w:sz w:val="21"/>
                <w:szCs w:val="21"/>
              </w:rPr>
            </w:pPr>
            <w:r>
              <w:rPr>
                <w:rFonts w:hint="eastAsia"/>
                <w:sz w:val="21"/>
                <w:szCs w:val="21"/>
              </w:rPr>
              <w:t>27.8</w:t>
            </w:r>
          </w:p>
        </w:tc>
        <w:tc>
          <w:tcPr>
            <w:tcW w:w="1276" w:type="dxa"/>
            <w:vAlign w:val="center"/>
          </w:tcPr>
          <w:p w14:paraId="37C39F95">
            <w:pPr>
              <w:ind w:firstLine="0" w:firstLineChars="0"/>
              <w:jc w:val="center"/>
              <w:rPr>
                <w:sz w:val="21"/>
                <w:szCs w:val="21"/>
              </w:rPr>
            </w:pPr>
            <w:r>
              <w:rPr>
                <w:rFonts w:hint="eastAsia"/>
                <w:sz w:val="21"/>
                <w:szCs w:val="21"/>
              </w:rPr>
              <w:t>≤200</w:t>
            </w:r>
          </w:p>
        </w:tc>
        <w:tc>
          <w:tcPr>
            <w:tcW w:w="788" w:type="dxa"/>
            <w:vAlign w:val="center"/>
          </w:tcPr>
          <w:p w14:paraId="66CDF6A9">
            <w:pPr>
              <w:ind w:firstLine="0" w:firstLineChars="0"/>
              <w:jc w:val="center"/>
              <w:rPr>
                <w:sz w:val="21"/>
                <w:szCs w:val="21"/>
              </w:rPr>
            </w:pPr>
            <w:r>
              <w:rPr>
                <w:rFonts w:hint="eastAsia"/>
                <w:sz w:val="21"/>
                <w:szCs w:val="21"/>
              </w:rPr>
              <w:t>合格</w:t>
            </w:r>
          </w:p>
        </w:tc>
      </w:tr>
      <w:tr w14:paraId="49BB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765D4748">
            <w:pPr>
              <w:ind w:firstLine="0" w:firstLineChars="0"/>
              <w:jc w:val="center"/>
              <w:rPr>
                <w:sz w:val="21"/>
                <w:szCs w:val="21"/>
              </w:rPr>
            </w:pPr>
            <w:r>
              <w:rPr>
                <w:rFonts w:hint="eastAsia"/>
                <w:sz w:val="21"/>
                <w:szCs w:val="21"/>
              </w:rPr>
              <w:t>22</w:t>
            </w:r>
          </w:p>
        </w:tc>
        <w:tc>
          <w:tcPr>
            <w:tcW w:w="1560" w:type="dxa"/>
            <w:vAlign w:val="center"/>
          </w:tcPr>
          <w:p w14:paraId="73847FDA">
            <w:pPr>
              <w:snapToGrid w:val="0"/>
              <w:ind w:left="-1" w:leftChars="-44" w:right="-103" w:rightChars="-43" w:hanging="105" w:hangingChars="50"/>
              <w:jc w:val="center"/>
              <w:rPr>
                <w:bCs/>
                <w:sz w:val="21"/>
                <w:szCs w:val="24"/>
              </w:rPr>
            </w:pPr>
            <w:r>
              <w:rPr>
                <w:rFonts w:hint="eastAsia"/>
                <w:bCs/>
                <w:sz w:val="21"/>
                <w:szCs w:val="24"/>
              </w:rPr>
              <w:t>细菌总数</w:t>
            </w:r>
          </w:p>
        </w:tc>
        <w:tc>
          <w:tcPr>
            <w:tcW w:w="1134" w:type="dxa"/>
            <w:vAlign w:val="center"/>
          </w:tcPr>
          <w:p w14:paraId="3D29C136">
            <w:pPr>
              <w:snapToGrid w:val="0"/>
              <w:ind w:leftChars="-104" w:right="-103" w:rightChars="-43" w:hanging="249" w:hangingChars="119"/>
              <w:jc w:val="center"/>
              <w:rPr>
                <w:sz w:val="21"/>
                <w:szCs w:val="21"/>
              </w:rPr>
            </w:pPr>
            <w:r>
              <w:rPr>
                <w:rFonts w:hint="eastAsia"/>
                <w:sz w:val="21"/>
                <w:szCs w:val="21"/>
              </w:rPr>
              <w:t>（CFU/mL）</w:t>
            </w:r>
          </w:p>
        </w:tc>
        <w:tc>
          <w:tcPr>
            <w:tcW w:w="992" w:type="dxa"/>
            <w:vAlign w:val="center"/>
          </w:tcPr>
          <w:p w14:paraId="05E60791">
            <w:pPr>
              <w:snapToGrid w:val="0"/>
              <w:ind w:firstLine="0" w:firstLineChars="0"/>
              <w:jc w:val="center"/>
              <w:rPr>
                <w:sz w:val="21"/>
                <w:szCs w:val="21"/>
              </w:rPr>
            </w:pPr>
            <w:r>
              <w:rPr>
                <w:rFonts w:hint="eastAsia"/>
                <w:sz w:val="21"/>
                <w:szCs w:val="21"/>
              </w:rPr>
              <w:t>29</w:t>
            </w:r>
          </w:p>
        </w:tc>
        <w:tc>
          <w:tcPr>
            <w:tcW w:w="992" w:type="dxa"/>
            <w:vAlign w:val="center"/>
          </w:tcPr>
          <w:p w14:paraId="64BCFC12">
            <w:pPr>
              <w:snapToGrid w:val="0"/>
              <w:ind w:firstLine="0" w:firstLineChars="0"/>
              <w:jc w:val="center"/>
              <w:rPr>
                <w:sz w:val="21"/>
                <w:szCs w:val="21"/>
              </w:rPr>
            </w:pPr>
            <w:r>
              <w:rPr>
                <w:rFonts w:hint="eastAsia"/>
                <w:sz w:val="21"/>
                <w:szCs w:val="21"/>
              </w:rPr>
              <w:t>38</w:t>
            </w:r>
          </w:p>
        </w:tc>
        <w:tc>
          <w:tcPr>
            <w:tcW w:w="992" w:type="dxa"/>
            <w:vAlign w:val="center"/>
          </w:tcPr>
          <w:p w14:paraId="411F39CC">
            <w:pPr>
              <w:snapToGrid w:val="0"/>
              <w:ind w:firstLine="0" w:firstLineChars="0"/>
              <w:jc w:val="center"/>
              <w:rPr>
                <w:sz w:val="21"/>
                <w:szCs w:val="21"/>
              </w:rPr>
            </w:pPr>
            <w:r>
              <w:rPr>
                <w:rFonts w:hint="eastAsia"/>
                <w:sz w:val="21"/>
                <w:szCs w:val="21"/>
              </w:rPr>
              <w:t>38</w:t>
            </w:r>
          </w:p>
        </w:tc>
        <w:tc>
          <w:tcPr>
            <w:tcW w:w="1276" w:type="dxa"/>
            <w:vAlign w:val="center"/>
          </w:tcPr>
          <w:p w14:paraId="65F9193B">
            <w:pPr>
              <w:ind w:firstLine="0" w:firstLineChars="0"/>
              <w:jc w:val="center"/>
              <w:rPr>
                <w:sz w:val="21"/>
                <w:szCs w:val="21"/>
              </w:rPr>
            </w:pPr>
            <w:r>
              <w:rPr>
                <w:rFonts w:hint="eastAsia"/>
                <w:sz w:val="21"/>
                <w:szCs w:val="21"/>
              </w:rPr>
              <w:t>≤100</w:t>
            </w:r>
          </w:p>
        </w:tc>
        <w:tc>
          <w:tcPr>
            <w:tcW w:w="788" w:type="dxa"/>
            <w:vAlign w:val="center"/>
          </w:tcPr>
          <w:p w14:paraId="2049C946">
            <w:pPr>
              <w:ind w:firstLine="0" w:firstLineChars="0"/>
              <w:jc w:val="center"/>
              <w:rPr>
                <w:sz w:val="21"/>
                <w:szCs w:val="21"/>
              </w:rPr>
            </w:pPr>
          </w:p>
        </w:tc>
      </w:tr>
      <w:tr w14:paraId="05AF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2" w:type="dxa"/>
            <w:vAlign w:val="center"/>
          </w:tcPr>
          <w:p w14:paraId="2E5D7376">
            <w:pPr>
              <w:ind w:firstLine="0" w:firstLineChars="0"/>
              <w:jc w:val="center"/>
              <w:rPr>
                <w:sz w:val="21"/>
                <w:szCs w:val="21"/>
              </w:rPr>
            </w:pPr>
            <w:r>
              <w:rPr>
                <w:rFonts w:hint="eastAsia"/>
                <w:sz w:val="21"/>
                <w:szCs w:val="21"/>
              </w:rPr>
              <w:t>23</w:t>
            </w:r>
          </w:p>
        </w:tc>
        <w:tc>
          <w:tcPr>
            <w:tcW w:w="1560" w:type="dxa"/>
            <w:vAlign w:val="center"/>
          </w:tcPr>
          <w:p w14:paraId="52235314">
            <w:pPr>
              <w:snapToGrid w:val="0"/>
              <w:ind w:left="-1" w:leftChars="-44" w:right="-103" w:rightChars="-43" w:hanging="105" w:hangingChars="50"/>
              <w:jc w:val="center"/>
              <w:rPr>
                <w:bCs/>
                <w:sz w:val="21"/>
                <w:szCs w:val="24"/>
              </w:rPr>
            </w:pPr>
            <w:r>
              <w:rPr>
                <w:rFonts w:hint="eastAsia"/>
                <w:bCs/>
                <w:sz w:val="21"/>
                <w:szCs w:val="24"/>
              </w:rPr>
              <w:t>阴离子</w:t>
            </w:r>
            <w:r>
              <w:rPr>
                <w:rFonts w:hint="eastAsia"/>
                <w:sz w:val="21"/>
                <w:szCs w:val="21"/>
                <w:lang w:bidi="ar"/>
              </w:rPr>
              <w:t>表面活性剂</w:t>
            </w:r>
          </w:p>
        </w:tc>
        <w:tc>
          <w:tcPr>
            <w:tcW w:w="1134" w:type="dxa"/>
            <w:vAlign w:val="center"/>
          </w:tcPr>
          <w:p w14:paraId="3036FE9B">
            <w:pPr>
              <w:snapToGrid w:val="0"/>
              <w:ind w:left="-1" w:leftChars="-44" w:right="-103" w:rightChars="-43" w:hanging="105" w:hangingChars="50"/>
              <w:jc w:val="center"/>
              <w:rPr>
                <w:sz w:val="21"/>
                <w:szCs w:val="21"/>
              </w:rPr>
            </w:pPr>
            <w:r>
              <w:rPr>
                <w:sz w:val="21"/>
                <w:szCs w:val="21"/>
              </w:rPr>
              <w:t>mg/L</w:t>
            </w:r>
          </w:p>
        </w:tc>
        <w:tc>
          <w:tcPr>
            <w:tcW w:w="992" w:type="dxa"/>
            <w:vAlign w:val="center"/>
          </w:tcPr>
          <w:p w14:paraId="48D26011">
            <w:pPr>
              <w:snapToGrid w:val="0"/>
              <w:ind w:firstLine="0" w:firstLineChars="0"/>
              <w:jc w:val="center"/>
              <w:rPr>
                <w:sz w:val="21"/>
                <w:szCs w:val="21"/>
              </w:rPr>
            </w:pPr>
            <w:r>
              <w:rPr>
                <w:rFonts w:hint="eastAsia"/>
                <w:sz w:val="21"/>
                <w:szCs w:val="21"/>
              </w:rPr>
              <w:t>＜0.05</w:t>
            </w:r>
          </w:p>
        </w:tc>
        <w:tc>
          <w:tcPr>
            <w:tcW w:w="992" w:type="dxa"/>
            <w:vAlign w:val="center"/>
          </w:tcPr>
          <w:p w14:paraId="49BC4B42">
            <w:pPr>
              <w:snapToGrid w:val="0"/>
              <w:ind w:firstLine="0" w:firstLineChars="0"/>
              <w:jc w:val="center"/>
              <w:rPr>
                <w:sz w:val="21"/>
                <w:szCs w:val="21"/>
              </w:rPr>
            </w:pPr>
            <w:r>
              <w:rPr>
                <w:rFonts w:hint="eastAsia"/>
                <w:sz w:val="21"/>
                <w:szCs w:val="21"/>
              </w:rPr>
              <w:t>＜0.05</w:t>
            </w:r>
          </w:p>
        </w:tc>
        <w:tc>
          <w:tcPr>
            <w:tcW w:w="992" w:type="dxa"/>
            <w:vAlign w:val="center"/>
          </w:tcPr>
          <w:p w14:paraId="57A01012">
            <w:pPr>
              <w:snapToGrid w:val="0"/>
              <w:ind w:firstLine="0" w:firstLineChars="0"/>
              <w:jc w:val="center"/>
              <w:rPr>
                <w:sz w:val="21"/>
                <w:szCs w:val="21"/>
              </w:rPr>
            </w:pPr>
            <w:r>
              <w:rPr>
                <w:rFonts w:hint="eastAsia"/>
                <w:sz w:val="21"/>
                <w:szCs w:val="21"/>
              </w:rPr>
              <w:t>＜0.05</w:t>
            </w:r>
          </w:p>
        </w:tc>
        <w:tc>
          <w:tcPr>
            <w:tcW w:w="1276" w:type="dxa"/>
            <w:vAlign w:val="center"/>
          </w:tcPr>
          <w:p w14:paraId="32956E5D">
            <w:pPr>
              <w:ind w:firstLine="0" w:firstLineChars="0"/>
              <w:jc w:val="center"/>
              <w:rPr>
                <w:sz w:val="21"/>
                <w:szCs w:val="21"/>
              </w:rPr>
            </w:pPr>
            <w:r>
              <w:rPr>
                <w:rFonts w:hint="eastAsia"/>
                <w:sz w:val="21"/>
                <w:szCs w:val="21"/>
              </w:rPr>
              <w:t>≤3.0</w:t>
            </w:r>
          </w:p>
        </w:tc>
        <w:tc>
          <w:tcPr>
            <w:tcW w:w="788" w:type="dxa"/>
            <w:vAlign w:val="center"/>
          </w:tcPr>
          <w:p w14:paraId="29B7A7E0">
            <w:pPr>
              <w:ind w:firstLine="0" w:firstLineChars="0"/>
              <w:jc w:val="center"/>
              <w:rPr>
                <w:sz w:val="21"/>
                <w:szCs w:val="21"/>
              </w:rPr>
            </w:pPr>
          </w:p>
        </w:tc>
      </w:tr>
    </w:tbl>
    <w:p w14:paraId="4AC20229">
      <w:pPr>
        <w:ind w:firstLine="480"/>
      </w:pPr>
      <w:r>
        <w:rPr>
          <w:rFonts w:hint="eastAsia"/>
        </w:rPr>
        <w:t>由上表看出，各监测点均满足</w:t>
      </w:r>
      <w:r>
        <w:rPr>
          <w:rFonts w:hint="eastAsia"/>
          <w:spacing w:val="-2"/>
          <w:szCs w:val="24"/>
          <w:lang w:val="zh-CN"/>
        </w:rPr>
        <w:t>《地下水质量标准》（GB/T14848-2017）中Ⅲ类标准，地下水环境质量现状良好。</w:t>
      </w:r>
    </w:p>
    <w:p w14:paraId="0FD9A974">
      <w:pPr>
        <w:pStyle w:val="5"/>
      </w:pPr>
      <w:bookmarkStart w:id="142" w:name="_Toc106663489"/>
      <w:r>
        <w:rPr>
          <w:rFonts w:hint="eastAsia"/>
        </w:rPr>
        <w:t>4.2.4声环境质量现状调查与评价</w:t>
      </w:r>
      <w:bookmarkEnd w:id="142"/>
    </w:p>
    <w:p w14:paraId="2C46705A">
      <w:pPr>
        <w:ind w:firstLine="480"/>
      </w:pPr>
      <w:r>
        <w:rPr>
          <w:rFonts w:hint="eastAsia"/>
        </w:rPr>
        <w:t>本次声环境质量现状评价委托新疆国环鸿泰检验检测有限公司对项目所在地声环境质量现状进行了监测，监测时间为2024年03月06日。</w:t>
      </w:r>
    </w:p>
    <w:p w14:paraId="255102CA">
      <w:pPr>
        <w:ind w:firstLine="480"/>
      </w:pPr>
      <w:r>
        <w:rPr>
          <w:rFonts w:hint="eastAsia"/>
        </w:rPr>
        <w:t>（1）监测点位</w:t>
      </w:r>
    </w:p>
    <w:p w14:paraId="2FE4CDE9">
      <w:pPr>
        <w:ind w:firstLine="480"/>
      </w:pPr>
      <w:r>
        <w:rPr>
          <w:rFonts w:hint="eastAsia"/>
        </w:rPr>
        <w:t>本项目在厂址四周设置四个监测点位，噪声监测点位图见附图4.2-1。</w:t>
      </w:r>
    </w:p>
    <w:p w14:paraId="77BC24E7">
      <w:pPr>
        <w:ind w:firstLine="480"/>
      </w:pPr>
      <w:r>
        <w:rPr>
          <w:rFonts w:hint="eastAsia"/>
        </w:rPr>
        <w:t>（2）评价标准</w:t>
      </w:r>
    </w:p>
    <w:p w14:paraId="07E0BA24">
      <w:pPr>
        <w:ind w:firstLine="480"/>
      </w:pPr>
      <w:r>
        <w:rPr>
          <w:rFonts w:hint="eastAsia"/>
        </w:rPr>
        <w:t>根据《声环境质量标准》（GB3096-2008）适用区域划分规定，项目所在地区域属于2类标准适用区，执行《声环境质量标准》（GB3096-2008）中</w:t>
      </w:r>
      <w:r>
        <w:t>1</w:t>
      </w:r>
      <w:r>
        <w:rPr>
          <w:rFonts w:hint="eastAsia"/>
        </w:rPr>
        <w:t>类标准限值，即昼间60dB（A），夜间50dB（A）。</w:t>
      </w:r>
    </w:p>
    <w:p w14:paraId="5351B33F">
      <w:pPr>
        <w:ind w:firstLine="480"/>
      </w:pPr>
      <w:r>
        <w:rPr>
          <w:rFonts w:hint="eastAsia"/>
        </w:rPr>
        <w:t>（3）监测数据及评价结果</w:t>
      </w:r>
    </w:p>
    <w:p w14:paraId="00564C43">
      <w:pPr>
        <w:ind w:firstLine="480"/>
      </w:pPr>
      <w:r>
        <w:rPr>
          <w:rFonts w:hint="eastAsia"/>
        </w:rPr>
        <w:t>项目区噪声监测结果见表4.2-8。</w:t>
      </w:r>
    </w:p>
    <w:p w14:paraId="09B847B0">
      <w:pPr>
        <w:pStyle w:val="11"/>
      </w:pPr>
      <w:r>
        <w:rPr>
          <w:rFonts w:hint="eastAsia"/>
        </w:rPr>
        <w:t>表4.2-8噪声监测结果单位：dB（A）</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799"/>
        <w:gridCol w:w="1064"/>
        <w:gridCol w:w="800"/>
        <w:gridCol w:w="800"/>
        <w:gridCol w:w="800"/>
        <w:gridCol w:w="1064"/>
        <w:gridCol w:w="800"/>
        <w:gridCol w:w="800"/>
      </w:tblGrid>
      <w:tr w14:paraId="6CA1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4" w:type="pct"/>
            <w:vAlign w:val="center"/>
          </w:tcPr>
          <w:p w14:paraId="7DA2D7E4">
            <w:pPr>
              <w:spacing w:line="360" w:lineRule="exact"/>
              <w:ind w:firstLine="0" w:firstLineChars="0"/>
              <w:jc w:val="center"/>
              <w:rPr>
                <w:sz w:val="21"/>
                <w:szCs w:val="21"/>
              </w:rPr>
            </w:pPr>
            <w:r>
              <w:rPr>
                <w:rFonts w:hint="eastAsia"/>
                <w:sz w:val="21"/>
                <w:szCs w:val="21"/>
              </w:rPr>
              <w:t>监测</w:t>
            </w:r>
            <w:r>
              <w:rPr>
                <w:sz w:val="21"/>
                <w:szCs w:val="21"/>
              </w:rPr>
              <w:t>点位</w:t>
            </w:r>
          </w:p>
        </w:tc>
        <w:tc>
          <w:tcPr>
            <w:tcW w:w="469" w:type="pct"/>
            <w:vAlign w:val="center"/>
          </w:tcPr>
          <w:p w14:paraId="6B4153CE">
            <w:pPr>
              <w:spacing w:line="360" w:lineRule="exact"/>
              <w:ind w:firstLine="0" w:firstLineChars="0"/>
              <w:jc w:val="center"/>
              <w:rPr>
                <w:sz w:val="21"/>
                <w:szCs w:val="21"/>
              </w:rPr>
            </w:pPr>
            <w:r>
              <w:rPr>
                <w:sz w:val="21"/>
                <w:szCs w:val="21"/>
              </w:rPr>
              <w:t>监测</w:t>
            </w:r>
          </w:p>
          <w:p w14:paraId="4438FED8">
            <w:pPr>
              <w:spacing w:line="360" w:lineRule="exact"/>
              <w:ind w:firstLine="0" w:firstLineChars="0"/>
              <w:jc w:val="center"/>
              <w:rPr>
                <w:sz w:val="21"/>
                <w:szCs w:val="21"/>
              </w:rPr>
            </w:pPr>
            <w:r>
              <w:rPr>
                <w:sz w:val="21"/>
                <w:szCs w:val="21"/>
              </w:rPr>
              <w:t>时间</w:t>
            </w:r>
          </w:p>
        </w:tc>
        <w:tc>
          <w:tcPr>
            <w:tcW w:w="624" w:type="pct"/>
            <w:vAlign w:val="center"/>
          </w:tcPr>
          <w:p w14:paraId="59958BCB">
            <w:pPr>
              <w:spacing w:line="360" w:lineRule="exact"/>
              <w:ind w:firstLine="0" w:firstLineChars="0"/>
              <w:jc w:val="center"/>
              <w:rPr>
                <w:sz w:val="21"/>
                <w:szCs w:val="21"/>
              </w:rPr>
            </w:pPr>
            <w:r>
              <w:rPr>
                <w:sz w:val="21"/>
                <w:szCs w:val="21"/>
              </w:rPr>
              <w:t>测量值</w:t>
            </w:r>
          </w:p>
        </w:tc>
        <w:tc>
          <w:tcPr>
            <w:tcW w:w="469" w:type="pct"/>
            <w:vAlign w:val="center"/>
          </w:tcPr>
          <w:p w14:paraId="5920D717">
            <w:pPr>
              <w:spacing w:line="360" w:lineRule="exact"/>
              <w:ind w:firstLine="0" w:firstLineChars="0"/>
              <w:jc w:val="center"/>
              <w:rPr>
                <w:sz w:val="21"/>
                <w:szCs w:val="21"/>
              </w:rPr>
            </w:pPr>
            <w:r>
              <w:rPr>
                <w:sz w:val="21"/>
                <w:szCs w:val="21"/>
              </w:rPr>
              <w:t>标准</w:t>
            </w:r>
          </w:p>
          <w:p w14:paraId="5BE88038">
            <w:pPr>
              <w:spacing w:line="360" w:lineRule="exact"/>
              <w:ind w:firstLine="0" w:firstLineChars="0"/>
              <w:jc w:val="center"/>
              <w:rPr>
                <w:sz w:val="21"/>
                <w:szCs w:val="21"/>
              </w:rPr>
            </w:pPr>
            <w:r>
              <w:rPr>
                <w:rFonts w:hint="eastAsia"/>
                <w:sz w:val="21"/>
                <w:szCs w:val="21"/>
              </w:rPr>
              <w:t>限</w:t>
            </w:r>
            <w:r>
              <w:rPr>
                <w:sz w:val="21"/>
                <w:szCs w:val="21"/>
              </w:rPr>
              <w:t>值</w:t>
            </w:r>
          </w:p>
        </w:tc>
        <w:tc>
          <w:tcPr>
            <w:tcW w:w="469" w:type="pct"/>
            <w:vAlign w:val="center"/>
          </w:tcPr>
          <w:p w14:paraId="018BCFA5">
            <w:pPr>
              <w:spacing w:line="360" w:lineRule="exact"/>
              <w:ind w:firstLine="0" w:firstLineChars="0"/>
              <w:jc w:val="center"/>
              <w:rPr>
                <w:sz w:val="21"/>
                <w:szCs w:val="21"/>
              </w:rPr>
            </w:pPr>
            <w:r>
              <w:rPr>
                <w:sz w:val="21"/>
                <w:szCs w:val="21"/>
              </w:rPr>
              <w:t>评价</w:t>
            </w:r>
          </w:p>
          <w:p w14:paraId="6BA9A49C">
            <w:pPr>
              <w:spacing w:line="360" w:lineRule="exact"/>
              <w:ind w:firstLine="0" w:firstLineChars="0"/>
              <w:jc w:val="center"/>
              <w:rPr>
                <w:sz w:val="21"/>
                <w:szCs w:val="21"/>
              </w:rPr>
            </w:pPr>
            <w:r>
              <w:rPr>
                <w:sz w:val="21"/>
                <w:szCs w:val="21"/>
              </w:rPr>
              <w:t>结果</w:t>
            </w:r>
          </w:p>
        </w:tc>
        <w:tc>
          <w:tcPr>
            <w:tcW w:w="469" w:type="pct"/>
            <w:vAlign w:val="center"/>
          </w:tcPr>
          <w:p w14:paraId="661CF34D">
            <w:pPr>
              <w:spacing w:line="360" w:lineRule="exact"/>
              <w:ind w:firstLine="0" w:firstLineChars="0"/>
              <w:jc w:val="center"/>
              <w:rPr>
                <w:sz w:val="21"/>
                <w:szCs w:val="21"/>
              </w:rPr>
            </w:pPr>
            <w:r>
              <w:rPr>
                <w:sz w:val="21"/>
                <w:szCs w:val="21"/>
              </w:rPr>
              <w:t>监测</w:t>
            </w:r>
          </w:p>
          <w:p w14:paraId="7FAEB54C">
            <w:pPr>
              <w:spacing w:line="360" w:lineRule="exact"/>
              <w:ind w:firstLine="0" w:firstLineChars="0"/>
              <w:jc w:val="center"/>
              <w:rPr>
                <w:sz w:val="21"/>
                <w:szCs w:val="21"/>
              </w:rPr>
            </w:pPr>
            <w:r>
              <w:rPr>
                <w:sz w:val="21"/>
                <w:szCs w:val="21"/>
              </w:rPr>
              <w:t>时间</w:t>
            </w:r>
          </w:p>
        </w:tc>
        <w:tc>
          <w:tcPr>
            <w:tcW w:w="624" w:type="pct"/>
            <w:vAlign w:val="center"/>
          </w:tcPr>
          <w:p w14:paraId="6C6E2D20">
            <w:pPr>
              <w:spacing w:line="360" w:lineRule="exact"/>
              <w:ind w:firstLine="0" w:firstLineChars="0"/>
              <w:jc w:val="center"/>
              <w:rPr>
                <w:sz w:val="21"/>
                <w:szCs w:val="21"/>
              </w:rPr>
            </w:pPr>
            <w:r>
              <w:rPr>
                <w:sz w:val="21"/>
                <w:szCs w:val="21"/>
              </w:rPr>
              <w:t>测</w:t>
            </w:r>
            <w:r>
              <w:rPr>
                <w:rFonts w:hint="eastAsia"/>
                <w:sz w:val="21"/>
                <w:szCs w:val="21"/>
              </w:rPr>
              <w:t>量</w:t>
            </w:r>
            <w:r>
              <w:rPr>
                <w:sz w:val="21"/>
                <w:szCs w:val="21"/>
              </w:rPr>
              <w:t>值</w:t>
            </w:r>
          </w:p>
        </w:tc>
        <w:tc>
          <w:tcPr>
            <w:tcW w:w="469" w:type="pct"/>
            <w:vAlign w:val="center"/>
          </w:tcPr>
          <w:p w14:paraId="59C62307">
            <w:pPr>
              <w:spacing w:line="360" w:lineRule="exact"/>
              <w:ind w:firstLine="0" w:firstLineChars="0"/>
              <w:jc w:val="center"/>
              <w:rPr>
                <w:sz w:val="21"/>
                <w:szCs w:val="21"/>
              </w:rPr>
            </w:pPr>
            <w:r>
              <w:rPr>
                <w:sz w:val="21"/>
                <w:szCs w:val="21"/>
              </w:rPr>
              <w:t>标准</w:t>
            </w:r>
          </w:p>
          <w:p w14:paraId="213AADDE">
            <w:pPr>
              <w:spacing w:line="360" w:lineRule="exact"/>
              <w:ind w:firstLine="0" w:firstLineChars="0"/>
              <w:jc w:val="center"/>
              <w:rPr>
                <w:sz w:val="21"/>
                <w:szCs w:val="21"/>
              </w:rPr>
            </w:pPr>
            <w:r>
              <w:rPr>
                <w:rFonts w:hint="eastAsia"/>
                <w:sz w:val="21"/>
                <w:szCs w:val="21"/>
              </w:rPr>
              <w:t>限</w:t>
            </w:r>
            <w:r>
              <w:rPr>
                <w:sz w:val="21"/>
                <w:szCs w:val="21"/>
              </w:rPr>
              <w:t>值</w:t>
            </w:r>
          </w:p>
        </w:tc>
        <w:tc>
          <w:tcPr>
            <w:tcW w:w="469" w:type="pct"/>
            <w:vAlign w:val="center"/>
          </w:tcPr>
          <w:p w14:paraId="632CEDD2">
            <w:pPr>
              <w:spacing w:line="360" w:lineRule="exact"/>
              <w:ind w:firstLine="0" w:firstLineChars="0"/>
              <w:jc w:val="center"/>
              <w:rPr>
                <w:sz w:val="21"/>
                <w:szCs w:val="21"/>
              </w:rPr>
            </w:pPr>
            <w:r>
              <w:rPr>
                <w:sz w:val="21"/>
                <w:szCs w:val="21"/>
              </w:rPr>
              <w:t>评价</w:t>
            </w:r>
          </w:p>
          <w:p w14:paraId="4DAC78C4">
            <w:pPr>
              <w:spacing w:line="360" w:lineRule="exact"/>
              <w:ind w:firstLine="0" w:firstLineChars="0"/>
              <w:jc w:val="center"/>
              <w:rPr>
                <w:sz w:val="21"/>
                <w:szCs w:val="21"/>
              </w:rPr>
            </w:pPr>
            <w:r>
              <w:rPr>
                <w:sz w:val="21"/>
                <w:szCs w:val="21"/>
              </w:rPr>
              <w:t>结果</w:t>
            </w:r>
          </w:p>
        </w:tc>
      </w:tr>
      <w:tr w14:paraId="7F7B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15FA4EE3">
            <w:pPr>
              <w:spacing w:line="360" w:lineRule="exact"/>
              <w:ind w:firstLine="0" w:firstLineChars="0"/>
              <w:jc w:val="center"/>
              <w:rPr>
                <w:sz w:val="21"/>
                <w:szCs w:val="21"/>
              </w:rPr>
            </w:pPr>
            <w:r>
              <w:rPr>
                <w:rFonts w:hint="eastAsia"/>
                <w:sz w:val="21"/>
                <w:szCs w:val="21"/>
              </w:rPr>
              <w:t>项目区北侧</w:t>
            </w:r>
          </w:p>
        </w:tc>
        <w:tc>
          <w:tcPr>
            <w:tcW w:w="469" w:type="pct"/>
            <w:vMerge w:val="restart"/>
            <w:vAlign w:val="center"/>
          </w:tcPr>
          <w:p w14:paraId="3EB12039">
            <w:pPr>
              <w:spacing w:line="360" w:lineRule="exact"/>
              <w:ind w:firstLine="0" w:firstLineChars="0"/>
              <w:jc w:val="center"/>
              <w:rPr>
                <w:sz w:val="21"/>
                <w:szCs w:val="21"/>
              </w:rPr>
            </w:pPr>
            <w:r>
              <w:rPr>
                <w:sz w:val="21"/>
                <w:szCs w:val="21"/>
              </w:rPr>
              <w:t>昼间</w:t>
            </w:r>
          </w:p>
        </w:tc>
        <w:tc>
          <w:tcPr>
            <w:tcW w:w="624" w:type="pct"/>
            <w:vAlign w:val="center"/>
          </w:tcPr>
          <w:p w14:paraId="2C2E08AB">
            <w:pPr>
              <w:widowControl/>
              <w:spacing w:line="360" w:lineRule="exact"/>
              <w:ind w:firstLine="0" w:firstLineChars="0"/>
              <w:jc w:val="center"/>
              <w:textAlignment w:val="center"/>
              <w:rPr>
                <w:sz w:val="21"/>
                <w:szCs w:val="21"/>
              </w:rPr>
            </w:pPr>
            <w:r>
              <w:rPr>
                <w:rFonts w:hint="eastAsia"/>
                <w:sz w:val="21"/>
                <w:szCs w:val="21"/>
              </w:rPr>
              <w:t>43</w:t>
            </w:r>
          </w:p>
        </w:tc>
        <w:tc>
          <w:tcPr>
            <w:tcW w:w="469" w:type="pct"/>
            <w:vAlign w:val="center"/>
          </w:tcPr>
          <w:p w14:paraId="7D0F596A">
            <w:pPr>
              <w:spacing w:line="360" w:lineRule="exact"/>
              <w:ind w:firstLine="0" w:firstLineChars="0"/>
              <w:jc w:val="center"/>
              <w:rPr>
                <w:sz w:val="21"/>
                <w:szCs w:val="21"/>
              </w:rPr>
            </w:pPr>
            <w:r>
              <w:rPr>
                <w:rFonts w:hint="eastAsia"/>
                <w:sz w:val="21"/>
                <w:szCs w:val="21"/>
              </w:rPr>
              <w:t>60</w:t>
            </w:r>
          </w:p>
        </w:tc>
        <w:tc>
          <w:tcPr>
            <w:tcW w:w="469" w:type="pct"/>
            <w:vAlign w:val="center"/>
          </w:tcPr>
          <w:p w14:paraId="50E63AC8">
            <w:pPr>
              <w:spacing w:line="360" w:lineRule="exact"/>
              <w:ind w:firstLine="0" w:firstLineChars="0"/>
              <w:jc w:val="center"/>
              <w:rPr>
                <w:sz w:val="21"/>
                <w:szCs w:val="21"/>
              </w:rPr>
            </w:pPr>
            <w:r>
              <w:rPr>
                <w:rFonts w:hint="eastAsia"/>
                <w:sz w:val="21"/>
                <w:szCs w:val="21"/>
              </w:rPr>
              <w:t>达标</w:t>
            </w:r>
          </w:p>
        </w:tc>
        <w:tc>
          <w:tcPr>
            <w:tcW w:w="469" w:type="pct"/>
            <w:vMerge w:val="restart"/>
            <w:vAlign w:val="center"/>
          </w:tcPr>
          <w:p w14:paraId="2B69ED7D">
            <w:pPr>
              <w:spacing w:line="360" w:lineRule="exact"/>
              <w:ind w:firstLine="0" w:firstLineChars="0"/>
              <w:jc w:val="center"/>
              <w:rPr>
                <w:sz w:val="21"/>
                <w:szCs w:val="21"/>
              </w:rPr>
            </w:pPr>
            <w:r>
              <w:rPr>
                <w:sz w:val="21"/>
                <w:szCs w:val="21"/>
              </w:rPr>
              <w:t>夜间</w:t>
            </w:r>
          </w:p>
        </w:tc>
        <w:tc>
          <w:tcPr>
            <w:tcW w:w="624" w:type="pct"/>
            <w:vAlign w:val="center"/>
          </w:tcPr>
          <w:p w14:paraId="19C89E4B">
            <w:pPr>
              <w:spacing w:line="360" w:lineRule="exact"/>
              <w:ind w:firstLine="0" w:firstLineChars="0"/>
              <w:jc w:val="center"/>
              <w:rPr>
                <w:sz w:val="21"/>
                <w:szCs w:val="21"/>
              </w:rPr>
            </w:pPr>
            <w:r>
              <w:rPr>
                <w:rFonts w:hint="eastAsia"/>
                <w:sz w:val="21"/>
                <w:szCs w:val="21"/>
              </w:rPr>
              <w:t>39</w:t>
            </w:r>
          </w:p>
        </w:tc>
        <w:tc>
          <w:tcPr>
            <w:tcW w:w="469" w:type="pct"/>
            <w:vAlign w:val="center"/>
          </w:tcPr>
          <w:p w14:paraId="406D5A78">
            <w:pPr>
              <w:spacing w:line="360" w:lineRule="exact"/>
              <w:ind w:firstLine="0" w:firstLineChars="0"/>
              <w:jc w:val="center"/>
              <w:rPr>
                <w:sz w:val="21"/>
                <w:szCs w:val="21"/>
              </w:rPr>
            </w:pPr>
            <w:r>
              <w:rPr>
                <w:rFonts w:hint="eastAsia"/>
                <w:sz w:val="21"/>
                <w:szCs w:val="21"/>
              </w:rPr>
              <w:t>50</w:t>
            </w:r>
          </w:p>
        </w:tc>
        <w:tc>
          <w:tcPr>
            <w:tcW w:w="469" w:type="pct"/>
            <w:vAlign w:val="center"/>
          </w:tcPr>
          <w:p w14:paraId="3E34826A">
            <w:pPr>
              <w:spacing w:line="360" w:lineRule="exact"/>
              <w:ind w:firstLine="0" w:firstLineChars="0"/>
              <w:jc w:val="center"/>
              <w:rPr>
                <w:sz w:val="21"/>
                <w:szCs w:val="21"/>
              </w:rPr>
            </w:pPr>
            <w:r>
              <w:rPr>
                <w:sz w:val="21"/>
                <w:szCs w:val="21"/>
              </w:rPr>
              <w:t>达标</w:t>
            </w:r>
          </w:p>
        </w:tc>
      </w:tr>
      <w:tr w14:paraId="6293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4F731F5A">
            <w:pPr>
              <w:spacing w:line="360" w:lineRule="exact"/>
              <w:ind w:firstLine="0" w:firstLineChars="0"/>
              <w:jc w:val="center"/>
              <w:rPr>
                <w:sz w:val="21"/>
                <w:szCs w:val="21"/>
              </w:rPr>
            </w:pPr>
            <w:r>
              <w:rPr>
                <w:rFonts w:hint="eastAsia"/>
                <w:sz w:val="21"/>
                <w:szCs w:val="21"/>
              </w:rPr>
              <w:t>项目区西侧</w:t>
            </w:r>
          </w:p>
        </w:tc>
        <w:tc>
          <w:tcPr>
            <w:tcW w:w="469" w:type="pct"/>
            <w:vMerge w:val="continue"/>
            <w:vAlign w:val="center"/>
          </w:tcPr>
          <w:p w14:paraId="0E869B56">
            <w:pPr>
              <w:spacing w:line="360" w:lineRule="exact"/>
              <w:ind w:firstLine="0" w:firstLineChars="0"/>
              <w:jc w:val="center"/>
              <w:rPr>
                <w:sz w:val="21"/>
                <w:szCs w:val="21"/>
              </w:rPr>
            </w:pPr>
          </w:p>
        </w:tc>
        <w:tc>
          <w:tcPr>
            <w:tcW w:w="624" w:type="pct"/>
            <w:vAlign w:val="center"/>
          </w:tcPr>
          <w:p w14:paraId="5D01EB56">
            <w:pPr>
              <w:widowControl/>
              <w:spacing w:line="360" w:lineRule="exact"/>
              <w:ind w:firstLine="0" w:firstLineChars="0"/>
              <w:jc w:val="center"/>
              <w:textAlignment w:val="center"/>
              <w:rPr>
                <w:sz w:val="21"/>
                <w:szCs w:val="21"/>
              </w:rPr>
            </w:pPr>
            <w:r>
              <w:rPr>
                <w:rFonts w:hint="eastAsia"/>
                <w:sz w:val="21"/>
                <w:szCs w:val="21"/>
              </w:rPr>
              <w:t>44</w:t>
            </w:r>
          </w:p>
        </w:tc>
        <w:tc>
          <w:tcPr>
            <w:tcW w:w="469" w:type="pct"/>
          </w:tcPr>
          <w:p w14:paraId="2DAE2BD1">
            <w:pPr>
              <w:spacing w:line="360" w:lineRule="exact"/>
              <w:ind w:firstLine="0" w:firstLineChars="0"/>
              <w:jc w:val="center"/>
              <w:rPr>
                <w:sz w:val="21"/>
                <w:szCs w:val="21"/>
              </w:rPr>
            </w:pPr>
            <w:r>
              <w:rPr>
                <w:rFonts w:hint="eastAsia"/>
                <w:sz w:val="21"/>
                <w:szCs w:val="21"/>
              </w:rPr>
              <w:t>60</w:t>
            </w:r>
          </w:p>
        </w:tc>
        <w:tc>
          <w:tcPr>
            <w:tcW w:w="469" w:type="pct"/>
            <w:vAlign w:val="center"/>
          </w:tcPr>
          <w:p w14:paraId="0DD3C825">
            <w:pPr>
              <w:spacing w:line="360" w:lineRule="exact"/>
              <w:ind w:firstLine="0" w:firstLineChars="0"/>
              <w:jc w:val="center"/>
              <w:rPr>
                <w:sz w:val="21"/>
                <w:szCs w:val="21"/>
              </w:rPr>
            </w:pPr>
            <w:r>
              <w:rPr>
                <w:sz w:val="21"/>
                <w:szCs w:val="21"/>
              </w:rPr>
              <w:t>达标</w:t>
            </w:r>
          </w:p>
        </w:tc>
        <w:tc>
          <w:tcPr>
            <w:tcW w:w="469" w:type="pct"/>
            <w:vMerge w:val="continue"/>
            <w:vAlign w:val="center"/>
          </w:tcPr>
          <w:p w14:paraId="10B1F768">
            <w:pPr>
              <w:spacing w:line="360" w:lineRule="exact"/>
              <w:ind w:firstLine="0" w:firstLineChars="0"/>
              <w:jc w:val="center"/>
              <w:rPr>
                <w:sz w:val="21"/>
                <w:szCs w:val="21"/>
              </w:rPr>
            </w:pPr>
          </w:p>
        </w:tc>
        <w:tc>
          <w:tcPr>
            <w:tcW w:w="624" w:type="pct"/>
            <w:vAlign w:val="center"/>
          </w:tcPr>
          <w:p w14:paraId="166CFA98">
            <w:pPr>
              <w:spacing w:line="360" w:lineRule="exact"/>
              <w:ind w:firstLine="0" w:firstLineChars="0"/>
              <w:jc w:val="center"/>
              <w:rPr>
                <w:sz w:val="21"/>
                <w:szCs w:val="21"/>
              </w:rPr>
            </w:pPr>
            <w:r>
              <w:rPr>
                <w:rFonts w:hint="eastAsia"/>
                <w:sz w:val="21"/>
                <w:szCs w:val="21"/>
              </w:rPr>
              <w:t>40</w:t>
            </w:r>
          </w:p>
        </w:tc>
        <w:tc>
          <w:tcPr>
            <w:tcW w:w="469" w:type="pct"/>
          </w:tcPr>
          <w:p w14:paraId="6DD65A54">
            <w:pPr>
              <w:spacing w:line="360" w:lineRule="exact"/>
              <w:ind w:firstLine="0" w:firstLineChars="0"/>
              <w:jc w:val="center"/>
              <w:rPr>
                <w:sz w:val="21"/>
                <w:szCs w:val="21"/>
              </w:rPr>
            </w:pPr>
            <w:r>
              <w:rPr>
                <w:rFonts w:hint="eastAsia"/>
                <w:sz w:val="21"/>
                <w:szCs w:val="21"/>
              </w:rPr>
              <w:t>50</w:t>
            </w:r>
          </w:p>
        </w:tc>
        <w:tc>
          <w:tcPr>
            <w:tcW w:w="469" w:type="pct"/>
            <w:vAlign w:val="center"/>
          </w:tcPr>
          <w:p w14:paraId="535442CC">
            <w:pPr>
              <w:spacing w:line="360" w:lineRule="exact"/>
              <w:ind w:firstLine="0" w:firstLineChars="0"/>
              <w:jc w:val="center"/>
              <w:rPr>
                <w:sz w:val="21"/>
                <w:szCs w:val="21"/>
              </w:rPr>
            </w:pPr>
            <w:r>
              <w:rPr>
                <w:sz w:val="21"/>
                <w:szCs w:val="21"/>
              </w:rPr>
              <w:t>达标</w:t>
            </w:r>
          </w:p>
        </w:tc>
      </w:tr>
      <w:tr w14:paraId="3F16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4E3ECFFB">
            <w:pPr>
              <w:spacing w:line="360" w:lineRule="exact"/>
              <w:ind w:firstLine="0" w:firstLineChars="0"/>
              <w:jc w:val="center"/>
              <w:rPr>
                <w:sz w:val="21"/>
                <w:szCs w:val="21"/>
              </w:rPr>
            </w:pPr>
            <w:r>
              <w:rPr>
                <w:rFonts w:hint="eastAsia"/>
                <w:sz w:val="21"/>
                <w:szCs w:val="21"/>
              </w:rPr>
              <w:t>项目区南侧</w:t>
            </w:r>
          </w:p>
        </w:tc>
        <w:tc>
          <w:tcPr>
            <w:tcW w:w="469" w:type="pct"/>
            <w:vMerge w:val="continue"/>
            <w:vAlign w:val="center"/>
          </w:tcPr>
          <w:p w14:paraId="5ABDA72D">
            <w:pPr>
              <w:spacing w:line="360" w:lineRule="exact"/>
              <w:ind w:firstLine="0" w:firstLineChars="0"/>
              <w:jc w:val="center"/>
              <w:rPr>
                <w:sz w:val="21"/>
                <w:szCs w:val="21"/>
              </w:rPr>
            </w:pPr>
          </w:p>
        </w:tc>
        <w:tc>
          <w:tcPr>
            <w:tcW w:w="624" w:type="pct"/>
            <w:vAlign w:val="center"/>
          </w:tcPr>
          <w:p w14:paraId="38C33EC4">
            <w:pPr>
              <w:widowControl/>
              <w:spacing w:line="360" w:lineRule="exact"/>
              <w:ind w:firstLine="0" w:firstLineChars="0"/>
              <w:jc w:val="center"/>
              <w:textAlignment w:val="center"/>
              <w:rPr>
                <w:sz w:val="21"/>
                <w:szCs w:val="21"/>
              </w:rPr>
            </w:pPr>
            <w:r>
              <w:rPr>
                <w:rFonts w:hint="eastAsia"/>
                <w:sz w:val="21"/>
                <w:szCs w:val="21"/>
              </w:rPr>
              <w:t>38</w:t>
            </w:r>
          </w:p>
        </w:tc>
        <w:tc>
          <w:tcPr>
            <w:tcW w:w="469" w:type="pct"/>
          </w:tcPr>
          <w:p w14:paraId="354BC1BE">
            <w:pPr>
              <w:spacing w:line="360" w:lineRule="exact"/>
              <w:ind w:firstLine="0" w:firstLineChars="0"/>
              <w:jc w:val="center"/>
              <w:rPr>
                <w:sz w:val="21"/>
                <w:szCs w:val="21"/>
              </w:rPr>
            </w:pPr>
            <w:r>
              <w:rPr>
                <w:rFonts w:hint="eastAsia"/>
                <w:sz w:val="21"/>
                <w:szCs w:val="21"/>
              </w:rPr>
              <w:t>60</w:t>
            </w:r>
          </w:p>
        </w:tc>
        <w:tc>
          <w:tcPr>
            <w:tcW w:w="469" w:type="pct"/>
            <w:vAlign w:val="center"/>
          </w:tcPr>
          <w:p w14:paraId="36545603">
            <w:pPr>
              <w:spacing w:line="360" w:lineRule="exact"/>
              <w:ind w:firstLine="0" w:firstLineChars="0"/>
              <w:jc w:val="center"/>
              <w:rPr>
                <w:sz w:val="21"/>
                <w:szCs w:val="21"/>
              </w:rPr>
            </w:pPr>
            <w:r>
              <w:rPr>
                <w:sz w:val="21"/>
                <w:szCs w:val="21"/>
              </w:rPr>
              <w:t>达标</w:t>
            </w:r>
          </w:p>
        </w:tc>
        <w:tc>
          <w:tcPr>
            <w:tcW w:w="469" w:type="pct"/>
            <w:vMerge w:val="continue"/>
            <w:vAlign w:val="center"/>
          </w:tcPr>
          <w:p w14:paraId="5C748F93">
            <w:pPr>
              <w:spacing w:line="360" w:lineRule="exact"/>
              <w:ind w:firstLine="0" w:firstLineChars="0"/>
              <w:jc w:val="center"/>
              <w:rPr>
                <w:sz w:val="21"/>
                <w:szCs w:val="21"/>
              </w:rPr>
            </w:pPr>
          </w:p>
        </w:tc>
        <w:tc>
          <w:tcPr>
            <w:tcW w:w="624" w:type="pct"/>
            <w:vAlign w:val="center"/>
          </w:tcPr>
          <w:p w14:paraId="7EB4D61C">
            <w:pPr>
              <w:spacing w:line="360" w:lineRule="exact"/>
              <w:ind w:firstLine="0" w:firstLineChars="0"/>
              <w:jc w:val="center"/>
              <w:rPr>
                <w:sz w:val="21"/>
                <w:szCs w:val="21"/>
              </w:rPr>
            </w:pPr>
            <w:r>
              <w:rPr>
                <w:rFonts w:hint="eastAsia"/>
                <w:sz w:val="21"/>
                <w:szCs w:val="21"/>
              </w:rPr>
              <w:t>38</w:t>
            </w:r>
          </w:p>
        </w:tc>
        <w:tc>
          <w:tcPr>
            <w:tcW w:w="469" w:type="pct"/>
          </w:tcPr>
          <w:p w14:paraId="7A86FCF5">
            <w:pPr>
              <w:spacing w:line="360" w:lineRule="exact"/>
              <w:ind w:firstLine="0" w:firstLineChars="0"/>
              <w:jc w:val="center"/>
              <w:rPr>
                <w:sz w:val="21"/>
                <w:szCs w:val="21"/>
              </w:rPr>
            </w:pPr>
            <w:r>
              <w:rPr>
                <w:rFonts w:hint="eastAsia"/>
                <w:sz w:val="21"/>
                <w:szCs w:val="21"/>
              </w:rPr>
              <w:t>50</w:t>
            </w:r>
          </w:p>
        </w:tc>
        <w:tc>
          <w:tcPr>
            <w:tcW w:w="469" w:type="pct"/>
            <w:vAlign w:val="center"/>
          </w:tcPr>
          <w:p w14:paraId="27A34EE6">
            <w:pPr>
              <w:spacing w:line="360" w:lineRule="exact"/>
              <w:ind w:firstLine="0" w:firstLineChars="0"/>
              <w:jc w:val="center"/>
              <w:rPr>
                <w:sz w:val="21"/>
                <w:szCs w:val="21"/>
              </w:rPr>
            </w:pPr>
            <w:r>
              <w:rPr>
                <w:sz w:val="21"/>
                <w:szCs w:val="21"/>
              </w:rPr>
              <w:t>达标</w:t>
            </w:r>
          </w:p>
        </w:tc>
      </w:tr>
      <w:tr w14:paraId="3AEF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5E18D94D">
            <w:pPr>
              <w:spacing w:line="360" w:lineRule="exact"/>
              <w:ind w:firstLine="0" w:firstLineChars="0"/>
              <w:jc w:val="center"/>
              <w:rPr>
                <w:sz w:val="21"/>
                <w:szCs w:val="21"/>
              </w:rPr>
            </w:pPr>
            <w:r>
              <w:rPr>
                <w:rFonts w:hint="eastAsia"/>
                <w:sz w:val="21"/>
                <w:szCs w:val="21"/>
              </w:rPr>
              <w:t>项目区东侧</w:t>
            </w:r>
          </w:p>
        </w:tc>
        <w:tc>
          <w:tcPr>
            <w:tcW w:w="469" w:type="pct"/>
            <w:vMerge w:val="continue"/>
            <w:vAlign w:val="center"/>
          </w:tcPr>
          <w:p w14:paraId="7A553D27">
            <w:pPr>
              <w:spacing w:line="360" w:lineRule="exact"/>
              <w:ind w:firstLine="0" w:firstLineChars="0"/>
              <w:jc w:val="center"/>
              <w:rPr>
                <w:sz w:val="21"/>
                <w:szCs w:val="21"/>
              </w:rPr>
            </w:pPr>
          </w:p>
        </w:tc>
        <w:tc>
          <w:tcPr>
            <w:tcW w:w="624" w:type="pct"/>
            <w:vAlign w:val="center"/>
          </w:tcPr>
          <w:p w14:paraId="33180DBC">
            <w:pPr>
              <w:widowControl/>
              <w:spacing w:line="360" w:lineRule="exact"/>
              <w:ind w:firstLine="0" w:firstLineChars="0"/>
              <w:jc w:val="center"/>
              <w:textAlignment w:val="center"/>
              <w:rPr>
                <w:sz w:val="21"/>
                <w:szCs w:val="21"/>
              </w:rPr>
            </w:pPr>
            <w:r>
              <w:rPr>
                <w:rFonts w:hint="eastAsia"/>
                <w:sz w:val="21"/>
                <w:szCs w:val="21"/>
              </w:rPr>
              <w:t>39</w:t>
            </w:r>
          </w:p>
        </w:tc>
        <w:tc>
          <w:tcPr>
            <w:tcW w:w="469" w:type="pct"/>
          </w:tcPr>
          <w:p w14:paraId="3CD3B5D8">
            <w:pPr>
              <w:spacing w:line="360" w:lineRule="exact"/>
              <w:ind w:firstLine="0" w:firstLineChars="0"/>
              <w:jc w:val="center"/>
              <w:rPr>
                <w:sz w:val="21"/>
                <w:szCs w:val="21"/>
              </w:rPr>
            </w:pPr>
            <w:r>
              <w:rPr>
                <w:rFonts w:hint="eastAsia"/>
                <w:sz w:val="21"/>
                <w:szCs w:val="21"/>
              </w:rPr>
              <w:t>60</w:t>
            </w:r>
          </w:p>
        </w:tc>
        <w:tc>
          <w:tcPr>
            <w:tcW w:w="469" w:type="pct"/>
            <w:vAlign w:val="center"/>
          </w:tcPr>
          <w:p w14:paraId="20F4036D">
            <w:pPr>
              <w:spacing w:line="360" w:lineRule="exact"/>
              <w:ind w:firstLine="0" w:firstLineChars="0"/>
              <w:jc w:val="center"/>
              <w:rPr>
                <w:sz w:val="21"/>
                <w:szCs w:val="21"/>
              </w:rPr>
            </w:pPr>
            <w:r>
              <w:rPr>
                <w:sz w:val="21"/>
                <w:szCs w:val="21"/>
              </w:rPr>
              <w:t>达标</w:t>
            </w:r>
          </w:p>
        </w:tc>
        <w:tc>
          <w:tcPr>
            <w:tcW w:w="469" w:type="pct"/>
            <w:vMerge w:val="continue"/>
            <w:vAlign w:val="center"/>
          </w:tcPr>
          <w:p w14:paraId="4C342BE9">
            <w:pPr>
              <w:spacing w:line="360" w:lineRule="exact"/>
              <w:ind w:firstLine="0" w:firstLineChars="0"/>
              <w:jc w:val="center"/>
              <w:rPr>
                <w:sz w:val="21"/>
                <w:szCs w:val="21"/>
              </w:rPr>
            </w:pPr>
          </w:p>
        </w:tc>
        <w:tc>
          <w:tcPr>
            <w:tcW w:w="624" w:type="pct"/>
            <w:vAlign w:val="center"/>
          </w:tcPr>
          <w:p w14:paraId="08857625">
            <w:pPr>
              <w:spacing w:line="360" w:lineRule="exact"/>
              <w:ind w:firstLine="0" w:firstLineChars="0"/>
              <w:jc w:val="center"/>
              <w:rPr>
                <w:sz w:val="21"/>
                <w:szCs w:val="21"/>
              </w:rPr>
            </w:pPr>
            <w:r>
              <w:rPr>
                <w:rFonts w:hint="eastAsia"/>
                <w:sz w:val="21"/>
                <w:szCs w:val="21"/>
              </w:rPr>
              <w:t>38</w:t>
            </w:r>
          </w:p>
        </w:tc>
        <w:tc>
          <w:tcPr>
            <w:tcW w:w="469" w:type="pct"/>
          </w:tcPr>
          <w:p w14:paraId="03121D85">
            <w:pPr>
              <w:spacing w:line="360" w:lineRule="exact"/>
              <w:ind w:firstLine="0" w:firstLineChars="0"/>
              <w:jc w:val="center"/>
              <w:rPr>
                <w:sz w:val="21"/>
                <w:szCs w:val="21"/>
              </w:rPr>
            </w:pPr>
            <w:r>
              <w:rPr>
                <w:rFonts w:hint="eastAsia"/>
                <w:sz w:val="21"/>
                <w:szCs w:val="21"/>
              </w:rPr>
              <w:t>50</w:t>
            </w:r>
          </w:p>
        </w:tc>
        <w:tc>
          <w:tcPr>
            <w:tcW w:w="469" w:type="pct"/>
            <w:vAlign w:val="center"/>
          </w:tcPr>
          <w:p w14:paraId="69033402">
            <w:pPr>
              <w:spacing w:line="360" w:lineRule="exact"/>
              <w:ind w:firstLine="0" w:firstLineChars="0"/>
              <w:jc w:val="center"/>
              <w:rPr>
                <w:sz w:val="21"/>
                <w:szCs w:val="21"/>
              </w:rPr>
            </w:pPr>
            <w:r>
              <w:rPr>
                <w:sz w:val="21"/>
                <w:szCs w:val="21"/>
              </w:rPr>
              <w:t>达标</w:t>
            </w:r>
          </w:p>
        </w:tc>
      </w:tr>
    </w:tbl>
    <w:p w14:paraId="0032FCD2">
      <w:pPr>
        <w:ind w:firstLine="480"/>
      </w:pPr>
      <w:r>
        <w:rPr>
          <w:rFonts w:hint="eastAsia"/>
        </w:rPr>
        <w:t>根据噪声监测结果可知，项目区厂界噪声值较低，厂界四周环境噪声均未超过《声环境质量标准》（GB3096-2008）中2类标准的限值，均能达到声环境质量标准的要求。</w:t>
      </w:r>
    </w:p>
    <w:p w14:paraId="3F19AACD">
      <w:pPr>
        <w:pStyle w:val="5"/>
      </w:pPr>
      <w:bookmarkStart w:id="143" w:name="_Toc106663490"/>
      <w:r>
        <w:rPr>
          <w:rFonts w:hint="eastAsia"/>
        </w:rPr>
        <w:t>4.2.5土壤环境质量现状调查与评价</w:t>
      </w:r>
      <w:bookmarkEnd w:id="143"/>
    </w:p>
    <w:p w14:paraId="56BA6240">
      <w:pPr>
        <w:ind w:firstLine="480"/>
      </w:pPr>
      <w:r>
        <w:rPr>
          <w:rFonts w:hint="eastAsia"/>
        </w:rPr>
        <w:t>本次土壤环境质量现状监测委托新疆国环鸿泰检验检测有限公司对项目区土壤环境进行监测，监测时间为2024年03月06日。</w:t>
      </w:r>
    </w:p>
    <w:p w14:paraId="47580911">
      <w:pPr>
        <w:ind w:firstLine="480"/>
      </w:pPr>
      <w:r>
        <w:rPr>
          <w:rFonts w:hint="eastAsia"/>
        </w:rPr>
        <w:t>（1）监测布点</w:t>
      </w:r>
    </w:p>
    <w:p w14:paraId="1760A686">
      <w:pPr>
        <w:ind w:firstLine="480"/>
      </w:pPr>
      <w:r>
        <w:rPr>
          <w:rFonts w:hint="eastAsia"/>
        </w:rPr>
        <w:t>根据《环境影响评价技术导则土壤环境（试行）》（HJ964-2018），本次土壤现状监测在占地范围内布设三个表层样点。监测点位信息见表4.2-9，监测点位图见附图4.2-1。</w:t>
      </w:r>
    </w:p>
    <w:p w14:paraId="71E111E2">
      <w:pPr>
        <w:pStyle w:val="11"/>
      </w:pPr>
      <w:r>
        <w:rPr>
          <w:rFonts w:hint="eastAsia"/>
        </w:rPr>
        <w:t>表4.2-9土壤现状监测信息一览表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857"/>
        <w:gridCol w:w="3140"/>
      </w:tblGrid>
      <w:tr w14:paraId="3677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5" w:type="pct"/>
            <w:vAlign w:val="center"/>
          </w:tcPr>
          <w:p w14:paraId="6277F593">
            <w:pPr>
              <w:spacing w:line="240" w:lineRule="auto"/>
              <w:ind w:firstLine="0" w:firstLineChars="0"/>
              <w:jc w:val="center"/>
              <w:rPr>
                <w:sz w:val="21"/>
                <w:szCs w:val="21"/>
              </w:rPr>
            </w:pPr>
            <w:r>
              <w:rPr>
                <w:rFonts w:hint="eastAsia"/>
                <w:sz w:val="21"/>
                <w:szCs w:val="21"/>
              </w:rPr>
              <w:t>监测点位</w:t>
            </w:r>
          </w:p>
        </w:tc>
        <w:tc>
          <w:tcPr>
            <w:tcW w:w="2263" w:type="pct"/>
            <w:vAlign w:val="center"/>
          </w:tcPr>
          <w:p w14:paraId="2F14E697">
            <w:pPr>
              <w:spacing w:line="240" w:lineRule="auto"/>
              <w:ind w:firstLine="0" w:firstLineChars="0"/>
              <w:jc w:val="center"/>
              <w:rPr>
                <w:sz w:val="21"/>
                <w:szCs w:val="21"/>
              </w:rPr>
            </w:pPr>
            <w:r>
              <w:rPr>
                <w:rFonts w:hint="eastAsia"/>
                <w:sz w:val="21"/>
                <w:szCs w:val="21"/>
              </w:rPr>
              <w:t>编号</w:t>
            </w:r>
          </w:p>
        </w:tc>
        <w:tc>
          <w:tcPr>
            <w:tcW w:w="1842" w:type="pct"/>
            <w:vAlign w:val="center"/>
          </w:tcPr>
          <w:p w14:paraId="4FDEEEB2">
            <w:pPr>
              <w:spacing w:line="240" w:lineRule="auto"/>
              <w:ind w:firstLine="0" w:firstLineChars="0"/>
              <w:jc w:val="center"/>
              <w:rPr>
                <w:sz w:val="21"/>
                <w:szCs w:val="21"/>
              </w:rPr>
            </w:pPr>
            <w:r>
              <w:rPr>
                <w:rFonts w:hint="eastAsia"/>
                <w:sz w:val="21"/>
                <w:szCs w:val="21"/>
              </w:rPr>
              <w:t>监测点坐标</w:t>
            </w:r>
          </w:p>
        </w:tc>
      </w:tr>
      <w:tr w14:paraId="1199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restart"/>
            <w:vAlign w:val="center"/>
          </w:tcPr>
          <w:p w14:paraId="32BA4293">
            <w:pPr>
              <w:spacing w:line="240" w:lineRule="auto"/>
              <w:ind w:firstLine="0" w:firstLineChars="0"/>
              <w:jc w:val="center"/>
              <w:rPr>
                <w:sz w:val="21"/>
                <w:szCs w:val="21"/>
              </w:rPr>
            </w:pPr>
            <w:r>
              <w:rPr>
                <w:rFonts w:hint="eastAsia"/>
                <w:sz w:val="21"/>
                <w:szCs w:val="21"/>
              </w:rPr>
              <w:t>项目区内</w:t>
            </w:r>
          </w:p>
        </w:tc>
        <w:tc>
          <w:tcPr>
            <w:tcW w:w="2263" w:type="pct"/>
            <w:vAlign w:val="center"/>
          </w:tcPr>
          <w:p w14:paraId="2E98C0B8">
            <w:pPr>
              <w:spacing w:line="240" w:lineRule="auto"/>
              <w:ind w:firstLine="0" w:firstLineChars="0"/>
              <w:jc w:val="center"/>
              <w:rPr>
                <w:sz w:val="21"/>
                <w:szCs w:val="21"/>
              </w:rPr>
            </w:pPr>
            <w:r>
              <w:rPr>
                <w:rFonts w:hint="eastAsia"/>
                <w:sz w:val="21"/>
                <w:szCs w:val="21"/>
              </w:rPr>
              <w:t>1</w:t>
            </w:r>
            <w:r>
              <w:rPr>
                <w:sz w:val="21"/>
                <w:szCs w:val="21"/>
              </w:rPr>
              <w:t>#</w:t>
            </w:r>
            <w:r>
              <w:rPr>
                <w:rFonts w:hint="eastAsia"/>
                <w:sz w:val="21"/>
                <w:szCs w:val="21"/>
              </w:rPr>
              <w:t>：项目区南侧（表层样：0~0.2m）</w:t>
            </w:r>
          </w:p>
        </w:tc>
        <w:tc>
          <w:tcPr>
            <w:tcW w:w="1842" w:type="pct"/>
            <w:vAlign w:val="center"/>
          </w:tcPr>
          <w:p w14:paraId="352618FA">
            <w:pPr>
              <w:spacing w:line="240" w:lineRule="auto"/>
              <w:ind w:firstLine="0" w:firstLineChars="0"/>
              <w:jc w:val="center"/>
              <w:rPr>
                <w:sz w:val="21"/>
                <w:szCs w:val="21"/>
              </w:rPr>
            </w:pPr>
            <w:r>
              <w:rPr>
                <w:rFonts w:hint="eastAsia"/>
                <w:sz w:val="21"/>
                <w:szCs w:val="21"/>
              </w:rPr>
              <w:t>90</w:t>
            </w:r>
            <w:r>
              <w:rPr>
                <w:sz w:val="21"/>
                <w:szCs w:val="21"/>
              </w:rPr>
              <w:t>°</w:t>
            </w:r>
            <w:r>
              <w:rPr>
                <w:rFonts w:hint="eastAsia"/>
                <w:sz w:val="21"/>
                <w:szCs w:val="21"/>
              </w:rPr>
              <w:t>06</w:t>
            </w:r>
            <w:r>
              <w:rPr>
                <w:sz w:val="21"/>
                <w:szCs w:val="21"/>
              </w:rPr>
              <w:t>′</w:t>
            </w:r>
            <w:r>
              <w:rPr>
                <w:rFonts w:hint="eastAsia"/>
                <w:sz w:val="21"/>
                <w:szCs w:val="21"/>
              </w:rPr>
              <w:t>53.71</w:t>
            </w:r>
            <w:r>
              <w:rPr>
                <w:sz w:val="21"/>
                <w:szCs w:val="21"/>
              </w:rPr>
              <w:t>″E，</w:t>
            </w:r>
            <w:r>
              <w:rPr>
                <w:rFonts w:hint="eastAsia"/>
                <w:sz w:val="21"/>
                <w:szCs w:val="21"/>
              </w:rPr>
              <w:t>44</w:t>
            </w:r>
            <w:r>
              <w:rPr>
                <w:sz w:val="21"/>
                <w:szCs w:val="21"/>
              </w:rPr>
              <w:t>°</w:t>
            </w:r>
            <w:r>
              <w:rPr>
                <w:rFonts w:hint="eastAsia"/>
                <w:sz w:val="21"/>
                <w:szCs w:val="21"/>
              </w:rPr>
              <w:t>09</w:t>
            </w:r>
            <w:r>
              <w:rPr>
                <w:sz w:val="21"/>
                <w:szCs w:val="21"/>
              </w:rPr>
              <w:t>′</w:t>
            </w:r>
            <w:r>
              <w:rPr>
                <w:rFonts w:hint="eastAsia"/>
                <w:sz w:val="21"/>
                <w:szCs w:val="21"/>
              </w:rPr>
              <w:t>53.98</w:t>
            </w:r>
            <w:r>
              <w:rPr>
                <w:sz w:val="21"/>
                <w:szCs w:val="21"/>
              </w:rPr>
              <w:t>″N</w:t>
            </w:r>
          </w:p>
        </w:tc>
      </w:tr>
      <w:tr w14:paraId="0767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continue"/>
            <w:vAlign w:val="center"/>
          </w:tcPr>
          <w:p w14:paraId="37050C08">
            <w:pPr>
              <w:spacing w:line="240" w:lineRule="auto"/>
              <w:ind w:firstLine="0" w:firstLineChars="0"/>
              <w:jc w:val="center"/>
              <w:rPr>
                <w:sz w:val="21"/>
                <w:szCs w:val="21"/>
              </w:rPr>
            </w:pPr>
          </w:p>
        </w:tc>
        <w:tc>
          <w:tcPr>
            <w:tcW w:w="2263" w:type="pct"/>
            <w:vAlign w:val="center"/>
          </w:tcPr>
          <w:p w14:paraId="57AB6DB0">
            <w:pPr>
              <w:spacing w:line="240" w:lineRule="auto"/>
              <w:ind w:firstLine="0" w:firstLineChars="0"/>
              <w:jc w:val="center"/>
              <w:rPr>
                <w:sz w:val="21"/>
                <w:szCs w:val="21"/>
              </w:rPr>
            </w:pPr>
            <w:r>
              <w:rPr>
                <w:rFonts w:hint="eastAsia"/>
                <w:sz w:val="21"/>
                <w:szCs w:val="21"/>
              </w:rPr>
              <w:t>2</w:t>
            </w:r>
            <w:r>
              <w:rPr>
                <w:sz w:val="21"/>
                <w:szCs w:val="21"/>
              </w:rPr>
              <w:t>#</w:t>
            </w:r>
            <w:r>
              <w:rPr>
                <w:rFonts w:hint="eastAsia"/>
                <w:sz w:val="21"/>
                <w:szCs w:val="21"/>
              </w:rPr>
              <w:t>：项目区中间（表层样：0~0.2m）</w:t>
            </w:r>
          </w:p>
        </w:tc>
        <w:tc>
          <w:tcPr>
            <w:tcW w:w="1842" w:type="pct"/>
            <w:vAlign w:val="center"/>
          </w:tcPr>
          <w:p w14:paraId="669BF085">
            <w:pPr>
              <w:spacing w:line="240" w:lineRule="auto"/>
              <w:ind w:firstLine="0" w:firstLineChars="0"/>
              <w:jc w:val="center"/>
              <w:rPr>
                <w:sz w:val="21"/>
                <w:szCs w:val="21"/>
              </w:rPr>
            </w:pPr>
            <w:r>
              <w:rPr>
                <w:rFonts w:hint="eastAsia"/>
                <w:sz w:val="21"/>
                <w:szCs w:val="21"/>
              </w:rPr>
              <w:t>90</w:t>
            </w:r>
            <w:r>
              <w:rPr>
                <w:sz w:val="21"/>
                <w:szCs w:val="21"/>
              </w:rPr>
              <w:t>°</w:t>
            </w:r>
            <w:r>
              <w:rPr>
                <w:rFonts w:hint="eastAsia"/>
                <w:sz w:val="21"/>
                <w:szCs w:val="21"/>
              </w:rPr>
              <w:t>06</w:t>
            </w:r>
            <w:r>
              <w:rPr>
                <w:sz w:val="21"/>
                <w:szCs w:val="21"/>
              </w:rPr>
              <w:t>′</w:t>
            </w:r>
            <w:r>
              <w:rPr>
                <w:rFonts w:hint="eastAsia"/>
                <w:sz w:val="21"/>
                <w:szCs w:val="21"/>
              </w:rPr>
              <w:t>53.70</w:t>
            </w:r>
            <w:r>
              <w:rPr>
                <w:sz w:val="21"/>
                <w:szCs w:val="21"/>
              </w:rPr>
              <w:t>″E，</w:t>
            </w:r>
            <w:r>
              <w:rPr>
                <w:rFonts w:hint="eastAsia"/>
                <w:sz w:val="21"/>
                <w:szCs w:val="21"/>
              </w:rPr>
              <w:t>44</w:t>
            </w:r>
            <w:r>
              <w:rPr>
                <w:sz w:val="21"/>
                <w:szCs w:val="21"/>
              </w:rPr>
              <w:t>°</w:t>
            </w:r>
            <w:r>
              <w:rPr>
                <w:rFonts w:hint="eastAsia"/>
                <w:sz w:val="21"/>
                <w:szCs w:val="21"/>
              </w:rPr>
              <w:t>09</w:t>
            </w:r>
            <w:r>
              <w:rPr>
                <w:sz w:val="21"/>
                <w:szCs w:val="21"/>
              </w:rPr>
              <w:t>′</w:t>
            </w:r>
            <w:r>
              <w:rPr>
                <w:rFonts w:hint="eastAsia"/>
                <w:sz w:val="21"/>
                <w:szCs w:val="21"/>
              </w:rPr>
              <w:t>49.54</w:t>
            </w:r>
            <w:r>
              <w:rPr>
                <w:sz w:val="21"/>
                <w:szCs w:val="21"/>
              </w:rPr>
              <w:t>″N</w:t>
            </w:r>
          </w:p>
        </w:tc>
      </w:tr>
      <w:tr w14:paraId="5B3F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continue"/>
            <w:vAlign w:val="center"/>
          </w:tcPr>
          <w:p w14:paraId="19752CB7">
            <w:pPr>
              <w:spacing w:line="240" w:lineRule="auto"/>
              <w:ind w:firstLine="0" w:firstLineChars="0"/>
              <w:jc w:val="center"/>
              <w:rPr>
                <w:sz w:val="21"/>
                <w:szCs w:val="21"/>
              </w:rPr>
            </w:pPr>
          </w:p>
        </w:tc>
        <w:tc>
          <w:tcPr>
            <w:tcW w:w="2263" w:type="pct"/>
            <w:vAlign w:val="center"/>
          </w:tcPr>
          <w:p w14:paraId="3F4131FC">
            <w:pPr>
              <w:spacing w:line="240" w:lineRule="auto"/>
              <w:ind w:firstLine="0" w:firstLineChars="0"/>
              <w:jc w:val="center"/>
              <w:rPr>
                <w:sz w:val="21"/>
                <w:szCs w:val="21"/>
              </w:rPr>
            </w:pPr>
            <w:r>
              <w:rPr>
                <w:rFonts w:hint="eastAsia"/>
                <w:sz w:val="21"/>
                <w:szCs w:val="21"/>
              </w:rPr>
              <w:t>3</w:t>
            </w:r>
            <w:r>
              <w:rPr>
                <w:sz w:val="21"/>
                <w:szCs w:val="21"/>
              </w:rPr>
              <w:t>#</w:t>
            </w:r>
            <w:r>
              <w:rPr>
                <w:rFonts w:hint="eastAsia"/>
                <w:sz w:val="21"/>
                <w:szCs w:val="21"/>
              </w:rPr>
              <w:t>：项目区北侧（表层样：0~0.2m）</w:t>
            </w:r>
          </w:p>
        </w:tc>
        <w:tc>
          <w:tcPr>
            <w:tcW w:w="1842" w:type="pct"/>
            <w:vAlign w:val="center"/>
          </w:tcPr>
          <w:p w14:paraId="432771A7">
            <w:pPr>
              <w:spacing w:line="240" w:lineRule="auto"/>
              <w:ind w:firstLine="0" w:firstLineChars="0"/>
              <w:jc w:val="center"/>
              <w:rPr>
                <w:sz w:val="21"/>
                <w:szCs w:val="21"/>
              </w:rPr>
            </w:pPr>
            <w:r>
              <w:rPr>
                <w:rFonts w:hint="eastAsia"/>
                <w:sz w:val="21"/>
                <w:szCs w:val="21"/>
              </w:rPr>
              <w:t>90</w:t>
            </w:r>
            <w:r>
              <w:rPr>
                <w:sz w:val="21"/>
                <w:szCs w:val="21"/>
              </w:rPr>
              <w:t>°</w:t>
            </w:r>
            <w:r>
              <w:rPr>
                <w:rFonts w:hint="eastAsia"/>
                <w:sz w:val="21"/>
                <w:szCs w:val="21"/>
              </w:rPr>
              <w:t>06</w:t>
            </w:r>
            <w:r>
              <w:rPr>
                <w:sz w:val="21"/>
                <w:szCs w:val="21"/>
              </w:rPr>
              <w:t>′</w:t>
            </w:r>
            <w:r>
              <w:rPr>
                <w:rFonts w:hint="eastAsia"/>
                <w:sz w:val="21"/>
                <w:szCs w:val="21"/>
              </w:rPr>
              <w:t>57.56</w:t>
            </w:r>
            <w:r>
              <w:rPr>
                <w:sz w:val="21"/>
                <w:szCs w:val="21"/>
              </w:rPr>
              <w:t>″E，</w:t>
            </w:r>
            <w:r>
              <w:rPr>
                <w:rFonts w:hint="eastAsia"/>
                <w:sz w:val="21"/>
                <w:szCs w:val="21"/>
              </w:rPr>
              <w:t>44</w:t>
            </w:r>
            <w:r>
              <w:rPr>
                <w:sz w:val="21"/>
                <w:szCs w:val="21"/>
              </w:rPr>
              <w:t>°</w:t>
            </w:r>
            <w:r>
              <w:rPr>
                <w:rFonts w:hint="eastAsia"/>
                <w:sz w:val="21"/>
                <w:szCs w:val="21"/>
              </w:rPr>
              <w:t>09</w:t>
            </w:r>
            <w:r>
              <w:rPr>
                <w:sz w:val="21"/>
                <w:szCs w:val="21"/>
              </w:rPr>
              <w:t>′</w:t>
            </w:r>
            <w:r>
              <w:rPr>
                <w:rFonts w:hint="eastAsia"/>
                <w:sz w:val="21"/>
                <w:szCs w:val="21"/>
              </w:rPr>
              <w:t>45.51</w:t>
            </w:r>
            <w:r>
              <w:rPr>
                <w:sz w:val="21"/>
                <w:szCs w:val="21"/>
              </w:rPr>
              <w:t>″N</w:t>
            </w:r>
          </w:p>
        </w:tc>
      </w:tr>
    </w:tbl>
    <w:p w14:paraId="40DD4B00">
      <w:pPr>
        <w:ind w:firstLine="480"/>
      </w:pPr>
      <w:r>
        <w:rPr>
          <w:rFonts w:hint="eastAsia"/>
        </w:rPr>
        <w:t>（2）监测项目</w:t>
      </w:r>
    </w:p>
    <w:p w14:paraId="04930B35">
      <w:pPr>
        <w:ind w:firstLine="480"/>
      </w:pPr>
      <w:r>
        <w:rPr>
          <w:rFonts w:hint="eastAsia"/>
          <w:bCs/>
          <w:szCs w:val="24"/>
        </w:rPr>
        <w:t>pH、镉、砷、汞、铜、铅、镍、铬、锌、六六六、滴滴涕。</w:t>
      </w:r>
    </w:p>
    <w:p w14:paraId="18219951">
      <w:pPr>
        <w:ind w:firstLine="480"/>
      </w:pPr>
      <w:r>
        <w:rPr>
          <w:rFonts w:hint="eastAsia"/>
        </w:rPr>
        <w:t>（3）评价标准</w:t>
      </w:r>
    </w:p>
    <w:p w14:paraId="5C038095">
      <w:pPr>
        <w:ind w:firstLine="480"/>
      </w:pPr>
      <w:r>
        <w:rPr>
          <w:rFonts w:hint="eastAsia"/>
        </w:rPr>
        <w:t>本次土壤环境质量评价采用《畜禽养殖产地评价规范》（HJ568-2010）中农用地土壤污染风险筛选值、风险管理值。</w:t>
      </w:r>
    </w:p>
    <w:p w14:paraId="0D68AAE6">
      <w:pPr>
        <w:ind w:firstLine="480"/>
      </w:pPr>
      <w:r>
        <w:rPr>
          <w:rFonts w:hint="eastAsia"/>
        </w:rPr>
        <w:t>（4）监测数据及评价结果</w:t>
      </w:r>
    </w:p>
    <w:p w14:paraId="0370FA12">
      <w:pPr>
        <w:ind w:firstLine="480"/>
      </w:pPr>
      <w:r>
        <w:rPr>
          <w:rFonts w:hint="eastAsia"/>
        </w:rPr>
        <w:t>监测数据及评价结果见表4.2-10。</w:t>
      </w:r>
    </w:p>
    <w:p w14:paraId="20364714">
      <w:pPr>
        <w:pStyle w:val="11"/>
      </w:pPr>
      <w:r>
        <w:rPr>
          <w:rFonts w:hint="eastAsia"/>
        </w:rPr>
        <w:t>表4.2-10土壤环境质量现状监测结果</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754"/>
        <w:gridCol w:w="1080"/>
        <w:gridCol w:w="1117"/>
        <w:gridCol w:w="1201"/>
        <w:gridCol w:w="1202"/>
        <w:gridCol w:w="1592"/>
        <w:gridCol w:w="731"/>
      </w:tblGrid>
      <w:tr w14:paraId="4EFA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2" w:type="pct"/>
            <w:vMerge w:val="restart"/>
            <w:tcBorders>
              <w:tl2br w:val="nil"/>
              <w:tr2bl w:val="nil"/>
            </w:tcBorders>
            <w:shd w:val="clear" w:color="auto" w:fill="auto"/>
            <w:vAlign w:val="center"/>
          </w:tcPr>
          <w:p w14:paraId="5D518921">
            <w:pPr>
              <w:spacing w:line="360" w:lineRule="exact"/>
              <w:ind w:firstLine="0" w:firstLineChars="0"/>
              <w:jc w:val="center"/>
              <w:rPr>
                <w:sz w:val="21"/>
                <w:szCs w:val="21"/>
              </w:rPr>
            </w:pPr>
            <w:r>
              <w:rPr>
                <w:rFonts w:hint="eastAsia"/>
                <w:sz w:val="21"/>
                <w:szCs w:val="21"/>
              </w:rPr>
              <w:t>采样点位</w:t>
            </w:r>
          </w:p>
        </w:tc>
        <w:tc>
          <w:tcPr>
            <w:tcW w:w="459" w:type="pct"/>
            <w:vMerge w:val="restart"/>
            <w:tcBorders>
              <w:tl2br w:val="nil"/>
              <w:tr2bl w:val="nil"/>
            </w:tcBorders>
            <w:shd w:val="clear" w:color="auto" w:fill="auto"/>
            <w:vAlign w:val="center"/>
          </w:tcPr>
          <w:p w14:paraId="1C06A00A">
            <w:pPr>
              <w:spacing w:line="360" w:lineRule="exact"/>
              <w:ind w:firstLine="0" w:firstLineChars="0"/>
              <w:jc w:val="center"/>
              <w:rPr>
                <w:sz w:val="21"/>
                <w:szCs w:val="21"/>
              </w:rPr>
            </w:pPr>
            <w:r>
              <w:rPr>
                <w:rFonts w:hint="eastAsia"/>
                <w:sz w:val="21"/>
                <w:szCs w:val="21"/>
              </w:rPr>
              <w:t>监测项目</w:t>
            </w:r>
          </w:p>
        </w:tc>
        <w:tc>
          <w:tcPr>
            <w:tcW w:w="650" w:type="pct"/>
            <w:vMerge w:val="restart"/>
            <w:tcBorders>
              <w:tl2br w:val="nil"/>
              <w:tr2bl w:val="nil"/>
            </w:tcBorders>
            <w:shd w:val="clear" w:color="auto" w:fill="auto"/>
            <w:vAlign w:val="center"/>
          </w:tcPr>
          <w:p w14:paraId="45366C6F">
            <w:pPr>
              <w:spacing w:line="360" w:lineRule="exact"/>
              <w:ind w:firstLine="0" w:firstLineChars="0"/>
              <w:jc w:val="center"/>
              <w:rPr>
                <w:sz w:val="21"/>
                <w:szCs w:val="21"/>
              </w:rPr>
            </w:pPr>
            <w:r>
              <w:rPr>
                <w:rFonts w:hint="eastAsia"/>
                <w:sz w:val="21"/>
                <w:szCs w:val="21"/>
              </w:rPr>
              <w:t>单位</w:t>
            </w:r>
          </w:p>
        </w:tc>
        <w:tc>
          <w:tcPr>
            <w:tcW w:w="1983" w:type="pct"/>
            <w:gridSpan w:val="3"/>
            <w:tcBorders>
              <w:tl2br w:val="nil"/>
              <w:tr2bl w:val="nil"/>
            </w:tcBorders>
            <w:shd w:val="clear" w:color="auto" w:fill="auto"/>
            <w:vAlign w:val="center"/>
          </w:tcPr>
          <w:p w14:paraId="53EABF21">
            <w:pPr>
              <w:spacing w:line="360" w:lineRule="exact"/>
              <w:ind w:firstLine="0" w:firstLineChars="0"/>
              <w:jc w:val="center"/>
              <w:rPr>
                <w:sz w:val="21"/>
                <w:szCs w:val="21"/>
              </w:rPr>
            </w:pPr>
            <w:r>
              <w:rPr>
                <w:rFonts w:hint="eastAsia"/>
                <w:sz w:val="21"/>
                <w:szCs w:val="21"/>
              </w:rPr>
              <w:t>检测结果</w:t>
            </w:r>
          </w:p>
        </w:tc>
        <w:tc>
          <w:tcPr>
            <w:tcW w:w="950" w:type="pct"/>
            <w:vMerge w:val="restart"/>
            <w:tcBorders>
              <w:tl2br w:val="nil"/>
              <w:tr2bl w:val="nil"/>
            </w:tcBorders>
            <w:shd w:val="clear" w:color="auto" w:fill="auto"/>
            <w:vAlign w:val="center"/>
          </w:tcPr>
          <w:p w14:paraId="6FB348E6">
            <w:pPr>
              <w:spacing w:line="360" w:lineRule="exact"/>
              <w:ind w:firstLine="0" w:firstLineChars="0"/>
              <w:jc w:val="center"/>
              <w:rPr>
                <w:sz w:val="21"/>
                <w:szCs w:val="21"/>
              </w:rPr>
            </w:pPr>
            <w:r>
              <w:rPr>
                <w:rFonts w:hint="eastAsia"/>
                <w:sz w:val="21"/>
                <w:szCs w:val="21"/>
              </w:rPr>
              <w:t>标准限值（</w:t>
            </w:r>
            <w:r>
              <w:rPr>
                <w:sz w:val="21"/>
                <w:szCs w:val="21"/>
              </w:rPr>
              <w:t>mg/kg</w:t>
            </w:r>
            <w:r>
              <w:rPr>
                <w:rFonts w:hint="eastAsia"/>
                <w:sz w:val="21"/>
                <w:szCs w:val="21"/>
              </w:rPr>
              <w:t>）</w:t>
            </w:r>
          </w:p>
        </w:tc>
        <w:tc>
          <w:tcPr>
            <w:tcW w:w="446" w:type="pct"/>
            <w:vMerge w:val="restart"/>
            <w:tcBorders>
              <w:tl2br w:val="nil"/>
              <w:tr2bl w:val="nil"/>
            </w:tcBorders>
            <w:shd w:val="clear" w:color="auto" w:fill="auto"/>
            <w:vAlign w:val="center"/>
          </w:tcPr>
          <w:p w14:paraId="4C009FAF">
            <w:pPr>
              <w:spacing w:line="360" w:lineRule="exact"/>
              <w:ind w:firstLine="0" w:firstLineChars="0"/>
              <w:jc w:val="center"/>
              <w:rPr>
                <w:sz w:val="21"/>
                <w:szCs w:val="21"/>
              </w:rPr>
            </w:pPr>
            <w:r>
              <w:rPr>
                <w:rFonts w:hint="eastAsia"/>
                <w:sz w:val="21"/>
                <w:szCs w:val="21"/>
              </w:rPr>
              <w:t>达标情况</w:t>
            </w:r>
          </w:p>
        </w:tc>
      </w:tr>
      <w:tr w14:paraId="50DF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05C18C0C">
            <w:pPr>
              <w:spacing w:line="360" w:lineRule="exact"/>
              <w:ind w:firstLine="0" w:firstLineChars="0"/>
              <w:jc w:val="center"/>
              <w:rPr>
                <w:sz w:val="21"/>
                <w:szCs w:val="21"/>
              </w:rPr>
            </w:pPr>
          </w:p>
        </w:tc>
        <w:tc>
          <w:tcPr>
            <w:tcW w:w="459" w:type="pct"/>
            <w:vMerge w:val="continue"/>
            <w:tcBorders>
              <w:tl2br w:val="nil"/>
              <w:tr2bl w:val="nil"/>
            </w:tcBorders>
            <w:shd w:val="clear" w:color="auto" w:fill="auto"/>
            <w:vAlign w:val="center"/>
          </w:tcPr>
          <w:p w14:paraId="6D266DF7">
            <w:pPr>
              <w:spacing w:line="360" w:lineRule="exact"/>
              <w:ind w:firstLine="0" w:firstLineChars="0"/>
              <w:jc w:val="center"/>
              <w:rPr>
                <w:sz w:val="21"/>
                <w:szCs w:val="21"/>
              </w:rPr>
            </w:pPr>
          </w:p>
        </w:tc>
        <w:tc>
          <w:tcPr>
            <w:tcW w:w="650" w:type="pct"/>
            <w:vMerge w:val="continue"/>
            <w:tcBorders>
              <w:tl2br w:val="nil"/>
              <w:tr2bl w:val="nil"/>
            </w:tcBorders>
            <w:shd w:val="clear" w:color="auto" w:fill="auto"/>
            <w:vAlign w:val="center"/>
          </w:tcPr>
          <w:p w14:paraId="7655931D">
            <w:pPr>
              <w:spacing w:line="360" w:lineRule="exact"/>
              <w:ind w:firstLine="0" w:firstLineChars="0"/>
              <w:jc w:val="center"/>
              <w:rPr>
                <w:sz w:val="21"/>
                <w:szCs w:val="21"/>
              </w:rPr>
            </w:pPr>
          </w:p>
        </w:tc>
        <w:tc>
          <w:tcPr>
            <w:tcW w:w="542" w:type="pct"/>
            <w:tcBorders>
              <w:tl2br w:val="nil"/>
              <w:tr2bl w:val="nil"/>
            </w:tcBorders>
            <w:shd w:val="clear" w:color="auto" w:fill="auto"/>
            <w:vAlign w:val="center"/>
          </w:tcPr>
          <w:p w14:paraId="4BF9BF70">
            <w:pPr>
              <w:spacing w:line="360" w:lineRule="exact"/>
              <w:ind w:firstLine="0" w:firstLineChars="0"/>
              <w:jc w:val="center"/>
              <w:rPr>
                <w:sz w:val="21"/>
                <w:szCs w:val="21"/>
              </w:rPr>
            </w:pPr>
            <w:r>
              <w:rPr>
                <w:rFonts w:hint="eastAsia"/>
                <w:sz w:val="21"/>
                <w:szCs w:val="21"/>
              </w:rPr>
              <w:t>1#</w:t>
            </w:r>
          </w:p>
        </w:tc>
        <w:tc>
          <w:tcPr>
            <w:tcW w:w="721" w:type="pct"/>
            <w:tcBorders>
              <w:tl2br w:val="nil"/>
              <w:tr2bl w:val="nil"/>
            </w:tcBorders>
            <w:shd w:val="clear" w:color="auto" w:fill="auto"/>
            <w:vAlign w:val="center"/>
          </w:tcPr>
          <w:p w14:paraId="473207ED">
            <w:pPr>
              <w:spacing w:line="360" w:lineRule="exact"/>
              <w:ind w:firstLine="0" w:firstLineChars="0"/>
              <w:jc w:val="center"/>
              <w:rPr>
                <w:sz w:val="21"/>
                <w:szCs w:val="21"/>
              </w:rPr>
            </w:pPr>
            <w:r>
              <w:rPr>
                <w:rFonts w:hint="eastAsia"/>
                <w:sz w:val="21"/>
                <w:szCs w:val="21"/>
              </w:rPr>
              <w:t>2#</w:t>
            </w:r>
          </w:p>
        </w:tc>
        <w:tc>
          <w:tcPr>
            <w:tcW w:w="721" w:type="pct"/>
            <w:tcBorders>
              <w:tl2br w:val="nil"/>
              <w:tr2bl w:val="nil"/>
            </w:tcBorders>
            <w:shd w:val="clear" w:color="auto" w:fill="auto"/>
            <w:vAlign w:val="center"/>
          </w:tcPr>
          <w:p w14:paraId="6566D993">
            <w:pPr>
              <w:spacing w:line="360" w:lineRule="exact"/>
              <w:ind w:firstLine="0" w:firstLineChars="0"/>
              <w:jc w:val="center"/>
              <w:rPr>
                <w:sz w:val="21"/>
                <w:szCs w:val="21"/>
              </w:rPr>
            </w:pPr>
            <w:r>
              <w:rPr>
                <w:rFonts w:hint="eastAsia"/>
                <w:sz w:val="21"/>
                <w:szCs w:val="21"/>
              </w:rPr>
              <w:t>3#</w:t>
            </w:r>
          </w:p>
        </w:tc>
        <w:tc>
          <w:tcPr>
            <w:tcW w:w="950" w:type="pct"/>
            <w:vMerge w:val="continue"/>
            <w:tcBorders>
              <w:tl2br w:val="nil"/>
              <w:tr2bl w:val="nil"/>
            </w:tcBorders>
            <w:shd w:val="clear" w:color="auto" w:fill="auto"/>
            <w:vAlign w:val="center"/>
          </w:tcPr>
          <w:p w14:paraId="35B5CB5F">
            <w:pPr>
              <w:spacing w:line="360" w:lineRule="exact"/>
              <w:ind w:firstLine="0" w:firstLineChars="0"/>
              <w:jc w:val="center"/>
              <w:rPr>
                <w:sz w:val="21"/>
                <w:szCs w:val="21"/>
              </w:rPr>
            </w:pPr>
          </w:p>
        </w:tc>
        <w:tc>
          <w:tcPr>
            <w:tcW w:w="446" w:type="pct"/>
            <w:vMerge w:val="continue"/>
            <w:tcBorders>
              <w:tl2br w:val="nil"/>
              <w:tr2bl w:val="nil"/>
            </w:tcBorders>
            <w:shd w:val="clear" w:color="auto" w:fill="auto"/>
            <w:vAlign w:val="center"/>
          </w:tcPr>
          <w:p w14:paraId="1A47D5BA">
            <w:pPr>
              <w:spacing w:line="360" w:lineRule="exact"/>
              <w:ind w:firstLine="0" w:firstLineChars="0"/>
              <w:jc w:val="center"/>
              <w:rPr>
                <w:sz w:val="21"/>
                <w:szCs w:val="21"/>
              </w:rPr>
            </w:pPr>
          </w:p>
        </w:tc>
      </w:tr>
      <w:tr w14:paraId="1B0E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restart"/>
            <w:tcBorders>
              <w:tl2br w:val="nil"/>
              <w:tr2bl w:val="nil"/>
            </w:tcBorders>
            <w:shd w:val="clear" w:color="auto" w:fill="auto"/>
            <w:vAlign w:val="center"/>
          </w:tcPr>
          <w:p w14:paraId="184493FE">
            <w:pPr>
              <w:spacing w:line="360" w:lineRule="exact"/>
              <w:ind w:firstLine="0" w:firstLineChars="0"/>
              <w:jc w:val="center"/>
              <w:rPr>
                <w:sz w:val="21"/>
                <w:szCs w:val="21"/>
              </w:rPr>
            </w:pPr>
            <w:r>
              <w:rPr>
                <w:rFonts w:hint="eastAsia"/>
                <w:sz w:val="21"/>
                <w:szCs w:val="21"/>
              </w:rPr>
              <w:t>项目区区内</w:t>
            </w:r>
          </w:p>
        </w:tc>
        <w:tc>
          <w:tcPr>
            <w:tcW w:w="459" w:type="pct"/>
            <w:tcBorders>
              <w:tl2br w:val="nil"/>
              <w:tr2bl w:val="nil"/>
            </w:tcBorders>
            <w:shd w:val="clear" w:color="auto" w:fill="auto"/>
            <w:vAlign w:val="center"/>
          </w:tcPr>
          <w:p w14:paraId="19EE4760">
            <w:pPr>
              <w:spacing w:line="360" w:lineRule="exact"/>
              <w:ind w:firstLine="0" w:firstLineChars="0"/>
              <w:jc w:val="center"/>
              <w:rPr>
                <w:sz w:val="21"/>
                <w:szCs w:val="21"/>
              </w:rPr>
            </w:pPr>
            <w:r>
              <w:rPr>
                <w:rFonts w:hint="eastAsia"/>
                <w:bCs/>
                <w:sz w:val="21"/>
                <w:szCs w:val="24"/>
              </w:rPr>
              <w:t>pH</w:t>
            </w:r>
          </w:p>
        </w:tc>
        <w:tc>
          <w:tcPr>
            <w:tcW w:w="650" w:type="pct"/>
            <w:tcBorders>
              <w:tl2br w:val="nil"/>
              <w:tr2bl w:val="nil"/>
            </w:tcBorders>
            <w:shd w:val="clear" w:color="auto" w:fill="auto"/>
            <w:vAlign w:val="center"/>
          </w:tcPr>
          <w:p w14:paraId="6534E804">
            <w:pPr>
              <w:spacing w:line="360" w:lineRule="exact"/>
              <w:ind w:firstLine="0" w:firstLineChars="0"/>
              <w:jc w:val="center"/>
              <w:rPr>
                <w:sz w:val="21"/>
                <w:szCs w:val="21"/>
              </w:rPr>
            </w:pPr>
            <w:r>
              <w:rPr>
                <w:rFonts w:hint="eastAsia"/>
                <w:sz w:val="21"/>
                <w:szCs w:val="21"/>
              </w:rPr>
              <w:t>无量纲</w:t>
            </w:r>
          </w:p>
        </w:tc>
        <w:tc>
          <w:tcPr>
            <w:tcW w:w="542" w:type="pct"/>
            <w:tcBorders>
              <w:tl2br w:val="nil"/>
              <w:tr2bl w:val="nil"/>
            </w:tcBorders>
            <w:shd w:val="clear" w:color="auto" w:fill="auto"/>
            <w:vAlign w:val="center"/>
          </w:tcPr>
          <w:p w14:paraId="39B5DFDC">
            <w:pPr>
              <w:spacing w:line="360" w:lineRule="exact"/>
              <w:ind w:firstLine="0" w:firstLineChars="0"/>
              <w:jc w:val="center"/>
              <w:rPr>
                <w:sz w:val="21"/>
                <w:szCs w:val="16"/>
              </w:rPr>
            </w:pPr>
            <w:r>
              <w:rPr>
                <w:rFonts w:hint="eastAsia"/>
                <w:sz w:val="21"/>
                <w:szCs w:val="16"/>
              </w:rPr>
              <w:t>8.98</w:t>
            </w:r>
          </w:p>
        </w:tc>
        <w:tc>
          <w:tcPr>
            <w:tcW w:w="721" w:type="pct"/>
            <w:tcBorders>
              <w:tl2br w:val="nil"/>
              <w:tr2bl w:val="nil"/>
            </w:tcBorders>
            <w:shd w:val="clear" w:color="auto" w:fill="auto"/>
            <w:vAlign w:val="center"/>
          </w:tcPr>
          <w:p w14:paraId="1159BECF">
            <w:pPr>
              <w:spacing w:line="360" w:lineRule="exact"/>
              <w:ind w:firstLine="0" w:firstLineChars="0"/>
              <w:jc w:val="center"/>
              <w:rPr>
                <w:sz w:val="21"/>
                <w:szCs w:val="16"/>
              </w:rPr>
            </w:pPr>
            <w:r>
              <w:rPr>
                <w:rFonts w:hint="eastAsia"/>
                <w:sz w:val="21"/>
                <w:szCs w:val="16"/>
              </w:rPr>
              <w:t>8.87</w:t>
            </w:r>
          </w:p>
        </w:tc>
        <w:tc>
          <w:tcPr>
            <w:tcW w:w="721" w:type="pct"/>
            <w:tcBorders>
              <w:tl2br w:val="nil"/>
              <w:tr2bl w:val="nil"/>
            </w:tcBorders>
            <w:shd w:val="clear" w:color="auto" w:fill="auto"/>
            <w:vAlign w:val="center"/>
          </w:tcPr>
          <w:p w14:paraId="3AF9D468">
            <w:pPr>
              <w:spacing w:line="360" w:lineRule="exact"/>
              <w:ind w:firstLine="0" w:firstLineChars="0"/>
              <w:jc w:val="center"/>
              <w:rPr>
                <w:sz w:val="21"/>
                <w:szCs w:val="16"/>
              </w:rPr>
            </w:pPr>
            <w:r>
              <w:rPr>
                <w:rFonts w:hint="eastAsia"/>
                <w:sz w:val="21"/>
                <w:szCs w:val="16"/>
              </w:rPr>
              <w:t>8.92</w:t>
            </w:r>
          </w:p>
        </w:tc>
        <w:tc>
          <w:tcPr>
            <w:tcW w:w="950" w:type="pct"/>
            <w:tcBorders>
              <w:tl2br w:val="nil"/>
              <w:tr2bl w:val="nil"/>
            </w:tcBorders>
            <w:shd w:val="clear" w:color="auto" w:fill="auto"/>
            <w:vAlign w:val="center"/>
          </w:tcPr>
          <w:p w14:paraId="1D565F04">
            <w:pPr>
              <w:spacing w:line="360" w:lineRule="exact"/>
              <w:ind w:firstLine="0" w:firstLineChars="0"/>
              <w:jc w:val="center"/>
              <w:rPr>
                <w:sz w:val="21"/>
                <w:szCs w:val="21"/>
              </w:rPr>
            </w:pPr>
            <w:r>
              <w:rPr>
                <w:rFonts w:hint="eastAsia"/>
                <w:sz w:val="21"/>
                <w:szCs w:val="21"/>
              </w:rPr>
              <w:t>/</w:t>
            </w:r>
          </w:p>
        </w:tc>
        <w:tc>
          <w:tcPr>
            <w:tcW w:w="446" w:type="pct"/>
            <w:tcBorders>
              <w:tl2br w:val="nil"/>
              <w:tr2bl w:val="nil"/>
            </w:tcBorders>
            <w:shd w:val="clear" w:color="auto" w:fill="auto"/>
            <w:vAlign w:val="center"/>
          </w:tcPr>
          <w:p w14:paraId="1587F000">
            <w:pPr>
              <w:spacing w:line="360" w:lineRule="exact"/>
              <w:ind w:firstLine="0" w:firstLineChars="0"/>
              <w:jc w:val="center"/>
              <w:rPr>
                <w:sz w:val="21"/>
                <w:szCs w:val="21"/>
              </w:rPr>
            </w:pPr>
            <w:r>
              <w:rPr>
                <w:rFonts w:hint="eastAsia"/>
                <w:sz w:val="21"/>
                <w:szCs w:val="21"/>
              </w:rPr>
              <w:t>/</w:t>
            </w:r>
          </w:p>
        </w:tc>
      </w:tr>
      <w:tr w14:paraId="3CDF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28448DF2">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69065208">
            <w:pPr>
              <w:spacing w:line="360" w:lineRule="exact"/>
              <w:ind w:firstLine="0" w:firstLineChars="0"/>
              <w:jc w:val="center"/>
              <w:rPr>
                <w:sz w:val="21"/>
                <w:szCs w:val="21"/>
              </w:rPr>
            </w:pPr>
            <w:r>
              <w:rPr>
                <w:rFonts w:hint="eastAsia"/>
                <w:bCs/>
                <w:sz w:val="21"/>
                <w:szCs w:val="24"/>
              </w:rPr>
              <w:t>镉</w:t>
            </w:r>
          </w:p>
        </w:tc>
        <w:tc>
          <w:tcPr>
            <w:tcW w:w="650" w:type="pct"/>
            <w:tcBorders>
              <w:tl2br w:val="nil"/>
              <w:tr2bl w:val="nil"/>
            </w:tcBorders>
            <w:shd w:val="clear" w:color="auto" w:fill="auto"/>
            <w:vAlign w:val="center"/>
          </w:tcPr>
          <w:p w14:paraId="3285E3EF">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5586184C">
            <w:pPr>
              <w:spacing w:line="360" w:lineRule="exact"/>
              <w:ind w:firstLine="0" w:firstLineChars="0"/>
              <w:jc w:val="center"/>
              <w:rPr>
                <w:sz w:val="21"/>
                <w:szCs w:val="16"/>
              </w:rPr>
            </w:pPr>
            <w:r>
              <w:rPr>
                <w:rFonts w:hint="eastAsia"/>
                <w:sz w:val="21"/>
                <w:szCs w:val="16"/>
              </w:rPr>
              <w:t>0.04</w:t>
            </w:r>
          </w:p>
        </w:tc>
        <w:tc>
          <w:tcPr>
            <w:tcW w:w="721" w:type="pct"/>
            <w:tcBorders>
              <w:tl2br w:val="nil"/>
              <w:tr2bl w:val="nil"/>
            </w:tcBorders>
            <w:shd w:val="clear" w:color="auto" w:fill="auto"/>
            <w:vAlign w:val="center"/>
          </w:tcPr>
          <w:p w14:paraId="145EF899">
            <w:pPr>
              <w:spacing w:line="360" w:lineRule="exact"/>
              <w:ind w:firstLine="0" w:firstLineChars="0"/>
              <w:jc w:val="center"/>
              <w:rPr>
                <w:sz w:val="21"/>
                <w:szCs w:val="16"/>
              </w:rPr>
            </w:pPr>
            <w:r>
              <w:rPr>
                <w:rFonts w:hint="eastAsia"/>
                <w:sz w:val="21"/>
                <w:szCs w:val="16"/>
              </w:rPr>
              <w:t>0.04</w:t>
            </w:r>
          </w:p>
        </w:tc>
        <w:tc>
          <w:tcPr>
            <w:tcW w:w="721" w:type="pct"/>
            <w:tcBorders>
              <w:tl2br w:val="nil"/>
              <w:tr2bl w:val="nil"/>
            </w:tcBorders>
            <w:shd w:val="clear" w:color="auto" w:fill="auto"/>
            <w:vAlign w:val="center"/>
          </w:tcPr>
          <w:p w14:paraId="1A73C905">
            <w:pPr>
              <w:spacing w:line="360" w:lineRule="exact"/>
              <w:ind w:firstLine="0" w:firstLineChars="0"/>
              <w:jc w:val="center"/>
              <w:rPr>
                <w:sz w:val="21"/>
                <w:szCs w:val="16"/>
              </w:rPr>
            </w:pPr>
            <w:r>
              <w:rPr>
                <w:rFonts w:hint="eastAsia"/>
                <w:sz w:val="21"/>
                <w:szCs w:val="16"/>
              </w:rPr>
              <w:t>0.04</w:t>
            </w:r>
          </w:p>
        </w:tc>
        <w:tc>
          <w:tcPr>
            <w:tcW w:w="950" w:type="pct"/>
            <w:tcBorders>
              <w:tl2br w:val="nil"/>
              <w:tr2bl w:val="nil"/>
            </w:tcBorders>
            <w:shd w:val="clear" w:color="auto" w:fill="auto"/>
            <w:vAlign w:val="center"/>
          </w:tcPr>
          <w:p w14:paraId="66F38A93">
            <w:pPr>
              <w:spacing w:line="360" w:lineRule="exact"/>
              <w:ind w:firstLine="0" w:firstLineChars="0"/>
              <w:jc w:val="center"/>
              <w:rPr>
                <w:sz w:val="21"/>
                <w:szCs w:val="21"/>
              </w:rPr>
            </w:pPr>
            <w:r>
              <w:rPr>
                <w:rFonts w:hint="eastAsia"/>
                <w:sz w:val="21"/>
                <w:szCs w:val="21"/>
              </w:rPr>
              <w:t>0.8</w:t>
            </w:r>
          </w:p>
        </w:tc>
        <w:tc>
          <w:tcPr>
            <w:tcW w:w="446" w:type="pct"/>
            <w:tcBorders>
              <w:tl2br w:val="nil"/>
              <w:tr2bl w:val="nil"/>
            </w:tcBorders>
            <w:shd w:val="clear" w:color="auto" w:fill="auto"/>
            <w:vAlign w:val="center"/>
          </w:tcPr>
          <w:p w14:paraId="2818075D">
            <w:pPr>
              <w:spacing w:line="360" w:lineRule="exact"/>
              <w:ind w:firstLine="0" w:firstLineChars="0"/>
              <w:jc w:val="center"/>
              <w:rPr>
                <w:sz w:val="21"/>
                <w:szCs w:val="21"/>
              </w:rPr>
            </w:pPr>
            <w:r>
              <w:rPr>
                <w:rFonts w:hint="eastAsia"/>
                <w:sz w:val="21"/>
                <w:szCs w:val="21"/>
              </w:rPr>
              <w:t>达标</w:t>
            </w:r>
          </w:p>
        </w:tc>
      </w:tr>
      <w:tr w14:paraId="4468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5D769E8A">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2AACF6F7">
            <w:pPr>
              <w:spacing w:line="360" w:lineRule="exact"/>
              <w:ind w:firstLine="0" w:firstLineChars="0"/>
              <w:jc w:val="center"/>
              <w:rPr>
                <w:sz w:val="21"/>
                <w:szCs w:val="21"/>
              </w:rPr>
            </w:pPr>
            <w:r>
              <w:rPr>
                <w:rFonts w:hint="eastAsia"/>
                <w:bCs/>
                <w:sz w:val="21"/>
                <w:szCs w:val="24"/>
              </w:rPr>
              <w:t>砷</w:t>
            </w:r>
          </w:p>
        </w:tc>
        <w:tc>
          <w:tcPr>
            <w:tcW w:w="650" w:type="pct"/>
            <w:tcBorders>
              <w:tl2br w:val="nil"/>
              <w:tr2bl w:val="nil"/>
            </w:tcBorders>
            <w:shd w:val="clear" w:color="auto" w:fill="auto"/>
            <w:vAlign w:val="center"/>
          </w:tcPr>
          <w:p w14:paraId="488B2B9C">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1E14DD42">
            <w:pPr>
              <w:spacing w:line="360" w:lineRule="exact"/>
              <w:ind w:firstLine="0" w:firstLineChars="0"/>
              <w:jc w:val="center"/>
              <w:rPr>
                <w:sz w:val="21"/>
                <w:szCs w:val="16"/>
              </w:rPr>
            </w:pPr>
            <w:r>
              <w:rPr>
                <w:rFonts w:hint="eastAsia"/>
                <w:sz w:val="21"/>
                <w:szCs w:val="16"/>
              </w:rPr>
              <w:t>5.88</w:t>
            </w:r>
          </w:p>
        </w:tc>
        <w:tc>
          <w:tcPr>
            <w:tcW w:w="721" w:type="pct"/>
            <w:tcBorders>
              <w:tl2br w:val="nil"/>
              <w:tr2bl w:val="nil"/>
            </w:tcBorders>
            <w:shd w:val="clear" w:color="auto" w:fill="auto"/>
            <w:vAlign w:val="center"/>
          </w:tcPr>
          <w:p w14:paraId="217901CC">
            <w:pPr>
              <w:spacing w:line="360" w:lineRule="exact"/>
              <w:ind w:firstLine="0" w:firstLineChars="0"/>
              <w:jc w:val="center"/>
              <w:rPr>
                <w:sz w:val="21"/>
                <w:szCs w:val="16"/>
              </w:rPr>
            </w:pPr>
            <w:r>
              <w:rPr>
                <w:rFonts w:hint="eastAsia"/>
                <w:sz w:val="21"/>
                <w:szCs w:val="16"/>
              </w:rPr>
              <w:t>6.80</w:t>
            </w:r>
          </w:p>
        </w:tc>
        <w:tc>
          <w:tcPr>
            <w:tcW w:w="721" w:type="pct"/>
            <w:tcBorders>
              <w:tl2br w:val="nil"/>
              <w:tr2bl w:val="nil"/>
            </w:tcBorders>
            <w:shd w:val="clear" w:color="auto" w:fill="auto"/>
            <w:vAlign w:val="center"/>
          </w:tcPr>
          <w:p w14:paraId="3A46BA43">
            <w:pPr>
              <w:spacing w:line="360" w:lineRule="exact"/>
              <w:ind w:firstLine="0" w:firstLineChars="0"/>
              <w:jc w:val="center"/>
              <w:rPr>
                <w:sz w:val="21"/>
                <w:szCs w:val="16"/>
              </w:rPr>
            </w:pPr>
            <w:r>
              <w:rPr>
                <w:rFonts w:hint="eastAsia"/>
                <w:sz w:val="21"/>
                <w:szCs w:val="16"/>
              </w:rPr>
              <w:t>7.85</w:t>
            </w:r>
          </w:p>
        </w:tc>
        <w:tc>
          <w:tcPr>
            <w:tcW w:w="950" w:type="pct"/>
            <w:tcBorders>
              <w:tl2br w:val="nil"/>
              <w:tr2bl w:val="nil"/>
            </w:tcBorders>
            <w:shd w:val="clear" w:color="auto" w:fill="auto"/>
            <w:vAlign w:val="center"/>
          </w:tcPr>
          <w:p w14:paraId="46647D4C">
            <w:pPr>
              <w:spacing w:line="360" w:lineRule="exact"/>
              <w:ind w:firstLine="0" w:firstLineChars="0"/>
              <w:jc w:val="center"/>
              <w:rPr>
                <w:sz w:val="21"/>
                <w:szCs w:val="21"/>
              </w:rPr>
            </w:pPr>
            <w:r>
              <w:rPr>
                <w:rFonts w:hint="eastAsia"/>
                <w:sz w:val="21"/>
                <w:szCs w:val="21"/>
              </w:rPr>
              <w:t>25</w:t>
            </w:r>
          </w:p>
        </w:tc>
        <w:tc>
          <w:tcPr>
            <w:tcW w:w="446" w:type="pct"/>
            <w:tcBorders>
              <w:tl2br w:val="nil"/>
              <w:tr2bl w:val="nil"/>
            </w:tcBorders>
            <w:shd w:val="clear" w:color="auto" w:fill="auto"/>
            <w:vAlign w:val="center"/>
          </w:tcPr>
          <w:p w14:paraId="1827A819">
            <w:pPr>
              <w:spacing w:line="360" w:lineRule="exact"/>
              <w:ind w:firstLine="0" w:firstLineChars="0"/>
              <w:jc w:val="center"/>
              <w:rPr>
                <w:sz w:val="21"/>
                <w:szCs w:val="21"/>
              </w:rPr>
            </w:pPr>
            <w:r>
              <w:rPr>
                <w:rFonts w:hint="eastAsia"/>
                <w:sz w:val="21"/>
                <w:szCs w:val="21"/>
              </w:rPr>
              <w:t>达标</w:t>
            </w:r>
          </w:p>
        </w:tc>
      </w:tr>
      <w:tr w14:paraId="45C0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7BB33DC2">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2655384F">
            <w:pPr>
              <w:spacing w:line="360" w:lineRule="exact"/>
              <w:ind w:firstLine="0" w:firstLineChars="0"/>
              <w:jc w:val="center"/>
              <w:rPr>
                <w:sz w:val="21"/>
                <w:szCs w:val="21"/>
              </w:rPr>
            </w:pPr>
            <w:r>
              <w:rPr>
                <w:rFonts w:hint="eastAsia"/>
                <w:bCs/>
                <w:sz w:val="21"/>
                <w:szCs w:val="24"/>
              </w:rPr>
              <w:t>汞</w:t>
            </w:r>
          </w:p>
        </w:tc>
        <w:tc>
          <w:tcPr>
            <w:tcW w:w="650" w:type="pct"/>
            <w:tcBorders>
              <w:tl2br w:val="nil"/>
              <w:tr2bl w:val="nil"/>
            </w:tcBorders>
            <w:shd w:val="clear" w:color="auto" w:fill="auto"/>
            <w:vAlign w:val="center"/>
          </w:tcPr>
          <w:p w14:paraId="2E5DF9DB">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66470127">
            <w:pPr>
              <w:spacing w:line="360" w:lineRule="exact"/>
              <w:ind w:firstLine="0" w:firstLineChars="0"/>
              <w:jc w:val="center"/>
              <w:rPr>
                <w:sz w:val="21"/>
                <w:szCs w:val="16"/>
              </w:rPr>
            </w:pPr>
            <w:r>
              <w:rPr>
                <w:rFonts w:hint="eastAsia"/>
                <w:sz w:val="21"/>
                <w:szCs w:val="16"/>
              </w:rPr>
              <w:t>0.100</w:t>
            </w:r>
          </w:p>
        </w:tc>
        <w:tc>
          <w:tcPr>
            <w:tcW w:w="721" w:type="pct"/>
            <w:tcBorders>
              <w:tl2br w:val="nil"/>
              <w:tr2bl w:val="nil"/>
            </w:tcBorders>
            <w:shd w:val="clear" w:color="auto" w:fill="auto"/>
            <w:vAlign w:val="center"/>
          </w:tcPr>
          <w:p w14:paraId="4D0410A8">
            <w:pPr>
              <w:spacing w:line="360" w:lineRule="exact"/>
              <w:ind w:firstLine="0" w:firstLineChars="0"/>
              <w:jc w:val="center"/>
              <w:rPr>
                <w:sz w:val="21"/>
                <w:szCs w:val="16"/>
              </w:rPr>
            </w:pPr>
            <w:r>
              <w:rPr>
                <w:rFonts w:hint="eastAsia"/>
                <w:sz w:val="21"/>
                <w:szCs w:val="16"/>
              </w:rPr>
              <w:t>0.103</w:t>
            </w:r>
          </w:p>
        </w:tc>
        <w:tc>
          <w:tcPr>
            <w:tcW w:w="721" w:type="pct"/>
            <w:tcBorders>
              <w:tl2br w:val="nil"/>
              <w:tr2bl w:val="nil"/>
            </w:tcBorders>
            <w:shd w:val="clear" w:color="auto" w:fill="auto"/>
            <w:vAlign w:val="center"/>
          </w:tcPr>
          <w:p w14:paraId="2FFFCE8E">
            <w:pPr>
              <w:spacing w:line="360" w:lineRule="exact"/>
              <w:ind w:firstLine="0" w:firstLineChars="0"/>
              <w:jc w:val="center"/>
              <w:rPr>
                <w:sz w:val="21"/>
                <w:szCs w:val="16"/>
                <w:vertAlign w:val="superscript"/>
              </w:rPr>
            </w:pPr>
            <w:r>
              <w:rPr>
                <w:rFonts w:hint="eastAsia"/>
                <w:sz w:val="21"/>
                <w:szCs w:val="16"/>
              </w:rPr>
              <w:t>9.85×10</w:t>
            </w:r>
            <w:r>
              <w:rPr>
                <w:rFonts w:hint="eastAsia"/>
                <w:sz w:val="21"/>
                <w:szCs w:val="16"/>
                <w:vertAlign w:val="superscript"/>
              </w:rPr>
              <w:t>-2</w:t>
            </w:r>
          </w:p>
        </w:tc>
        <w:tc>
          <w:tcPr>
            <w:tcW w:w="950" w:type="pct"/>
            <w:tcBorders>
              <w:tl2br w:val="nil"/>
              <w:tr2bl w:val="nil"/>
            </w:tcBorders>
            <w:shd w:val="clear" w:color="auto" w:fill="auto"/>
            <w:vAlign w:val="center"/>
          </w:tcPr>
          <w:p w14:paraId="03A3E90B">
            <w:pPr>
              <w:spacing w:line="360" w:lineRule="exact"/>
              <w:ind w:firstLine="0" w:firstLineChars="0"/>
              <w:jc w:val="center"/>
              <w:rPr>
                <w:sz w:val="21"/>
                <w:szCs w:val="21"/>
              </w:rPr>
            </w:pPr>
            <w:r>
              <w:rPr>
                <w:rFonts w:hint="eastAsia"/>
                <w:sz w:val="21"/>
                <w:szCs w:val="21"/>
              </w:rPr>
              <w:t>3.4</w:t>
            </w:r>
          </w:p>
        </w:tc>
        <w:tc>
          <w:tcPr>
            <w:tcW w:w="446" w:type="pct"/>
            <w:tcBorders>
              <w:tl2br w:val="nil"/>
              <w:tr2bl w:val="nil"/>
            </w:tcBorders>
            <w:shd w:val="clear" w:color="auto" w:fill="auto"/>
            <w:vAlign w:val="center"/>
          </w:tcPr>
          <w:p w14:paraId="422FFB1A">
            <w:pPr>
              <w:spacing w:line="360" w:lineRule="exact"/>
              <w:ind w:firstLine="0" w:firstLineChars="0"/>
              <w:jc w:val="center"/>
              <w:rPr>
                <w:sz w:val="21"/>
                <w:szCs w:val="21"/>
              </w:rPr>
            </w:pPr>
            <w:r>
              <w:rPr>
                <w:rFonts w:hint="eastAsia"/>
                <w:sz w:val="21"/>
                <w:szCs w:val="21"/>
              </w:rPr>
              <w:t>达标</w:t>
            </w:r>
          </w:p>
        </w:tc>
      </w:tr>
      <w:tr w14:paraId="547D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134911CD">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753CA2D6">
            <w:pPr>
              <w:spacing w:line="360" w:lineRule="exact"/>
              <w:ind w:firstLine="0" w:firstLineChars="0"/>
              <w:jc w:val="center"/>
              <w:rPr>
                <w:sz w:val="21"/>
                <w:szCs w:val="21"/>
              </w:rPr>
            </w:pPr>
            <w:r>
              <w:rPr>
                <w:rFonts w:hint="eastAsia"/>
                <w:bCs/>
                <w:sz w:val="21"/>
                <w:szCs w:val="24"/>
              </w:rPr>
              <w:t>铜</w:t>
            </w:r>
          </w:p>
        </w:tc>
        <w:tc>
          <w:tcPr>
            <w:tcW w:w="650" w:type="pct"/>
            <w:tcBorders>
              <w:tl2br w:val="nil"/>
              <w:tr2bl w:val="nil"/>
            </w:tcBorders>
            <w:shd w:val="clear" w:color="auto" w:fill="auto"/>
            <w:vAlign w:val="center"/>
          </w:tcPr>
          <w:p w14:paraId="323FE2E1">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57EFA462">
            <w:pPr>
              <w:spacing w:line="360" w:lineRule="exact"/>
              <w:ind w:firstLine="0" w:firstLineChars="0"/>
              <w:jc w:val="center"/>
              <w:rPr>
                <w:sz w:val="21"/>
                <w:szCs w:val="16"/>
              </w:rPr>
            </w:pPr>
            <w:r>
              <w:rPr>
                <w:rFonts w:hint="eastAsia"/>
                <w:sz w:val="21"/>
                <w:szCs w:val="16"/>
              </w:rPr>
              <w:t>14</w:t>
            </w:r>
          </w:p>
        </w:tc>
        <w:tc>
          <w:tcPr>
            <w:tcW w:w="721" w:type="pct"/>
            <w:tcBorders>
              <w:tl2br w:val="nil"/>
              <w:tr2bl w:val="nil"/>
            </w:tcBorders>
            <w:shd w:val="clear" w:color="auto" w:fill="auto"/>
            <w:vAlign w:val="center"/>
          </w:tcPr>
          <w:p w14:paraId="1F822ADB">
            <w:pPr>
              <w:spacing w:line="360" w:lineRule="exact"/>
              <w:ind w:firstLine="0" w:firstLineChars="0"/>
              <w:jc w:val="center"/>
              <w:rPr>
                <w:sz w:val="21"/>
                <w:szCs w:val="16"/>
              </w:rPr>
            </w:pPr>
            <w:r>
              <w:rPr>
                <w:rFonts w:hint="eastAsia"/>
                <w:sz w:val="21"/>
                <w:szCs w:val="16"/>
              </w:rPr>
              <w:t>21</w:t>
            </w:r>
          </w:p>
        </w:tc>
        <w:tc>
          <w:tcPr>
            <w:tcW w:w="721" w:type="pct"/>
            <w:tcBorders>
              <w:tl2br w:val="nil"/>
              <w:tr2bl w:val="nil"/>
            </w:tcBorders>
            <w:shd w:val="clear" w:color="auto" w:fill="auto"/>
            <w:vAlign w:val="center"/>
          </w:tcPr>
          <w:p w14:paraId="5FB2D292">
            <w:pPr>
              <w:spacing w:line="360" w:lineRule="exact"/>
              <w:ind w:firstLine="0" w:firstLineChars="0"/>
              <w:jc w:val="center"/>
              <w:rPr>
                <w:sz w:val="21"/>
                <w:szCs w:val="16"/>
              </w:rPr>
            </w:pPr>
            <w:r>
              <w:rPr>
                <w:rFonts w:hint="eastAsia"/>
                <w:sz w:val="21"/>
                <w:szCs w:val="16"/>
              </w:rPr>
              <w:t>20</w:t>
            </w:r>
          </w:p>
        </w:tc>
        <w:tc>
          <w:tcPr>
            <w:tcW w:w="950" w:type="pct"/>
            <w:tcBorders>
              <w:tl2br w:val="nil"/>
              <w:tr2bl w:val="nil"/>
            </w:tcBorders>
            <w:shd w:val="clear" w:color="auto" w:fill="auto"/>
            <w:vAlign w:val="center"/>
          </w:tcPr>
          <w:p w14:paraId="6A452206">
            <w:pPr>
              <w:spacing w:line="360" w:lineRule="exact"/>
              <w:ind w:firstLine="0" w:firstLineChars="0"/>
              <w:jc w:val="center"/>
              <w:rPr>
                <w:sz w:val="21"/>
                <w:szCs w:val="21"/>
              </w:rPr>
            </w:pPr>
            <w:r>
              <w:rPr>
                <w:rFonts w:hint="eastAsia"/>
                <w:sz w:val="21"/>
                <w:szCs w:val="21"/>
              </w:rPr>
              <w:t>100</w:t>
            </w:r>
          </w:p>
        </w:tc>
        <w:tc>
          <w:tcPr>
            <w:tcW w:w="446" w:type="pct"/>
            <w:tcBorders>
              <w:tl2br w:val="nil"/>
              <w:tr2bl w:val="nil"/>
            </w:tcBorders>
            <w:shd w:val="clear" w:color="auto" w:fill="auto"/>
            <w:vAlign w:val="center"/>
          </w:tcPr>
          <w:p w14:paraId="79372B19">
            <w:pPr>
              <w:spacing w:line="360" w:lineRule="exact"/>
              <w:ind w:firstLine="0" w:firstLineChars="0"/>
              <w:jc w:val="center"/>
              <w:rPr>
                <w:sz w:val="21"/>
                <w:szCs w:val="21"/>
              </w:rPr>
            </w:pPr>
            <w:r>
              <w:rPr>
                <w:rFonts w:hint="eastAsia"/>
                <w:sz w:val="21"/>
                <w:szCs w:val="21"/>
              </w:rPr>
              <w:t>达标</w:t>
            </w:r>
          </w:p>
        </w:tc>
      </w:tr>
      <w:tr w14:paraId="2F14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69BEFB05">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5EB0D3AB">
            <w:pPr>
              <w:spacing w:line="360" w:lineRule="exact"/>
              <w:ind w:firstLine="0" w:firstLineChars="0"/>
              <w:jc w:val="center"/>
              <w:rPr>
                <w:sz w:val="21"/>
                <w:szCs w:val="21"/>
              </w:rPr>
            </w:pPr>
            <w:r>
              <w:rPr>
                <w:rFonts w:hint="eastAsia"/>
                <w:bCs/>
                <w:sz w:val="21"/>
                <w:szCs w:val="24"/>
              </w:rPr>
              <w:t>铅</w:t>
            </w:r>
          </w:p>
        </w:tc>
        <w:tc>
          <w:tcPr>
            <w:tcW w:w="650" w:type="pct"/>
            <w:tcBorders>
              <w:tl2br w:val="nil"/>
              <w:tr2bl w:val="nil"/>
            </w:tcBorders>
            <w:shd w:val="clear" w:color="auto" w:fill="auto"/>
            <w:vAlign w:val="center"/>
          </w:tcPr>
          <w:p w14:paraId="40B533B1">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028CEEB6">
            <w:pPr>
              <w:spacing w:line="360" w:lineRule="exact"/>
              <w:ind w:firstLine="0" w:firstLineChars="0"/>
              <w:jc w:val="center"/>
              <w:rPr>
                <w:sz w:val="21"/>
                <w:szCs w:val="16"/>
              </w:rPr>
            </w:pPr>
            <w:r>
              <w:rPr>
                <w:rFonts w:hint="eastAsia"/>
                <w:sz w:val="21"/>
                <w:szCs w:val="16"/>
              </w:rPr>
              <w:t>47</w:t>
            </w:r>
          </w:p>
        </w:tc>
        <w:tc>
          <w:tcPr>
            <w:tcW w:w="721" w:type="pct"/>
            <w:tcBorders>
              <w:tl2br w:val="nil"/>
              <w:tr2bl w:val="nil"/>
            </w:tcBorders>
            <w:shd w:val="clear" w:color="auto" w:fill="auto"/>
            <w:vAlign w:val="center"/>
          </w:tcPr>
          <w:p w14:paraId="73AE74AF">
            <w:pPr>
              <w:spacing w:line="360" w:lineRule="exact"/>
              <w:ind w:firstLine="0" w:firstLineChars="0"/>
              <w:jc w:val="center"/>
              <w:rPr>
                <w:sz w:val="21"/>
                <w:szCs w:val="16"/>
              </w:rPr>
            </w:pPr>
            <w:r>
              <w:rPr>
                <w:rFonts w:hint="eastAsia"/>
                <w:sz w:val="21"/>
                <w:szCs w:val="16"/>
              </w:rPr>
              <w:t>56</w:t>
            </w:r>
          </w:p>
        </w:tc>
        <w:tc>
          <w:tcPr>
            <w:tcW w:w="721" w:type="pct"/>
            <w:tcBorders>
              <w:tl2br w:val="nil"/>
              <w:tr2bl w:val="nil"/>
            </w:tcBorders>
            <w:shd w:val="clear" w:color="auto" w:fill="auto"/>
            <w:vAlign w:val="center"/>
          </w:tcPr>
          <w:p w14:paraId="06BF631A">
            <w:pPr>
              <w:spacing w:line="360" w:lineRule="exact"/>
              <w:ind w:firstLine="0" w:firstLineChars="0"/>
              <w:jc w:val="center"/>
              <w:rPr>
                <w:sz w:val="21"/>
                <w:szCs w:val="16"/>
              </w:rPr>
            </w:pPr>
            <w:r>
              <w:rPr>
                <w:rFonts w:hint="eastAsia"/>
                <w:sz w:val="21"/>
                <w:szCs w:val="16"/>
              </w:rPr>
              <w:t>55</w:t>
            </w:r>
          </w:p>
        </w:tc>
        <w:tc>
          <w:tcPr>
            <w:tcW w:w="950" w:type="pct"/>
            <w:tcBorders>
              <w:tl2br w:val="nil"/>
              <w:tr2bl w:val="nil"/>
            </w:tcBorders>
            <w:shd w:val="clear" w:color="auto" w:fill="auto"/>
            <w:vAlign w:val="center"/>
          </w:tcPr>
          <w:p w14:paraId="77499ADC">
            <w:pPr>
              <w:spacing w:line="360" w:lineRule="exact"/>
              <w:ind w:firstLine="0" w:firstLineChars="0"/>
              <w:jc w:val="center"/>
              <w:rPr>
                <w:sz w:val="21"/>
                <w:szCs w:val="21"/>
              </w:rPr>
            </w:pPr>
            <w:r>
              <w:rPr>
                <w:rFonts w:hint="eastAsia"/>
                <w:sz w:val="21"/>
                <w:szCs w:val="21"/>
              </w:rPr>
              <w:t>170</w:t>
            </w:r>
          </w:p>
        </w:tc>
        <w:tc>
          <w:tcPr>
            <w:tcW w:w="446" w:type="pct"/>
            <w:tcBorders>
              <w:tl2br w:val="nil"/>
              <w:tr2bl w:val="nil"/>
            </w:tcBorders>
            <w:shd w:val="clear" w:color="auto" w:fill="auto"/>
            <w:vAlign w:val="center"/>
          </w:tcPr>
          <w:p w14:paraId="5DC6CF86">
            <w:pPr>
              <w:spacing w:line="360" w:lineRule="exact"/>
              <w:ind w:firstLine="0" w:firstLineChars="0"/>
              <w:jc w:val="center"/>
              <w:rPr>
                <w:sz w:val="21"/>
                <w:szCs w:val="21"/>
              </w:rPr>
            </w:pPr>
            <w:r>
              <w:rPr>
                <w:rFonts w:hint="eastAsia"/>
                <w:sz w:val="21"/>
                <w:szCs w:val="21"/>
              </w:rPr>
              <w:t>达标</w:t>
            </w:r>
          </w:p>
        </w:tc>
      </w:tr>
      <w:tr w14:paraId="2A41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341728D1">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7785963D">
            <w:pPr>
              <w:spacing w:line="360" w:lineRule="exact"/>
              <w:ind w:firstLine="0" w:firstLineChars="0"/>
              <w:jc w:val="center"/>
              <w:rPr>
                <w:sz w:val="21"/>
                <w:szCs w:val="21"/>
              </w:rPr>
            </w:pPr>
            <w:r>
              <w:rPr>
                <w:rFonts w:hint="eastAsia"/>
                <w:bCs/>
                <w:sz w:val="21"/>
                <w:szCs w:val="24"/>
              </w:rPr>
              <w:t>镍</w:t>
            </w:r>
          </w:p>
        </w:tc>
        <w:tc>
          <w:tcPr>
            <w:tcW w:w="650" w:type="pct"/>
            <w:tcBorders>
              <w:tl2br w:val="nil"/>
              <w:tr2bl w:val="nil"/>
            </w:tcBorders>
            <w:shd w:val="clear" w:color="auto" w:fill="auto"/>
            <w:vAlign w:val="center"/>
          </w:tcPr>
          <w:p w14:paraId="5AE1AAD4">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1E636CD8">
            <w:pPr>
              <w:spacing w:line="360" w:lineRule="exact"/>
              <w:ind w:firstLine="0" w:firstLineChars="0"/>
              <w:jc w:val="center"/>
              <w:rPr>
                <w:sz w:val="21"/>
                <w:szCs w:val="16"/>
              </w:rPr>
            </w:pPr>
            <w:r>
              <w:rPr>
                <w:rFonts w:hint="eastAsia"/>
                <w:sz w:val="21"/>
                <w:szCs w:val="16"/>
              </w:rPr>
              <w:t>14</w:t>
            </w:r>
          </w:p>
        </w:tc>
        <w:tc>
          <w:tcPr>
            <w:tcW w:w="721" w:type="pct"/>
            <w:tcBorders>
              <w:tl2br w:val="nil"/>
              <w:tr2bl w:val="nil"/>
            </w:tcBorders>
            <w:shd w:val="clear" w:color="auto" w:fill="auto"/>
            <w:vAlign w:val="center"/>
          </w:tcPr>
          <w:p w14:paraId="67536E89">
            <w:pPr>
              <w:spacing w:line="360" w:lineRule="exact"/>
              <w:ind w:firstLine="0" w:firstLineChars="0"/>
              <w:jc w:val="center"/>
              <w:rPr>
                <w:sz w:val="21"/>
                <w:szCs w:val="16"/>
              </w:rPr>
            </w:pPr>
            <w:r>
              <w:rPr>
                <w:rFonts w:hint="eastAsia"/>
                <w:sz w:val="21"/>
                <w:szCs w:val="16"/>
              </w:rPr>
              <w:t>18</w:t>
            </w:r>
          </w:p>
        </w:tc>
        <w:tc>
          <w:tcPr>
            <w:tcW w:w="721" w:type="pct"/>
            <w:tcBorders>
              <w:tl2br w:val="nil"/>
              <w:tr2bl w:val="nil"/>
            </w:tcBorders>
            <w:shd w:val="clear" w:color="auto" w:fill="auto"/>
            <w:vAlign w:val="center"/>
          </w:tcPr>
          <w:p w14:paraId="06C47655">
            <w:pPr>
              <w:spacing w:line="360" w:lineRule="exact"/>
              <w:ind w:firstLine="0" w:firstLineChars="0"/>
              <w:jc w:val="center"/>
              <w:rPr>
                <w:sz w:val="21"/>
                <w:szCs w:val="16"/>
              </w:rPr>
            </w:pPr>
            <w:r>
              <w:rPr>
                <w:rFonts w:hint="eastAsia"/>
                <w:sz w:val="21"/>
                <w:szCs w:val="16"/>
              </w:rPr>
              <w:t>20</w:t>
            </w:r>
          </w:p>
        </w:tc>
        <w:tc>
          <w:tcPr>
            <w:tcW w:w="950" w:type="pct"/>
            <w:tcBorders>
              <w:tl2br w:val="nil"/>
              <w:tr2bl w:val="nil"/>
            </w:tcBorders>
            <w:shd w:val="clear" w:color="auto" w:fill="auto"/>
            <w:vAlign w:val="center"/>
          </w:tcPr>
          <w:p w14:paraId="39FC5852">
            <w:pPr>
              <w:spacing w:line="360" w:lineRule="exact"/>
              <w:ind w:firstLine="0" w:firstLineChars="0"/>
              <w:jc w:val="center"/>
              <w:rPr>
                <w:sz w:val="21"/>
                <w:szCs w:val="21"/>
              </w:rPr>
            </w:pPr>
            <w:r>
              <w:rPr>
                <w:rFonts w:hint="eastAsia"/>
                <w:sz w:val="21"/>
                <w:szCs w:val="21"/>
              </w:rPr>
              <w:t>190</w:t>
            </w:r>
          </w:p>
        </w:tc>
        <w:tc>
          <w:tcPr>
            <w:tcW w:w="446" w:type="pct"/>
            <w:tcBorders>
              <w:tl2br w:val="nil"/>
              <w:tr2bl w:val="nil"/>
            </w:tcBorders>
            <w:shd w:val="clear" w:color="auto" w:fill="auto"/>
            <w:vAlign w:val="center"/>
          </w:tcPr>
          <w:p w14:paraId="20D51988">
            <w:pPr>
              <w:spacing w:line="360" w:lineRule="exact"/>
              <w:ind w:firstLine="0" w:firstLineChars="0"/>
              <w:jc w:val="center"/>
              <w:rPr>
                <w:sz w:val="21"/>
                <w:szCs w:val="21"/>
              </w:rPr>
            </w:pPr>
            <w:r>
              <w:rPr>
                <w:rFonts w:hint="eastAsia"/>
                <w:sz w:val="21"/>
                <w:szCs w:val="21"/>
              </w:rPr>
              <w:t>达标</w:t>
            </w:r>
          </w:p>
        </w:tc>
      </w:tr>
      <w:tr w14:paraId="4F75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24F88659">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6D46C811">
            <w:pPr>
              <w:spacing w:line="360" w:lineRule="exact"/>
              <w:ind w:firstLine="0" w:firstLineChars="0"/>
              <w:jc w:val="center"/>
              <w:rPr>
                <w:sz w:val="21"/>
                <w:szCs w:val="21"/>
              </w:rPr>
            </w:pPr>
            <w:r>
              <w:rPr>
                <w:rFonts w:hint="eastAsia"/>
                <w:bCs/>
                <w:sz w:val="21"/>
                <w:szCs w:val="24"/>
              </w:rPr>
              <w:t>铬</w:t>
            </w:r>
          </w:p>
        </w:tc>
        <w:tc>
          <w:tcPr>
            <w:tcW w:w="650" w:type="pct"/>
            <w:tcBorders>
              <w:tl2br w:val="nil"/>
              <w:tr2bl w:val="nil"/>
            </w:tcBorders>
            <w:shd w:val="clear" w:color="auto" w:fill="auto"/>
            <w:vAlign w:val="center"/>
          </w:tcPr>
          <w:p w14:paraId="4F7615CF">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002F73C1">
            <w:pPr>
              <w:spacing w:line="360" w:lineRule="exact"/>
              <w:ind w:firstLine="0" w:firstLineChars="0"/>
              <w:jc w:val="center"/>
              <w:rPr>
                <w:sz w:val="21"/>
                <w:szCs w:val="16"/>
              </w:rPr>
            </w:pPr>
            <w:r>
              <w:rPr>
                <w:rFonts w:hint="eastAsia"/>
                <w:sz w:val="21"/>
                <w:szCs w:val="16"/>
              </w:rPr>
              <w:t>44</w:t>
            </w:r>
          </w:p>
        </w:tc>
        <w:tc>
          <w:tcPr>
            <w:tcW w:w="721" w:type="pct"/>
            <w:tcBorders>
              <w:tl2br w:val="nil"/>
              <w:tr2bl w:val="nil"/>
            </w:tcBorders>
            <w:shd w:val="clear" w:color="auto" w:fill="auto"/>
            <w:vAlign w:val="center"/>
          </w:tcPr>
          <w:p w14:paraId="37786684">
            <w:pPr>
              <w:spacing w:line="360" w:lineRule="exact"/>
              <w:ind w:firstLine="0" w:firstLineChars="0"/>
              <w:jc w:val="center"/>
              <w:rPr>
                <w:sz w:val="21"/>
                <w:szCs w:val="16"/>
              </w:rPr>
            </w:pPr>
            <w:r>
              <w:rPr>
                <w:rFonts w:hint="eastAsia"/>
                <w:sz w:val="21"/>
                <w:szCs w:val="16"/>
              </w:rPr>
              <w:t>57</w:t>
            </w:r>
          </w:p>
        </w:tc>
        <w:tc>
          <w:tcPr>
            <w:tcW w:w="721" w:type="pct"/>
            <w:tcBorders>
              <w:tl2br w:val="nil"/>
              <w:tr2bl w:val="nil"/>
            </w:tcBorders>
            <w:shd w:val="clear" w:color="auto" w:fill="auto"/>
            <w:vAlign w:val="center"/>
          </w:tcPr>
          <w:p w14:paraId="2101A0A9">
            <w:pPr>
              <w:spacing w:line="360" w:lineRule="exact"/>
              <w:ind w:firstLine="0" w:firstLineChars="0"/>
              <w:jc w:val="center"/>
              <w:rPr>
                <w:sz w:val="21"/>
                <w:szCs w:val="16"/>
              </w:rPr>
            </w:pPr>
            <w:r>
              <w:rPr>
                <w:rFonts w:hint="eastAsia"/>
                <w:sz w:val="21"/>
                <w:szCs w:val="16"/>
              </w:rPr>
              <w:t>53</w:t>
            </w:r>
          </w:p>
        </w:tc>
        <w:tc>
          <w:tcPr>
            <w:tcW w:w="950" w:type="pct"/>
            <w:tcBorders>
              <w:tl2br w:val="nil"/>
              <w:tr2bl w:val="nil"/>
            </w:tcBorders>
            <w:shd w:val="clear" w:color="auto" w:fill="auto"/>
            <w:vAlign w:val="center"/>
          </w:tcPr>
          <w:p w14:paraId="567D38ED">
            <w:pPr>
              <w:spacing w:line="360" w:lineRule="exact"/>
              <w:ind w:firstLine="0" w:firstLineChars="0"/>
              <w:jc w:val="center"/>
              <w:rPr>
                <w:sz w:val="21"/>
                <w:szCs w:val="21"/>
              </w:rPr>
            </w:pPr>
            <w:r>
              <w:rPr>
                <w:rFonts w:hint="eastAsia"/>
                <w:sz w:val="21"/>
                <w:szCs w:val="21"/>
              </w:rPr>
              <w:t>250</w:t>
            </w:r>
          </w:p>
        </w:tc>
        <w:tc>
          <w:tcPr>
            <w:tcW w:w="446" w:type="pct"/>
            <w:tcBorders>
              <w:tl2br w:val="nil"/>
              <w:tr2bl w:val="nil"/>
            </w:tcBorders>
            <w:shd w:val="clear" w:color="auto" w:fill="auto"/>
            <w:vAlign w:val="center"/>
          </w:tcPr>
          <w:p w14:paraId="1CFDCB85">
            <w:pPr>
              <w:spacing w:line="360" w:lineRule="exact"/>
              <w:ind w:firstLine="0" w:firstLineChars="0"/>
              <w:jc w:val="center"/>
              <w:rPr>
                <w:sz w:val="21"/>
                <w:szCs w:val="21"/>
              </w:rPr>
            </w:pPr>
            <w:r>
              <w:rPr>
                <w:rFonts w:hint="eastAsia"/>
                <w:sz w:val="21"/>
                <w:szCs w:val="21"/>
              </w:rPr>
              <w:t>达标</w:t>
            </w:r>
          </w:p>
        </w:tc>
      </w:tr>
      <w:tr w14:paraId="44A9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65A1B6D2">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07EF83B0">
            <w:pPr>
              <w:spacing w:line="360" w:lineRule="exact"/>
              <w:ind w:firstLine="0" w:firstLineChars="0"/>
              <w:jc w:val="center"/>
              <w:rPr>
                <w:sz w:val="21"/>
                <w:szCs w:val="21"/>
              </w:rPr>
            </w:pPr>
            <w:r>
              <w:rPr>
                <w:rFonts w:hint="eastAsia"/>
                <w:bCs/>
                <w:sz w:val="21"/>
                <w:szCs w:val="24"/>
              </w:rPr>
              <w:t>锌</w:t>
            </w:r>
          </w:p>
        </w:tc>
        <w:tc>
          <w:tcPr>
            <w:tcW w:w="650" w:type="pct"/>
            <w:tcBorders>
              <w:tl2br w:val="nil"/>
              <w:tr2bl w:val="nil"/>
            </w:tcBorders>
            <w:shd w:val="clear" w:color="auto" w:fill="auto"/>
            <w:vAlign w:val="center"/>
          </w:tcPr>
          <w:p w14:paraId="0A9BB1E9">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1204E940">
            <w:pPr>
              <w:spacing w:line="360" w:lineRule="exact"/>
              <w:ind w:firstLine="0" w:firstLineChars="0"/>
              <w:jc w:val="center"/>
              <w:rPr>
                <w:sz w:val="21"/>
                <w:szCs w:val="16"/>
              </w:rPr>
            </w:pPr>
            <w:r>
              <w:rPr>
                <w:rFonts w:hint="eastAsia"/>
                <w:sz w:val="21"/>
                <w:szCs w:val="16"/>
              </w:rPr>
              <w:t>67</w:t>
            </w:r>
          </w:p>
        </w:tc>
        <w:tc>
          <w:tcPr>
            <w:tcW w:w="721" w:type="pct"/>
            <w:tcBorders>
              <w:tl2br w:val="nil"/>
              <w:tr2bl w:val="nil"/>
            </w:tcBorders>
            <w:shd w:val="clear" w:color="auto" w:fill="auto"/>
            <w:vAlign w:val="center"/>
          </w:tcPr>
          <w:p w14:paraId="6174F92A">
            <w:pPr>
              <w:spacing w:line="360" w:lineRule="exact"/>
              <w:ind w:firstLine="0" w:firstLineChars="0"/>
              <w:jc w:val="center"/>
              <w:rPr>
                <w:sz w:val="21"/>
                <w:szCs w:val="16"/>
              </w:rPr>
            </w:pPr>
            <w:r>
              <w:rPr>
                <w:rFonts w:hint="eastAsia"/>
                <w:sz w:val="21"/>
                <w:szCs w:val="16"/>
              </w:rPr>
              <w:t>78</w:t>
            </w:r>
          </w:p>
        </w:tc>
        <w:tc>
          <w:tcPr>
            <w:tcW w:w="721" w:type="pct"/>
            <w:tcBorders>
              <w:tl2br w:val="nil"/>
              <w:tr2bl w:val="nil"/>
            </w:tcBorders>
            <w:shd w:val="clear" w:color="auto" w:fill="auto"/>
            <w:vAlign w:val="center"/>
          </w:tcPr>
          <w:p w14:paraId="5F87B3F2">
            <w:pPr>
              <w:spacing w:line="360" w:lineRule="exact"/>
              <w:ind w:firstLine="0" w:firstLineChars="0"/>
              <w:jc w:val="center"/>
              <w:rPr>
                <w:sz w:val="21"/>
                <w:szCs w:val="16"/>
              </w:rPr>
            </w:pPr>
            <w:r>
              <w:rPr>
                <w:rFonts w:hint="eastAsia"/>
                <w:sz w:val="21"/>
                <w:szCs w:val="16"/>
              </w:rPr>
              <w:t>72</w:t>
            </w:r>
          </w:p>
        </w:tc>
        <w:tc>
          <w:tcPr>
            <w:tcW w:w="950" w:type="pct"/>
            <w:tcBorders>
              <w:tl2br w:val="nil"/>
              <w:tr2bl w:val="nil"/>
            </w:tcBorders>
            <w:shd w:val="clear" w:color="auto" w:fill="auto"/>
            <w:vAlign w:val="center"/>
          </w:tcPr>
          <w:p w14:paraId="740F3622">
            <w:pPr>
              <w:spacing w:line="360" w:lineRule="exact"/>
              <w:ind w:firstLine="0" w:firstLineChars="0"/>
              <w:jc w:val="center"/>
              <w:rPr>
                <w:sz w:val="21"/>
                <w:szCs w:val="21"/>
              </w:rPr>
            </w:pPr>
            <w:r>
              <w:rPr>
                <w:rFonts w:hint="eastAsia"/>
                <w:sz w:val="21"/>
                <w:szCs w:val="21"/>
              </w:rPr>
              <w:t>300</w:t>
            </w:r>
          </w:p>
        </w:tc>
        <w:tc>
          <w:tcPr>
            <w:tcW w:w="446" w:type="pct"/>
            <w:tcBorders>
              <w:tl2br w:val="nil"/>
              <w:tr2bl w:val="nil"/>
            </w:tcBorders>
            <w:shd w:val="clear" w:color="auto" w:fill="auto"/>
            <w:vAlign w:val="center"/>
          </w:tcPr>
          <w:p w14:paraId="069CB3C9">
            <w:pPr>
              <w:spacing w:line="360" w:lineRule="exact"/>
              <w:ind w:firstLine="0" w:firstLineChars="0"/>
              <w:jc w:val="center"/>
              <w:rPr>
                <w:sz w:val="21"/>
                <w:szCs w:val="21"/>
              </w:rPr>
            </w:pPr>
            <w:r>
              <w:rPr>
                <w:rFonts w:hint="eastAsia"/>
                <w:sz w:val="21"/>
                <w:szCs w:val="21"/>
              </w:rPr>
              <w:t>达标</w:t>
            </w:r>
          </w:p>
        </w:tc>
      </w:tr>
      <w:tr w14:paraId="4615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43712A27">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676AF8A7">
            <w:pPr>
              <w:spacing w:line="360" w:lineRule="exact"/>
              <w:ind w:firstLine="0" w:firstLineChars="0"/>
              <w:jc w:val="center"/>
              <w:rPr>
                <w:sz w:val="21"/>
                <w:szCs w:val="21"/>
              </w:rPr>
            </w:pPr>
            <w:r>
              <w:rPr>
                <w:rFonts w:hint="eastAsia"/>
                <w:bCs/>
                <w:sz w:val="21"/>
                <w:szCs w:val="24"/>
              </w:rPr>
              <w:t>六六六</w:t>
            </w:r>
          </w:p>
        </w:tc>
        <w:tc>
          <w:tcPr>
            <w:tcW w:w="650" w:type="pct"/>
            <w:tcBorders>
              <w:tl2br w:val="nil"/>
              <w:tr2bl w:val="nil"/>
            </w:tcBorders>
            <w:shd w:val="clear" w:color="auto" w:fill="auto"/>
            <w:vAlign w:val="center"/>
          </w:tcPr>
          <w:p w14:paraId="0DD1FA62">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4B7F41AA">
            <w:pPr>
              <w:spacing w:line="360" w:lineRule="exact"/>
              <w:ind w:firstLine="0" w:firstLineChars="0"/>
              <w:jc w:val="center"/>
              <w:rPr>
                <w:sz w:val="21"/>
                <w:szCs w:val="21"/>
                <w:vertAlign w:val="superscript"/>
              </w:rPr>
            </w:pPr>
            <w:r>
              <w:rPr>
                <w:rFonts w:hint="eastAsia"/>
                <w:sz w:val="21"/>
                <w:szCs w:val="21"/>
              </w:rPr>
              <w:t>＜4.9×10</w:t>
            </w:r>
            <w:r>
              <w:rPr>
                <w:rFonts w:hint="eastAsia"/>
                <w:sz w:val="21"/>
                <w:szCs w:val="21"/>
                <w:vertAlign w:val="superscript"/>
              </w:rPr>
              <w:t>-5</w:t>
            </w:r>
          </w:p>
        </w:tc>
        <w:tc>
          <w:tcPr>
            <w:tcW w:w="721" w:type="pct"/>
            <w:tcBorders>
              <w:tl2br w:val="nil"/>
              <w:tr2bl w:val="nil"/>
            </w:tcBorders>
            <w:shd w:val="clear" w:color="auto" w:fill="auto"/>
            <w:vAlign w:val="center"/>
          </w:tcPr>
          <w:p w14:paraId="6C06FC35">
            <w:pPr>
              <w:spacing w:line="360" w:lineRule="exact"/>
              <w:ind w:firstLine="0" w:firstLineChars="0"/>
              <w:jc w:val="center"/>
              <w:rPr>
                <w:sz w:val="21"/>
                <w:szCs w:val="21"/>
              </w:rPr>
            </w:pPr>
            <w:r>
              <w:rPr>
                <w:rFonts w:hint="eastAsia"/>
                <w:sz w:val="21"/>
                <w:szCs w:val="21"/>
              </w:rPr>
              <w:t>＜4.9×10</w:t>
            </w:r>
            <w:r>
              <w:rPr>
                <w:rFonts w:hint="eastAsia"/>
                <w:sz w:val="21"/>
                <w:szCs w:val="21"/>
                <w:vertAlign w:val="superscript"/>
              </w:rPr>
              <w:t>-5</w:t>
            </w:r>
          </w:p>
        </w:tc>
        <w:tc>
          <w:tcPr>
            <w:tcW w:w="721" w:type="pct"/>
            <w:tcBorders>
              <w:tl2br w:val="nil"/>
              <w:tr2bl w:val="nil"/>
            </w:tcBorders>
            <w:shd w:val="clear" w:color="auto" w:fill="auto"/>
            <w:vAlign w:val="center"/>
          </w:tcPr>
          <w:p w14:paraId="63067B35">
            <w:pPr>
              <w:spacing w:line="360" w:lineRule="exact"/>
              <w:ind w:firstLine="0" w:firstLineChars="0"/>
              <w:jc w:val="center"/>
              <w:rPr>
                <w:sz w:val="21"/>
                <w:szCs w:val="21"/>
              </w:rPr>
            </w:pPr>
            <w:r>
              <w:rPr>
                <w:rFonts w:hint="eastAsia"/>
                <w:sz w:val="21"/>
                <w:szCs w:val="21"/>
              </w:rPr>
              <w:t>＜4.9×10</w:t>
            </w:r>
            <w:r>
              <w:rPr>
                <w:rFonts w:hint="eastAsia"/>
                <w:sz w:val="21"/>
                <w:szCs w:val="21"/>
                <w:vertAlign w:val="superscript"/>
              </w:rPr>
              <w:t>-5</w:t>
            </w:r>
          </w:p>
        </w:tc>
        <w:tc>
          <w:tcPr>
            <w:tcW w:w="950" w:type="pct"/>
            <w:tcBorders>
              <w:tl2br w:val="nil"/>
              <w:tr2bl w:val="nil"/>
            </w:tcBorders>
            <w:shd w:val="clear" w:color="auto" w:fill="auto"/>
            <w:vAlign w:val="center"/>
          </w:tcPr>
          <w:p w14:paraId="0AB18722">
            <w:pPr>
              <w:spacing w:line="360" w:lineRule="exact"/>
              <w:ind w:firstLine="0" w:firstLineChars="0"/>
              <w:jc w:val="center"/>
              <w:rPr>
                <w:sz w:val="21"/>
                <w:szCs w:val="21"/>
              </w:rPr>
            </w:pPr>
            <w:r>
              <w:rPr>
                <w:rFonts w:hint="eastAsia"/>
                <w:sz w:val="21"/>
                <w:szCs w:val="21"/>
              </w:rPr>
              <w:t>0.1</w:t>
            </w:r>
          </w:p>
        </w:tc>
        <w:tc>
          <w:tcPr>
            <w:tcW w:w="446" w:type="pct"/>
            <w:tcBorders>
              <w:tl2br w:val="nil"/>
              <w:tr2bl w:val="nil"/>
            </w:tcBorders>
            <w:shd w:val="clear" w:color="auto" w:fill="auto"/>
            <w:vAlign w:val="center"/>
          </w:tcPr>
          <w:p w14:paraId="5799E5E3">
            <w:pPr>
              <w:spacing w:line="360" w:lineRule="exact"/>
              <w:ind w:firstLine="0" w:firstLineChars="0"/>
              <w:jc w:val="center"/>
              <w:rPr>
                <w:sz w:val="21"/>
                <w:szCs w:val="21"/>
              </w:rPr>
            </w:pPr>
            <w:r>
              <w:rPr>
                <w:rFonts w:hint="eastAsia"/>
                <w:sz w:val="21"/>
                <w:szCs w:val="21"/>
              </w:rPr>
              <w:t>达标</w:t>
            </w:r>
          </w:p>
        </w:tc>
      </w:tr>
      <w:tr w14:paraId="32D8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tcBorders>
              <w:tl2br w:val="nil"/>
              <w:tr2bl w:val="nil"/>
            </w:tcBorders>
            <w:shd w:val="clear" w:color="auto" w:fill="auto"/>
            <w:vAlign w:val="center"/>
          </w:tcPr>
          <w:p w14:paraId="32ADE15A">
            <w:pPr>
              <w:spacing w:line="360" w:lineRule="exact"/>
              <w:ind w:firstLine="0" w:firstLineChars="0"/>
              <w:jc w:val="center"/>
              <w:rPr>
                <w:sz w:val="21"/>
                <w:szCs w:val="21"/>
              </w:rPr>
            </w:pPr>
          </w:p>
        </w:tc>
        <w:tc>
          <w:tcPr>
            <w:tcW w:w="459" w:type="pct"/>
            <w:tcBorders>
              <w:tl2br w:val="nil"/>
              <w:tr2bl w:val="nil"/>
            </w:tcBorders>
            <w:shd w:val="clear" w:color="auto" w:fill="auto"/>
            <w:vAlign w:val="center"/>
          </w:tcPr>
          <w:p w14:paraId="53AB067F">
            <w:pPr>
              <w:spacing w:line="360" w:lineRule="exact"/>
              <w:ind w:firstLine="0" w:firstLineChars="0"/>
              <w:jc w:val="center"/>
              <w:rPr>
                <w:sz w:val="21"/>
                <w:szCs w:val="21"/>
              </w:rPr>
            </w:pPr>
            <w:r>
              <w:rPr>
                <w:rFonts w:hint="eastAsia"/>
                <w:bCs/>
                <w:sz w:val="21"/>
                <w:szCs w:val="24"/>
              </w:rPr>
              <w:t>滴滴涕</w:t>
            </w:r>
          </w:p>
        </w:tc>
        <w:tc>
          <w:tcPr>
            <w:tcW w:w="650" w:type="pct"/>
            <w:tcBorders>
              <w:tl2br w:val="nil"/>
              <w:tr2bl w:val="nil"/>
            </w:tcBorders>
            <w:shd w:val="clear" w:color="auto" w:fill="auto"/>
            <w:vAlign w:val="center"/>
          </w:tcPr>
          <w:p w14:paraId="632516F1">
            <w:pPr>
              <w:spacing w:line="360" w:lineRule="exact"/>
              <w:ind w:firstLine="0" w:firstLineChars="0"/>
              <w:jc w:val="center"/>
              <w:rPr>
                <w:sz w:val="21"/>
                <w:szCs w:val="21"/>
              </w:rPr>
            </w:pPr>
            <w:r>
              <w:rPr>
                <w:rFonts w:hint="eastAsia"/>
                <w:sz w:val="21"/>
                <w:szCs w:val="21"/>
              </w:rPr>
              <w:t>mg/kg</w:t>
            </w:r>
          </w:p>
        </w:tc>
        <w:tc>
          <w:tcPr>
            <w:tcW w:w="542" w:type="pct"/>
            <w:tcBorders>
              <w:tl2br w:val="nil"/>
              <w:tr2bl w:val="nil"/>
            </w:tcBorders>
            <w:shd w:val="clear" w:color="auto" w:fill="auto"/>
            <w:vAlign w:val="center"/>
          </w:tcPr>
          <w:p w14:paraId="20EE0F78">
            <w:pPr>
              <w:spacing w:line="360" w:lineRule="exact"/>
              <w:ind w:firstLine="0" w:firstLineChars="0"/>
              <w:jc w:val="center"/>
              <w:rPr>
                <w:sz w:val="21"/>
                <w:szCs w:val="21"/>
                <w:vertAlign w:val="superscript"/>
              </w:rPr>
            </w:pPr>
            <w:r>
              <w:rPr>
                <w:rFonts w:hint="eastAsia"/>
                <w:sz w:val="21"/>
                <w:szCs w:val="21"/>
              </w:rPr>
              <w:t>＜1.70×10</w:t>
            </w:r>
            <w:r>
              <w:rPr>
                <w:rFonts w:hint="eastAsia"/>
                <w:sz w:val="21"/>
                <w:szCs w:val="21"/>
                <w:vertAlign w:val="superscript"/>
              </w:rPr>
              <w:t>-4</w:t>
            </w:r>
          </w:p>
        </w:tc>
        <w:tc>
          <w:tcPr>
            <w:tcW w:w="721" w:type="pct"/>
            <w:tcBorders>
              <w:tl2br w:val="nil"/>
              <w:tr2bl w:val="nil"/>
            </w:tcBorders>
            <w:shd w:val="clear" w:color="auto" w:fill="auto"/>
            <w:vAlign w:val="center"/>
          </w:tcPr>
          <w:p w14:paraId="67D421FE">
            <w:pPr>
              <w:spacing w:line="360" w:lineRule="exact"/>
              <w:ind w:firstLine="0" w:firstLineChars="0"/>
              <w:jc w:val="center"/>
              <w:rPr>
                <w:sz w:val="21"/>
                <w:szCs w:val="21"/>
              </w:rPr>
            </w:pPr>
            <w:r>
              <w:rPr>
                <w:rFonts w:hint="eastAsia"/>
                <w:sz w:val="21"/>
                <w:szCs w:val="21"/>
              </w:rPr>
              <w:t>＜1.70×10</w:t>
            </w:r>
            <w:r>
              <w:rPr>
                <w:rFonts w:hint="eastAsia"/>
                <w:sz w:val="21"/>
                <w:szCs w:val="21"/>
                <w:vertAlign w:val="superscript"/>
              </w:rPr>
              <w:t>-4</w:t>
            </w:r>
          </w:p>
        </w:tc>
        <w:tc>
          <w:tcPr>
            <w:tcW w:w="721" w:type="pct"/>
            <w:tcBorders>
              <w:tl2br w:val="nil"/>
              <w:tr2bl w:val="nil"/>
            </w:tcBorders>
            <w:shd w:val="clear" w:color="auto" w:fill="auto"/>
            <w:vAlign w:val="center"/>
          </w:tcPr>
          <w:p w14:paraId="5028FE57">
            <w:pPr>
              <w:spacing w:line="360" w:lineRule="exact"/>
              <w:ind w:firstLine="0" w:firstLineChars="0"/>
              <w:jc w:val="center"/>
              <w:rPr>
                <w:sz w:val="21"/>
                <w:szCs w:val="21"/>
              </w:rPr>
            </w:pPr>
            <w:r>
              <w:rPr>
                <w:rFonts w:hint="eastAsia"/>
                <w:sz w:val="21"/>
                <w:szCs w:val="21"/>
              </w:rPr>
              <w:t>＜1.70×10</w:t>
            </w:r>
            <w:r>
              <w:rPr>
                <w:rFonts w:hint="eastAsia"/>
                <w:sz w:val="21"/>
                <w:szCs w:val="21"/>
                <w:vertAlign w:val="superscript"/>
              </w:rPr>
              <w:t>-4</w:t>
            </w:r>
          </w:p>
        </w:tc>
        <w:tc>
          <w:tcPr>
            <w:tcW w:w="950" w:type="pct"/>
            <w:tcBorders>
              <w:tl2br w:val="nil"/>
              <w:tr2bl w:val="nil"/>
            </w:tcBorders>
            <w:shd w:val="clear" w:color="auto" w:fill="auto"/>
            <w:vAlign w:val="center"/>
          </w:tcPr>
          <w:p w14:paraId="4FB22D1E">
            <w:pPr>
              <w:spacing w:line="360" w:lineRule="exact"/>
              <w:ind w:firstLine="0" w:firstLineChars="0"/>
              <w:jc w:val="center"/>
              <w:rPr>
                <w:sz w:val="21"/>
                <w:szCs w:val="21"/>
              </w:rPr>
            </w:pPr>
            <w:r>
              <w:rPr>
                <w:rFonts w:hint="eastAsia"/>
                <w:sz w:val="21"/>
                <w:szCs w:val="21"/>
              </w:rPr>
              <w:t>0.1</w:t>
            </w:r>
          </w:p>
        </w:tc>
        <w:tc>
          <w:tcPr>
            <w:tcW w:w="446" w:type="pct"/>
            <w:tcBorders>
              <w:tl2br w:val="nil"/>
              <w:tr2bl w:val="nil"/>
            </w:tcBorders>
            <w:shd w:val="clear" w:color="auto" w:fill="auto"/>
            <w:vAlign w:val="center"/>
          </w:tcPr>
          <w:p w14:paraId="0179A5C1">
            <w:pPr>
              <w:spacing w:line="360" w:lineRule="exact"/>
              <w:ind w:firstLine="0" w:firstLineChars="0"/>
              <w:jc w:val="center"/>
              <w:rPr>
                <w:sz w:val="21"/>
                <w:szCs w:val="21"/>
              </w:rPr>
            </w:pPr>
            <w:r>
              <w:rPr>
                <w:rFonts w:hint="eastAsia"/>
                <w:sz w:val="21"/>
                <w:szCs w:val="21"/>
              </w:rPr>
              <w:t>达标</w:t>
            </w:r>
          </w:p>
        </w:tc>
      </w:tr>
    </w:tbl>
    <w:p w14:paraId="379A74C4">
      <w:pPr>
        <w:ind w:firstLine="480"/>
      </w:pPr>
      <w:r>
        <w:rPr>
          <w:rFonts w:hint="eastAsia"/>
        </w:rPr>
        <w:t>根据监测结果可知，项目所在区域土壤环境质量满足《畜禽养殖产地评价规范》（HJ568-2010）中农用地风险筛选值。</w:t>
      </w:r>
    </w:p>
    <w:p w14:paraId="3B7E475A">
      <w:pPr>
        <w:pStyle w:val="5"/>
      </w:pPr>
      <w:bookmarkStart w:id="144" w:name="_Toc106663491"/>
      <w:r>
        <w:rPr>
          <w:rFonts w:hint="eastAsia"/>
        </w:rPr>
        <w:t>4.2.6生态现状调查</w:t>
      </w:r>
      <w:bookmarkEnd w:id="144"/>
    </w:p>
    <w:p w14:paraId="76841611">
      <w:pPr>
        <w:ind w:firstLine="480"/>
      </w:pPr>
      <w:r>
        <w:rPr>
          <w:rFonts w:hint="eastAsia"/>
        </w:rPr>
        <w:t>（1）生态功能区划</w:t>
      </w:r>
    </w:p>
    <w:p w14:paraId="444F8A3A">
      <w:pPr>
        <w:pStyle w:val="165"/>
        <w:ind w:firstLine="480"/>
      </w:pPr>
      <w:r>
        <w:t>根据《新疆生态功能区划》，本项目所在区域属于</w:t>
      </w:r>
      <w:r>
        <w:rPr>
          <w:rFonts w:hint="eastAsia"/>
        </w:rPr>
        <w:t>”</w:t>
      </w:r>
      <w:r>
        <w:t>准噶尔盆地温性荒漠与绿洲农业生态区</w:t>
      </w:r>
      <w:r>
        <w:rPr>
          <w:rFonts w:hint="eastAsia"/>
        </w:rPr>
        <w:t>（</w:t>
      </w:r>
      <w:r>
        <w:t>Ⅱ</w:t>
      </w:r>
      <w:r>
        <w:rPr>
          <w:rFonts w:hint="eastAsia"/>
        </w:rPr>
        <w:t>）</w:t>
      </w:r>
      <w:r>
        <w:t>准噶尔盆地南部荒漠绿洲农业生态亚区</w:t>
      </w:r>
      <w:r>
        <w:rPr>
          <w:rFonts w:hint="eastAsia"/>
        </w:rPr>
        <w:t>（</w:t>
      </w:r>
      <w:r>
        <w:t>Ⅱ3</w:t>
      </w:r>
      <w:r>
        <w:rPr>
          <w:rFonts w:hint="eastAsia"/>
        </w:rPr>
        <w:t>）</w:t>
      </w:r>
      <w:r>
        <w:t>23古尔班通古特沙漠化敏感及植被保护生态功能区</w:t>
      </w:r>
      <w:r>
        <w:rPr>
          <w:rFonts w:hint="eastAsia"/>
        </w:rPr>
        <w:t>”。</w:t>
      </w:r>
      <w:r>
        <w:t>该生态功能区的主要生态服务功能、生态敏感因子、主要生态环境问题和主要保护目标见表4.2-1</w:t>
      </w:r>
      <w:r>
        <w:rPr>
          <w:rFonts w:hint="eastAsia"/>
        </w:rPr>
        <w:t>1。</w:t>
      </w:r>
    </w:p>
    <w:p w14:paraId="3A76BD3F">
      <w:pPr>
        <w:pStyle w:val="171"/>
        <w:spacing w:before="163" w:beforeLines="50" w:line="240" w:lineRule="auto"/>
        <w:ind w:firstLine="480"/>
        <w:outlineLvl w:val="9"/>
      </w:pPr>
      <w:r>
        <w:t>表4.2-1</w:t>
      </w:r>
      <w:r>
        <w:rPr>
          <w:rFonts w:hint="eastAsia"/>
        </w:rPr>
        <w:t>1</w:t>
      </w:r>
      <w:r>
        <w:t>评价区生态功能区划</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57"/>
        <w:gridCol w:w="1341"/>
        <w:gridCol w:w="6011"/>
      </w:tblGrid>
      <w:tr w14:paraId="29637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6" w:type="pct"/>
            <w:vMerge w:val="restart"/>
            <w:tcBorders>
              <w:bottom w:val="nil"/>
            </w:tcBorders>
            <w:vAlign w:val="center"/>
          </w:tcPr>
          <w:p w14:paraId="7846DC1F">
            <w:pPr>
              <w:spacing w:line="360" w:lineRule="exact"/>
              <w:ind w:firstLine="0" w:firstLineChars="0"/>
              <w:jc w:val="center"/>
              <w:rPr>
                <w:rFonts w:cs="宋体"/>
                <w:sz w:val="21"/>
                <w:szCs w:val="21"/>
              </w:rPr>
            </w:pPr>
            <w:r>
              <w:rPr>
                <w:rFonts w:cs="宋体"/>
                <w:sz w:val="21"/>
                <w:szCs w:val="21"/>
              </w:rPr>
              <w:t>生态功能分区单元</w:t>
            </w:r>
          </w:p>
        </w:tc>
        <w:tc>
          <w:tcPr>
            <w:tcW w:w="807" w:type="pct"/>
            <w:vAlign w:val="center"/>
          </w:tcPr>
          <w:p w14:paraId="517780FB">
            <w:pPr>
              <w:spacing w:line="360" w:lineRule="exact"/>
              <w:ind w:firstLine="0" w:firstLineChars="0"/>
              <w:jc w:val="center"/>
              <w:rPr>
                <w:rFonts w:cs="宋体"/>
                <w:sz w:val="21"/>
                <w:szCs w:val="21"/>
              </w:rPr>
            </w:pPr>
            <w:r>
              <w:rPr>
                <w:rFonts w:cs="宋体"/>
                <w:sz w:val="21"/>
                <w:szCs w:val="21"/>
              </w:rPr>
              <w:t>生态区</w:t>
            </w:r>
          </w:p>
        </w:tc>
        <w:tc>
          <w:tcPr>
            <w:tcW w:w="3616" w:type="pct"/>
            <w:vAlign w:val="center"/>
          </w:tcPr>
          <w:p w14:paraId="709BF06D">
            <w:pPr>
              <w:spacing w:line="360" w:lineRule="exact"/>
              <w:ind w:firstLine="0" w:firstLineChars="0"/>
              <w:jc w:val="center"/>
              <w:rPr>
                <w:rFonts w:cs="宋体"/>
                <w:sz w:val="21"/>
                <w:szCs w:val="21"/>
              </w:rPr>
            </w:pPr>
            <w:r>
              <w:rPr>
                <w:rFonts w:cs="宋体"/>
                <w:sz w:val="21"/>
                <w:szCs w:val="21"/>
              </w:rPr>
              <w:t>Ⅱ准噶尔盆地温性荒漠与绿洲农业生态区</w:t>
            </w:r>
          </w:p>
        </w:tc>
      </w:tr>
      <w:tr w14:paraId="36ADA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576" w:type="pct"/>
            <w:vMerge w:val="continue"/>
            <w:tcBorders>
              <w:top w:val="nil"/>
              <w:bottom w:val="nil"/>
            </w:tcBorders>
            <w:vAlign w:val="center"/>
          </w:tcPr>
          <w:p w14:paraId="68EE885B">
            <w:pPr>
              <w:spacing w:line="360" w:lineRule="exact"/>
              <w:ind w:firstLine="0" w:firstLineChars="0"/>
              <w:jc w:val="center"/>
              <w:rPr>
                <w:sz w:val="21"/>
              </w:rPr>
            </w:pPr>
          </w:p>
        </w:tc>
        <w:tc>
          <w:tcPr>
            <w:tcW w:w="807" w:type="pct"/>
            <w:vAlign w:val="center"/>
          </w:tcPr>
          <w:p w14:paraId="21F1EC9E">
            <w:pPr>
              <w:spacing w:line="360" w:lineRule="exact"/>
              <w:ind w:firstLine="0" w:firstLineChars="0"/>
              <w:jc w:val="center"/>
              <w:rPr>
                <w:rFonts w:cs="宋体"/>
                <w:sz w:val="21"/>
                <w:szCs w:val="21"/>
              </w:rPr>
            </w:pPr>
            <w:r>
              <w:rPr>
                <w:rFonts w:cs="宋体"/>
                <w:sz w:val="21"/>
                <w:szCs w:val="21"/>
              </w:rPr>
              <w:t>生态亚区</w:t>
            </w:r>
          </w:p>
        </w:tc>
        <w:tc>
          <w:tcPr>
            <w:tcW w:w="3616" w:type="pct"/>
            <w:vAlign w:val="center"/>
          </w:tcPr>
          <w:p w14:paraId="590F2FE8">
            <w:pPr>
              <w:spacing w:line="360" w:lineRule="exact"/>
              <w:ind w:firstLine="0" w:firstLineChars="0"/>
              <w:jc w:val="center"/>
              <w:rPr>
                <w:rFonts w:cs="宋体"/>
                <w:sz w:val="21"/>
                <w:szCs w:val="21"/>
              </w:rPr>
            </w:pPr>
            <w:r>
              <w:rPr>
                <w:rFonts w:cs="宋体"/>
                <w:sz w:val="21"/>
                <w:szCs w:val="21"/>
              </w:rPr>
              <w:t>Ⅱ</w:t>
            </w:r>
            <w:r>
              <w:rPr>
                <w:position w:val="-2"/>
                <w:sz w:val="21"/>
                <w:szCs w:val="14"/>
              </w:rPr>
              <w:t>3</w:t>
            </w:r>
            <w:r>
              <w:rPr>
                <w:rFonts w:cs="宋体"/>
                <w:sz w:val="21"/>
                <w:szCs w:val="21"/>
              </w:rPr>
              <w:t>准噶尔盆地南部荒漠绿洲农业生态亚区</w:t>
            </w:r>
          </w:p>
        </w:tc>
      </w:tr>
      <w:tr w14:paraId="3F449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576" w:type="pct"/>
            <w:vMerge w:val="continue"/>
            <w:tcBorders>
              <w:top w:val="nil"/>
            </w:tcBorders>
            <w:vAlign w:val="center"/>
          </w:tcPr>
          <w:p w14:paraId="4000A8FA">
            <w:pPr>
              <w:spacing w:line="360" w:lineRule="exact"/>
              <w:ind w:firstLine="0" w:firstLineChars="0"/>
              <w:jc w:val="center"/>
              <w:rPr>
                <w:sz w:val="21"/>
              </w:rPr>
            </w:pPr>
          </w:p>
        </w:tc>
        <w:tc>
          <w:tcPr>
            <w:tcW w:w="807" w:type="pct"/>
            <w:vAlign w:val="center"/>
          </w:tcPr>
          <w:p w14:paraId="745F5F7A">
            <w:pPr>
              <w:spacing w:line="360" w:lineRule="exact"/>
              <w:ind w:firstLine="0" w:firstLineChars="0"/>
              <w:jc w:val="center"/>
              <w:rPr>
                <w:rFonts w:cs="宋体"/>
                <w:sz w:val="21"/>
                <w:szCs w:val="21"/>
              </w:rPr>
            </w:pPr>
            <w:r>
              <w:rPr>
                <w:rFonts w:cs="宋体"/>
                <w:sz w:val="21"/>
                <w:szCs w:val="21"/>
              </w:rPr>
              <w:t>生态功能区</w:t>
            </w:r>
          </w:p>
        </w:tc>
        <w:tc>
          <w:tcPr>
            <w:tcW w:w="3616" w:type="pct"/>
            <w:vAlign w:val="center"/>
          </w:tcPr>
          <w:p w14:paraId="09DEB14D">
            <w:pPr>
              <w:spacing w:line="360" w:lineRule="exact"/>
              <w:ind w:firstLine="0" w:firstLineChars="0"/>
              <w:jc w:val="center"/>
              <w:rPr>
                <w:rFonts w:cs="宋体"/>
                <w:sz w:val="21"/>
                <w:szCs w:val="21"/>
              </w:rPr>
            </w:pPr>
            <w:r>
              <w:rPr>
                <w:rFonts w:cs="宋体"/>
                <w:sz w:val="21"/>
                <w:szCs w:val="21"/>
              </w:rPr>
              <w:t>古尔班通古特沙漠化敏感及植被保护生态功能区</w:t>
            </w:r>
          </w:p>
        </w:tc>
      </w:tr>
      <w:tr w14:paraId="0A413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383" w:type="pct"/>
            <w:gridSpan w:val="2"/>
            <w:vAlign w:val="center"/>
          </w:tcPr>
          <w:p w14:paraId="44BC6139">
            <w:pPr>
              <w:spacing w:line="360" w:lineRule="exact"/>
              <w:ind w:firstLine="0" w:firstLineChars="0"/>
              <w:jc w:val="center"/>
              <w:rPr>
                <w:rFonts w:cs="宋体"/>
                <w:sz w:val="21"/>
                <w:szCs w:val="21"/>
              </w:rPr>
            </w:pPr>
            <w:r>
              <w:rPr>
                <w:rFonts w:cs="宋体"/>
                <w:sz w:val="21"/>
                <w:szCs w:val="21"/>
              </w:rPr>
              <w:t>主要生态服务功能</w:t>
            </w:r>
          </w:p>
        </w:tc>
        <w:tc>
          <w:tcPr>
            <w:tcW w:w="3616" w:type="pct"/>
            <w:vAlign w:val="center"/>
          </w:tcPr>
          <w:p w14:paraId="09EAA825">
            <w:pPr>
              <w:spacing w:line="360" w:lineRule="exact"/>
              <w:ind w:firstLine="0" w:firstLineChars="0"/>
              <w:jc w:val="center"/>
              <w:rPr>
                <w:rFonts w:cs="宋体"/>
                <w:sz w:val="21"/>
                <w:szCs w:val="21"/>
              </w:rPr>
            </w:pPr>
            <w:r>
              <w:rPr>
                <w:rFonts w:cs="宋体"/>
                <w:sz w:val="21"/>
                <w:szCs w:val="21"/>
              </w:rPr>
              <w:t>工农畜产品生产、人居环境、荒漠化控制</w:t>
            </w:r>
          </w:p>
        </w:tc>
      </w:tr>
      <w:tr w14:paraId="7EAB8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383" w:type="pct"/>
            <w:gridSpan w:val="2"/>
            <w:vAlign w:val="center"/>
          </w:tcPr>
          <w:p w14:paraId="03FA262E">
            <w:pPr>
              <w:spacing w:line="360" w:lineRule="exact"/>
              <w:ind w:firstLine="0" w:firstLineChars="0"/>
              <w:jc w:val="center"/>
              <w:rPr>
                <w:rFonts w:cs="宋体"/>
                <w:sz w:val="21"/>
                <w:szCs w:val="21"/>
              </w:rPr>
            </w:pPr>
            <w:r>
              <w:rPr>
                <w:rFonts w:cs="宋体"/>
                <w:sz w:val="21"/>
                <w:szCs w:val="21"/>
              </w:rPr>
              <w:t>主要生态环境问题</w:t>
            </w:r>
          </w:p>
        </w:tc>
        <w:tc>
          <w:tcPr>
            <w:tcW w:w="3616" w:type="pct"/>
            <w:vAlign w:val="center"/>
          </w:tcPr>
          <w:p w14:paraId="2E97552E">
            <w:pPr>
              <w:spacing w:line="360" w:lineRule="exact"/>
              <w:ind w:right="166" w:firstLine="0" w:firstLineChars="0"/>
              <w:jc w:val="center"/>
              <w:rPr>
                <w:rFonts w:cs="宋体"/>
                <w:sz w:val="21"/>
                <w:szCs w:val="21"/>
              </w:rPr>
            </w:pPr>
            <w:r>
              <w:rPr>
                <w:rFonts w:cs="宋体"/>
                <w:sz w:val="21"/>
                <w:szCs w:val="21"/>
              </w:rPr>
              <w:t>地下水超采、荒漠植被退化、土地荒漠化与盐渍化、大气和水质及土壤污染、良田减少、绿洲外围受到沙漠化威胁</w:t>
            </w:r>
          </w:p>
        </w:tc>
      </w:tr>
      <w:tr w14:paraId="1172D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383" w:type="pct"/>
            <w:gridSpan w:val="2"/>
            <w:vAlign w:val="center"/>
          </w:tcPr>
          <w:p w14:paraId="16855362">
            <w:pPr>
              <w:spacing w:line="360" w:lineRule="exact"/>
              <w:ind w:right="201" w:firstLine="0" w:firstLineChars="0"/>
              <w:jc w:val="center"/>
              <w:rPr>
                <w:rFonts w:cs="宋体"/>
                <w:sz w:val="21"/>
                <w:szCs w:val="21"/>
              </w:rPr>
            </w:pPr>
            <w:r>
              <w:rPr>
                <w:rFonts w:cs="宋体"/>
                <w:sz w:val="21"/>
                <w:szCs w:val="21"/>
              </w:rPr>
              <w:t>生态敏感因子敏感程度</w:t>
            </w:r>
          </w:p>
        </w:tc>
        <w:tc>
          <w:tcPr>
            <w:tcW w:w="3616" w:type="pct"/>
            <w:vAlign w:val="center"/>
          </w:tcPr>
          <w:p w14:paraId="13DC9CAA">
            <w:pPr>
              <w:spacing w:line="360" w:lineRule="exact"/>
              <w:ind w:firstLine="0" w:firstLineChars="0"/>
              <w:jc w:val="center"/>
              <w:rPr>
                <w:rFonts w:cs="宋体"/>
                <w:sz w:val="21"/>
                <w:szCs w:val="21"/>
              </w:rPr>
            </w:pPr>
            <w:r>
              <w:rPr>
                <w:rFonts w:cs="宋体"/>
                <w:sz w:val="21"/>
                <w:szCs w:val="21"/>
              </w:rPr>
              <w:t>生物多样性和生境中度敏感，土地沙漠化、土壤侵蚀不敏感，土壤盐渍化不敏感</w:t>
            </w:r>
            <w:r>
              <w:rPr>
                <w:sz w:val="21"/>
                <w:szCs w:val="21"/>
              </w:rPr>
              <w:t>\</w:t>
            </w:r>
            <w:r>
              <w:rPr>
                <w:rFonts w:cs="宋体"/>
                <w:sz w:val="21"/>
                <w:szCs w:val="21"/>
              </w:rPr>
              <w:t>轻度敏感</w:t>
            </w:r>
            <w:r>
              <w:rPr>
                <w:rFonts w:hint="eastAsia" w:cs="宋体"/>
                <w:sz w:val="21"/>
                <w:szCs w:val="21"/>
              </w:rPr>
              <w:t>。</w:t>
            </w:r>
          </w:p>
        </w:tc>
      </w:tr>
      <w:tr w14:paraId="2B3FB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383" w:type="pct"/>
            <w:gridSpan w:val="2"/>
            <w:vAlign w:val="center"/>
          </w:tcPr>
          <w:p w14:paraId="7D104F75">
            <w:pPr>
              <w:spacing w:line="360" w:lineRule="exact"/>
              <w:ind w:firstLine="0" w:firstLineChars="0"/>
              <w:jc w:val="center"/>
              <w:rPr>
                <w:rFonts w:cs="宋体"/>
                <w:sz w:val="21"/>
                <w:szCs w:val="21"/>
              </w:rPr>
            </w:pPr>
            <w:r>
              <w:rPr>
                <w:rFonts w:cs="宋体"/>
                <w:sz w:val="21"/>
                <w:szCs w:val="21"/>
              </w:rPr>
              <w:t>保护目标</w:t>
            </w:r>
          </w:p>
        </w:tc>
        <w:tc>
          <w:tcPr>
            <w:tcW w:w="3616" w:type="pct"/>
            <w:vAlign w:val="center"/>
          </w:tcPr>
          <w:p w14:paraId="75C54046">
            <w:pPr>
              <w:spacing w:line="360" w:lineRule="exact"/>
              <w:ind w:right="197" w:firstLine="0" w:firstLineChars="0"/>
              <w:jc w:val="center"/>
              <w:rPr>
                <w:rFonts w:cs="宋体"/>
                <w:sz w:val="21"/>
                <w:szCs w:val="21"/>
              </w:rPr>
            </w:pPr>
            <w:r>
              <w:rPr>
                <w:rFonts w:cs="宋体"/>
                <w:sz w:val="21"/>
                <w:szCs w:val="21"/>
              </w:rPr>
              <w:t>保护绿洲农田、保护城市大气和水环境质量、保护荒漠植被、保护农田土壤环境质量</w:t>
            </w:r>
          </w:p>
        </w:tc>
      </w:tr>
      <w:tr w14:paraId="6D199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1383" w:type="pct"/>
            <w:gridSpan w:val="2"/>
            <w:vAlign w:val="center"/>
          </w:tcPr>
          <w:p w14:paraId="46974A64">
            <w:pPr>
              <w:spacing w:line="360" w:lineRule="exact"/>
              <w:ind w:firstLine="0" w:firstLineChars="0"/>
              <w:jc w:val="center"/>
              <w:rPr>
                <w:rFonts w:cs="宋体"/>
                <w:sz w:val="21"/>
                <w:szCs w:val="21"/>
              </w:rPr>
            </w:pPr>
            <w:r>
              <w:rPr>
                <w:rFonts w:cs="宋体"/>
                <w:sz w:val="21"/>
                <w:szCs w:val="21"/>
              </w:rPr>
              <w:t>保护措施</w:t>
            </w:r>
          </w:p>
        </w:tc>
        <w:tc>
          <w:tcPr>
            <w:tcW w:w="3616" w:type="pct"/>
            <w:vAlign w:val="center"/>
          </w:tcPr>
          <w:p w14:paraId="350DCA60">
            <w:pPr>
              <w:spacing w:line="360" w:lineRule="exact"/>
              <w:ind w:firstLine="0" w:firstLineChars="0"/>
              <w:jc w:val="center"/>
              <w:rPr>
                <w:rFonts w:cs="宋体"/>
                <w:sz w:val="21"/>
                <w:szCs w:val="21"/>
              </w:rPr>
            </w:pPr>
            <w:r>
              <w:rPr>
                <w:rFonts w:cs="宋体"/>
                <w:sz w:val="21"/>
                <w:szCs w:val="21"/>
              </w:rPr>
              <w:t>节水灌溉、严格控制地下水开采、污染物达标排放、提高城镇建设规划水平、控制城镇建设用地、荒漠草场禁牧休牧、完善防护林体系、加强农田投入品的使用管理</w:t>
            </w:r>
          </w:p>
        </w:tc>
      </w:tr>
      <w:tr w14:paraId="632D6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1383" w:type="pct"/>
            <w:gridSpan w:val="2"/>
            <w:vAlign w:val="center"/>
          </w:tcPr>
          <w:p w14:paraId="0A7D6912">
            <w:pPr>
              <w:spacing w:line="360" w:lineRule="exact"/>
              <w:ind w:firstLine="0" w:firstLineChars="0"/>
              <w:jc w:val="center"/>
              <w:rPr>
                <w:rFonts w:cs="宋体"/>
                <w:sz w:val="21"/>
                <w:szCs w:val="21"/>
              </w:rPr>
            </w:pPr>
            <w:r>
              <w:rPr>
                <w:rFonts w:cs="宋体"/>
                <w:sz w:val="21"/>
                <w:szCs w:val="21"/>
              </w:rPr>
              <w:t>发展方向</w:t>
            </w:r>
          </w:p>
        </w:tc>
        <w:tc>
          <w:tcPr>
            <w:tcW w:w="3616" w:type="pct"/>
            <w:vAlign w:val="center"/>
          </w:tcPr>
          <w:p w14:paraId="08348DB7">
            <w:pPr>
              <w:spacing w:line="360" w:lineRule="exact"/>
              <w:ind w:right="166" w:firstLine="0" w:firstLineChars="0"/>
              <w:jc w:val="center"/>
              <w:rPr>
                <w:rFonts w:cs="宋体"/>
                <w:sz w:val="21"/>
                <w:szCs w:val="21"/>
              </w:rPr>
            </w:pPr>
            <w:r>
              <w:rPr>
                <w:rFonts w:cs="宋体"/>
                <w:sz w:val="21"/>
                <w:szCs w:val="21"/>
              </w:rPr>
              <w:t>发展优质高效农牧业，美化城市环境，建设健康、稳定的城乡生态系统与人居环境</w:t>
            </w:r>
            <w:r>
              <w:rPr>
                <w:rFonts w:hint="eastAsia" w:cs="宋体"/>
                <w:sz w:val="21"/>
                <w:szCs w:val="21"/>
              </w:rPr>
              <w:t>。</w:t>
            </w:r>
          </w:p>
        </w:tc>
      </w:tr>
    </w:tbl>
    <w:p w14:paraId="5F9A8B14">
      <w:pPr>
        <w:ind w:firstLine="480"/>
      </w:pPr>
      <w:r>
        <w:rPr>
          <w:rFonts w:hint="eastAsia"/>
        </w:rPr>
        <w:t>（2）现状用地性质</w:t>
      </w:r>
    </w:p>
    <w:p w14:paraId="46D659FA">
      <w:pPr>
        <w:ind w:firstLine="480"/>
      </w:pPr>
      <w:r>
        <w:rPr>
          <w:rFonts w:hint="eastAsia"/>
        </w:rPr>
        <w:t>木垒县目前现状用地性质为：国有耕地18.8660hm</w:t>
      </w:r>
      <w:r>
        <w:rPr>
          <w:rFonts w:hint="eastAsia"/>
          <w:vertAlign w:val="superscript"/>
        </w:rPr>
        <w:t>2</w:t>
      </w:r>
      <w:r>
        <w:rPr>
          <w:rFonts w:hint="eastAsia"/>
        </w:rPr>
        <w:t>、集体耕地8.0956hm</w:t>
      </w:r>
      <w:r>
        <w:rPr>
          <w:rFonts w:hint="eastAsia"/>
          <w:vertAlign w:val="superscript"/>
        </w:rPr>
        <w:t>2</w:t>
      </w:r>
      <w:r>
        <w:rPr>
          <w:rFonts w:hint="eastAsia"/>
        </w:rPr>
        <w:t>、国有林地0.9345hm</w:t>
      </w:r>
      <w:r>
        <w:rPr>
          <w:rFonts w:hint="eastAsia"/>
          <w:vertAlign w:val="superscript"/>
        </w:rPr>
        <w:t>2</w:t>
      </w:r>
      <w:r>
        <w:rPr>
          <w:rFonts w:hint="eastAsia"/>
        </w:rPr>
        <w:t>、集体林地2.7590hm</w:t>
      </w:r>
      <w:r>
        <w:rPr>
          <w:rFonts w:hint="eastAsia"/>
          <w:vertAlign w:val="superscript"/>
        </w:rPr>
        <w:t>2</w:t>
      </w:r>
      <w:r>
        <w:rPr>
          <w:rFonts w:hint="eastAsia"/>
        </w:rPr>
        <w:t>、国有荒地32.9091hm</w:t>
      </w:r>
      <w:r>
        <w:rPr>
          <w:rFonts w:hint="eastAsia"/>
          <w:vertAlign w:val="superscript"/>
        </w:rPr>
        <w:t>2</w:t>
      </w:r>
      <w:r>
        <w:rPr>
          <w:rFonts w:hint="eastAsia"/>
        </w:rPr>
        <w:t>、集体荒地1.0397hm</w:t>
      </w:r>
      <w:r>
        <w:rPr>
          <w:rFonts w:hint="eastAsia"/>
          <w:vertAlign w:val="superscript"/>
        </w:rPr>
        <w:t>2</w:t>
      </w:r>
      <w:r>
        <w:rPr>
          <w:rFonts w:hint="eastAsia"/>
        </w:rPr>
        <w:t>、农民宅基地0.1601hm</w:t>
      </w:r>
      <w:r>
        <w:rPr>
          <w:rFonts w:hint="eastAsia"/>
          <w:vertAlign w:val="superscript"/>
        </w:rPr>
        <w:t>2</w:t>
      </w:r>
      <w:r>
        <w:rPr>
          <w:rFonts w:hint="eastAsia"/>
        </w:rPr>
        <w:t>、国有殡葬用地0.0061hm</w:t>
      </w:r>
      <w:r>
        <w:rPr>
          <w:rFonts w:hint="eastAsia"/>
          <w:vertAlign w:val="superscript"/>
        </w:rPr>
        <w:t>2</w:t>
      </w:r>
      <w:r>
        <w:rPr>
          <w:rFonts w:hint="eastAsia"/>
        </w:rPr>
        <w:t>、国有农村道路用地0.2116hm</w:t>
      </w:r>
      <w:r>
        <w:rPr>
          <w:rFonts w:hint="eastAsia"/>
          <w:vertAlign w:val="superscript"/>
        </w:rPr>
        <w:t>2</w:t>
      </w:r>
      <w:r>
        <w:rPr>
          <w:rFonts w:hint="eastAsia"/>
        </w:rPr>
        <w:t>、国有设施农业用地1.6848hm</w:t>
      </w:r>
      <w:r>
        <w:rPr>
          <w:rFonts w:hint="eastAsia"/>
          <w:vertAlign w:val="superscript"/>
        </w:rPr>
        <w:t>2</w:t>
      </w:r>
      <w:r>
        <w:rPr>
          <w:rFonts w:hint="eastAsia"/>
        </w:rPr>
        <w:t>。</w:t>
      </w:r>
    </w:p>
    <w:p w14:paraId="2846B240">
      <w:pPr>
        <w:ind w:firstLine="480"/>
      </w:pPr>
      <w:r>
        <w:rPr>
          <w:rFonts w:hint="eastAsia"/>
        </w:rPr>
        <w:t>本项目昌吉州木垒县雀仁乡西北侧约3.9km处，用地性质为设施农用地，土地利用现状为荒草地。</w:t>
      </w:r>
    </w:p>
    <w:p w14:paraId="3B310057">
      <w:pPr>
        <w:ind w:firstLine="480"/>
      </w:pPr>
      <w:r>
        <w:rPr>
          <w:rFonts w:hint="eastAsia"/>
        </w:rPr>
        <w:t>（3）土壤类型</w:t>
      </w:r>
    </w:p>
    <w:p w14:paraId="61E6E132">
      <w:pPr>
        <w:ind w:firstLine="480"/>
      </w:pPr>
      <w:r>
        <w:rPr>
          <w:rFonts w:hint="eastAsia"/>
        </w:rPr>
        <w:t>土质以轻壤、中壤为主，其次是沙壤、重壤、粘土等，土壤有机质含量为2.39%，含氮0.14%、含磷0.18%、碳酸钙14.9%，土壤PH值为5.5~6.5。土壤理化和生物性能良好，土质宜农宜牧。</w:t>
      </w:r>
    </w:p>
    <w:p w14:paraId="715A21F7">
      <w:pPr>
        <w:ind w:firstLine="480"/>
      </w:pPr>
      <w:r>
        <w:rPr>
          <w:rFonts w:hint="eastAsia"/>
        </w:rPr>
        <w:t>（4）动物现状调查与评价</w:t>
      </w:r>
    </w:p>
    <w:p w14:paraId="15370C52">
      <w:pPr>
        <w:ind w:firstLine="480"/>
        <w:sectPr>
          <w:headerReference r:id="rId22" w:type="default"/>
          <w:footerReference r:id="rId2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r>
        <w:rPr>
          <w:rFonts w:hint="eastAsia"/>
        </w:rPr>
        <w:t>本工程所在区域由于人类活动，无珍稀野生动物分布，仅生存着小型啮齿类动物，如麻雀、燕子、野鼠类等。。</w:t>
      </w:r>
    </w:p>
    <w:p w14:paraId="0D6556D2">
      <w:pPr>
        <w:pStyle w:val="3"/>
      </w:pPr>
      <w:bookmarkStart w:id="145" w:name="_Toc89619342"/>
      <w:r>
        <w:rPr>
          <w:rFonts w:hint="eastAsia"/>
        </w:rPr>
        <w:t>5、建设项目环境影响分析</w:t>
      </w:r>
      <w:bookmarkEnd w:id="145"/>
    </w:p>
    <w:p w14:paraId="03C07F93">
      <w:pPr>
        <w:pStyle w:val="4"/>
      </w:pPr>
      <w:bookmarkStart w:id="146" w:name="_Toc89619343"/>
      <w:r>
        <w:rPr>
          <w:rFonts w:hint="eastAsia"/>
        </w:rPr>
        <w:t>5.1施工期环境影响分析</w:t>
      </w:r>
      <w:bookmarkEnd w:id="146"/>
    </w:p>
    <w:p w14:paraId="0AEAD03F">
      <w:pPr>
        <w:ind w:firstLine="480"/>
      </w:pPr>
      <w:r>
        <w:rPr>
          <w:rFonts w:hint="eastAsia"/>
        </w:rPr>
        <w:t>本项目施工期主要包括基础工程、主体工程、设备安装、装饰工程、工程验收等工序，其过程主要污染物为施工期厂界范围内的施工扬尘、施工设备燃油废气、施工噪声、施工废水、施工生活废水、施工填方、取土、施工建筑弃土、建筑废渣及施工占地产生的生态环境。</w:t>
      </w:r>
    </w:p>
    <w:p w14:paraId="6D43A9F2">
      <w:pPr>
        <w:pStyle w:val="5"/>
      </w:pPr>
      <w:bookmarkStart w:id="147" w:name="_Toc106663494"/>
      <w:r>
        <w:rPr>
          <w:rFonts w:hint="eastAsia"/>
        </w:rPr>
        <w:t>5.1.1施工期大气环境影响分析</w:t>
      </w:r>
      <w:bookmarkEnd w:id="147"/>
    </w:p>
    <w:p w14:paraId="57DB976F">
      <w:pPr>
        <w:pStyle w:val="6"/>
        <w:ind w:firstLine="482"/>
      </w:pPr>
      <w:r>
        <w:rPr>
          <w:rFonts w:hint="eastAsia"/>
        </w:rPr>
        <w:t>5.1.1.1施工扬尘</w:t>
      </w:r>
    </w:p>
    <w:p w14:paraId="1E4D542B">
      <w:pPr>
        <w:ind w:firstLine="480"/>
      </w:pPr>
      <w:r>
        <w:t>本项目施工期扬尘主要是主体工程、辅助工程、公用工程基础施工、环保工程等的土建挖取土（石）、推土、场地平整、施工沙石材料等的装卸、运输过程中产生的扬尘以及土石方的临时堆放过程中产生的扬尘，施工扬尘产生与施工管理、气象（特别是风速）条件等密切相关，也与扬尘本身沉降速度有关</w:t>
      </w:r>
      <w:r>
        <w:rPr>
          <w:rFonts w:hint="eastAsia"/>
        </w:rPr>
        <w:t>。</w:t>
      </w:r>
      <w:r>
        <w:t>如遇干旱无雨季节，在大风时，施工扬尘将更严重</w:t>
      </w:r>
      <w:r>
        <w:rPr>
          <w:rFonts w:hint="eastAsia"/>
        </w:rPr>
        <w:t>。</w:t>
      </w:r>
      <w:r>
        <w:t>据有关调查显示，施工工地的扬尘主要是由运输车辆行驶产生，与道路路面及车辆行驶速度有关，约占扬尘总量的60%</w:t>
      </w:r>
      <w:r>
        <w:rPr>
          <w:rFonts w:hint="eastAsia"/>
        </w:rPr>
        <w:t>。</w:t>
      </w:r>
      <w:r>
        <w:t>在完全干燥情况下，可按经验公式计算：</w:t>
      </w:r>
    </w:p>
    <w:p w14:paraId="17A2BD1B">
      <w:pPr>
        <w:ind w:firstLine="0" w:firstLineChars="0"/>
        <w:jc w:val="center"/>
        <w:rPr>
          <w:bCs/>
        </w:rPr>
      </w:pPr>
      <w:r>
        <w:rPr>
          <w:position w:val="-36"/>
        </w:rPr>
        <w:object>
          <v:shape id="_x0000_i1032" o:spt="75" type="#_x0000_t75" style="height:35.15pt;width:154.3pt;" o:ole="t" filled="f" o:preferrelative="t" stroked="f" coordsize="21600,21600">
            <v:path/>
            <v:fill on="f" focussize="0,0"/>
            <v:stroke on="f" joinstyle="miter"/>
            <v:imagedata r:id="rId49" o:title=""/>
            <o:lock v:ext="edit" aspectratio="t"/>
            <w10:wrap type="none"/>
            <w10:anchorlock/>
          </v:shape>
          <o:OLEObject Type="Embed" ProgID="Equation.AxMath" ShapeID="_x0000_i1032" DrawAspect="Content" ObjectID="_1468075731" r:id="rId48">
            <o:LockedField>false</o:LockedField>
          </o:OLEObject>
        </w:object>
      </w:r>
    </w:p>
    <w:p w14:paraId="593D7339">
      <w:pPr>
        <w:ind w:firstLine="480"/>
        <w:rPr>
          <w:bCs/>
        </w:rPr>
      </w:pPr>
      <w:r>
        <w:rPr>
          <w:bCs/>
        </w:rPr>
        <w:t>式中：Q</w:t>
      </w:r>
      <w:r>
        <w:rPr>
          <w:rFonts w:hint="eastAsia"/>
          <w:bCs/>
        </w:rPr>
        <w:t>——</w:t>
      </w:r>
      <w:r>
        <w:rPr>
          <w:bCs/>
        </w:rPr>
        <w:t>汽车行驶时的扬尘，kg/km.辆；</w:t>
      </w:r>
    </w:p>
    <w:p w14:paraId="257A3750">
      <w:pPr>
        <w:ind w:firstLine="1200" w:firstLineChars="500"/>
        <w:rPr>
          <w:bCs/>
        </w:rPr>
      </w:pPr>
      <w:r>
        <w:rPr>
          <w:bCs/>
        </w:rPr>
        <w:t>V</w:t>
      </w:r>
      <w:r>
        <w:rPr>
          <w:rFonts w:hint="eastAsia"/>
          <w:bCs/>
        </w:rPr>
        <w:t>——</w:t>
      </w:r>
      <w:r>
        <w:rPr>
          <w:bCs/>
        </w:rPr>
        <w:t>汽车速度，km/h；</w:t>
      </w:r>
    </w:p>
    <w:p w14:paraId="5CA8B73A">
      <w:pPr>
        <w:ind w:firstLine="1200" w:firstLineChars="500"/>
        <w:rPr>
          <w:bCs/>
        </w:rPr>
      </w:pPr>
      <w:r>
        <w:rPr>
          <w:bCs/>
        </w:rPr>
        <w:t>W</w:t>
      </w:r>
      <w:r>
        <w:rPr>
          <w:rFonts w:hint="eastAsia"/>
          <w:bCs/>
        </w:rPr>
        <w:t>——</w:t>
      </w:r>
      <w:r>
        <w:rPr>
          <w:bCs/>
        </w:rPr>
        <w:t>汽车载重量，吨；</w:t>
      </w:r>
    </w:p>
    <w:p w14:paraId="4F8A0AA1">
      <w:pPr>
        <w:ind w:firstLine="1200" w:firstLineChars="500"/>
        <w:rPr>
          <w:bCs/>
        </w:rPr>
      </w:pPr>
      <w:r>
        <w:rPr>
          <w:bCs/>
        </w:rPr>
        <w:t>P</w:t>
      </w:r>
      <w:r>
        <w:rPr>
          <w:rFonts w:hint="eastAsia"/>
          <w:bCs/>
        </w:rPr>
        <w:t>——</w:t>
      </w:r>
      <w:r>
        <w:rPr>
          <w:bCs/>
        </w:rPr>
        <w:t>道路表面粉尘量，kg/m</w:t>
      </w:r>
      <w:r>
        <w:rPr>
          <w:bCs/>
          <w:vertAlign w:val="superscript"/>
        </w:rPr>
        <w:t>2</w:t>
      </w:r>
    </w:p>
    <w:p w14:paraId="7DC6A52A">
      <w:pPr>
        <w:ind w:firstLine="480"/>
      </w:pPr>
      <w:r>
        <w:t>一辆载重20t的卡车，通过一段长度为500m的路面时，不同表面清洁程度，不同行驶速度情况下产生的扬尘量如表5.1-1所示</w:t>
      </w:r>
      <w:r>
        <w:rPr>
          <w:rFonts w:hint="eastAsia"/>
        </w:rPr>
        <w:t>。</w:t>
      </w:r>
    </w:p>
    <w:p w14:paraId="48BB44ED">
      <w:pPr>
        <w:pStyle w:val="11"/>
      </w:pPr>
      <w:r>
        <w:t>表5.1-1</w:t>
      </w:r>
      <w:r>
        <w:rPr>
          <w:rFonts w:hint="eastAsia"/>
        </w:rPr>
        <w:t>不同车速和地面清洁程度时的汽车扬尘单位：kg/km·辆</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124"/>
        <w:gridCol w:w="874"/>
        <w:gridCol w:w="973"/>
        <w:gridCol w:w="974"/>
        <w:gridCol w:w="971"/>
        <w:gridCol w:w="970"/>
      </w:tblGrid>
      <w:tr w14:paraId="6908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53501DED">
            <w:pPr>
              <w:snapToGrid w:val="0"/>
              <w:spacing w:line="240" w:lineRule="auto"/>
              <w:ind w:firstLine="0" w:firstLineChars="0"/>
              <w:jc w:val="center"/>
              <w:rPr>
                <w:bCs/>
                <w:kern w:val="2"/>
                <w:sz w:val="21"/>
                <w:szCs w:val="21"/>
              </w:rPr>
            </w:pPr>
            <w:r>
              <w:rPr>
                <w:rFonts w:hint="eastAsia"/>
                <w:bCs/>
                <w:kern w:val="2"/>
                <w:sz w:val="21"/>
                <w:szCs w:val="21"/>
              </w:rPr>
              <w:t>车速</w:t>
            </w:r>
            <w:r>
              <w:rPr>
                <w:bCs/>
                <w:kern w:val="2"/>
                <w:sz w:val="21"/>
                <w:szCs w:val="21"/>
              </w:rPr>
              <w:t>（</w:t>
            </w:r>
            <w:r>
              <w:rPr>
                <w:rFonts w:hint="eastAsia"/>
                <w:bCs/>
                <w:kern w:val="2"/>
                <w:sz w:val="21"/>
                <w:szCs w:val="21"/>
              </w:rPr>
              <w:t>k</w:t>
            </w:r>
            <w:r>
              <w:rPr>
                <w:bCs/>
                <w:kern w:val="2"/>
                <w:sz w:val="21"/>
                <w:szCs w:val="21"/>
              </w:rPr>
              <w:t>m/</w:t>
            </w:r>
            <w:r>
              <w:rPr>
                <w:rFonts w:hint="eastAsia"/>
                <w:bCs/>
                <w:kern w:val="2"/>
                <w:sz w:val="21"/>
                <w:szCs w:val="21"/>
              </w:rPr>
              <w:t>h</w:t>
            </w:r>
            <w:r>
              <w:rPr>
                <w:bCs/>
                <w:kern w:val="2"/>
                <w:sz w:val="21"/>
                <w:szCs w:val="21"/>
              </w:rPr>
              <w:t>）</w:t>
            </w:r>
          </w:p>
          <w:p w14:paraId="4398E12B">
            <w:pPr>
              <w:snapToGrid w:val="0"/>
              <w:spacing w:line="240" w:lineRule="auto"/>
              <w:ind w:firstLine="0" w:firstLineChars="0"/>
              <w:jc w:val="center"/>
              <w:rPr>
                <w:bCs/>
                <w:kern w:val="2"/>
                <w:sz w:val="21"/>
                <w:szCs w:val="21"/>
              </w:rPr>
            </w:pPr>
            <w:r>
              <w:rPr>
                <w:rFonts w:hint="eastAsia"/>
                <w:bCs/>
                <w:kern w:val="2"/>
                <w:sz w:val="21"/>
                <w:szCs w:val="21"/>
              </w:rPr>
              <w:t>P（kg</w:t>
            </w:r>
            <w:r>
              <w:rPr>
                <w:rFonts w:hint="eastAsia" w:cs="宋体"/>
                <w:bCs/>
                <w:kern w:val="2"/>
                <w:sz w:val="21"/>
                <w:szCs w:val="21"/>
              </w:rPr>
              <w:t>/</w:t>
            </w:r>
            <w:r>
              <w:rPr>
                <w:rFonts w:hint="eastAsia"/>
                <w:bCs/>
                <w:kern w:val="2"/>
                <w:sz w:val="21"/>
                <w:szCs w:val="21"/>
              </w:rPr>
              <w:t>m</w:t>
            </w:r>
            <w:r>
              <w:rPr>
                <w:rFonts w:hint="eastAsia"/>
                <w:bCs/>
                <w:kern w:val="2"/>
                <w:sz w:val="21"/>
                <w:szCs w:val="21"/>
                <w:vertAlign w:val="superscript"/>
              </w:rPr>
              <w:t>2</w:t>
            </w:r>
            <w:r>
              <w:rPr>
                <w:rFonts w:hint="eastAsia"/>
                <w:bCs/>
                <w:kern w:val="2"/>
                <w:sz w:val="21"/>
                <w:szCs w:val="21"/>
              </w:rPr>
              <w:t>）</w:t>
            </w:r>
          </w:p>
        </w:tc>
        <w:tc>
          <w:tcPr>
            <w:tcW w:w="660" w:type="pct"/>
            <w:tcBorders>
              <w:tl2br w:val="nil"/>
              <w:tr2bl w:val="nil"/>
            </w:tcBorders>
            <w:vAlign w:val="center"/>
          </w:tcPr>
          <w:p w14:paraId="5B0300D1">
            <w:pPr>
              <w:snapToGrid w:val="0"/>
              <w:spacing w:line="240" w:lineRule="auto"/>
              <w:ind w:firstLine="0" w:firstLineChars="0"/>
              <w:jc w:val="center"/>
              <w:rPr>
                <w:bCs/>
                <w:kern w:val="2"/>
                <w:sz w:val="21"/>
                <w:szCs w:val="21"/>
              </w:rPr>
            </w:pPr>
            <w:r>
              <w:rPr>
                <w:rFonts w:hint="eastAsia"/>
                <w:bCs/>
                <w:kern w:val="2"/>
                <w:sz w:val="21"/>
                <w:szCs w:val="21"/>
              </w:rPr>
              <w:t>0.1</w:t>
            </w:r>
          </w:p>
        </w:tc>
        <w:tc>
          <w:tcPr>
            <w:tcW w:w="513" w:type="pct"/>
            <w:tcBorders>
              <w:tl2br w:val="nil"/>
              <w:tr2bl w:val="nil"/>
            </w:tcBorders>
            <w:vAlign w:val="center"/>
          </w:tcPr>
          <w:p w14:paraId="1D4335BC">
            <w:pPr>
              <w:snapToGrid w:val="0"/>
              <w:spacing w:line="240" w:lineRule="auto"/>
              <w:ind w:firstLine="0" w:firstLineChars="0"/>
              <w:jc w:val="center"/>
              <w:rPr>
                <w:bCs/>
                <w:kern w:val="2"/>
                <w:sz w:val="21"/>
                <w:szCs w:val="21"/>
              </w:rPr>
            </w:pPr>
            <w:r>
              <w:rPr>
                <w:rFonts w:hint="eastAsia"/>
                <w:bCs/>
                <w:kern w:val="2"/>
                <w:sz w:val="21"/>
                <w:szCs w:val="21"/>
              </w:rPr>
              <w:t>0.2</w:t>
            </w:r>
          </w:p>
        </w:tc>
        <w:tc>
          <w:tcPr>
            <w:tcW w:w="571" w:type="pct"/>
            <w:tcBorders>
              <w:tl2br w:val="nil"/>
              <w:tr2bl w:val="nil"/>
            </w:tcBorders>
            <w:vAlign w:val="center"/>
          </w:tcPr>
          <w:p w14:paraId="36711EAD">
            <w:pPr>
              <w:snapToGrid w:val="0"/>
              <w:spacing w:line="240" w:lineRule="auto"/>
              <w:ind w:firstLine="0" w:firstLineChars="0"/>
              <w:jc w:val="center"/>
              <w:rPr>
                <w:bCs/>
                <w:kern w:val="2"/>
                <w:sz w:val="21"/>
                <w:szCs w:val="21"/>
              </w:rPr>
            </w:pPr>
            <w:r>
              <w:rPr>
                <w:rFonts w:hint="eastAsia"/>
                <w:bCs/>
                <w:kern w:val="2"/>
                <w:sz w:val="21"/>
                <w:szCs w:val="21"/>
              </w:rPr>
              <w:t>0.3</w:t>
            </w:r>
          </w:p>
        </w:tc>
        <w:tc>
          <w:tcPr>
            <w:tcW w:w="572" w:type="pct"/>
            <w:tcBorders>
              <w:tl2br w:val="nil"/>
              <w:tr2bl w:val="nil"/>
            </w:tcBorders>
            <w:vAlign w:val="center"/>
          </w:tcPr>
          <w:p w14:paraId="2CB2A139">
            <w:pPr>
              <w:snapToGrid w:val="0"/>
              <w:spacing w:line="240" w:lineRule="auto"/>
              <w:ind w:firstLine="0" w:firstLineChars="0"/>
              <w:jc w:val="center"/>
              <w:rPr>
                <w:bCs/>
                <w:kern w:val="2"/>
                <w:sz w:val="21"/>
                <w:szCs w:val="21"/>
              </w:rPr>
            </w:pPr>
            <w:r>
              <w:rPr>
                <w:rFonts w:hint="eastAsia"/>
                <w:bCs/>
                <w:kern w:val="2"/>
                <w:sz w:val="21"/>
                <w:szCs w:val="21"/>
              </w:rPr>
              <w:t>0.4</w:t>
            </w:r>
          </w:p>
        </w:tc>
        <w:tc>
          <w:tcPr>
            <w:tcW w:w="570" w:type="pct"/>
            <w:tcBorders>
              <w:tl2br w:val="nil"/>
              <w:tr2bl w:val="nil"/>
            </w:tcBorders>
            <w:vAlign w:val="center"/>
          </w:tcPr>
          <w:p w14:paraId="5BDFE165">
            <w:pPr>
              <w:snapToGrid w:val="0"/>
              <w:spacing w:line="240" w:lineRule="auto"/>
              <w:ind w:firstLine="0" w:firstLineChars="0"/>
              <w:jc w:val="center"/>
              <w:rPr>
                <w:bCs/>
                <w:kern w:val="2"/>
                <w:sz w:val="21"/>
                <w:szCs w:val="21"/>
              </w:rPr>
            </w:pPr>
            <w:r>
              <w:rPr>
                <w:rFonts w:hint="eastAsia"/>
                <w:bCs/>
                <w:kern w:val="2"/>
                <w:sz w:val="21"/>
                <w:szCs w:val="21"/>
              </w:rPr>
              <w:t>0.5</w:t>
            </w:r>
          </w:p>
        </w:tc>
        <w:tc>
          <w:tcPr>
            <w:tcW w:w="570" w:type="pct"/>
            <w:tcBorders>
              <w:tl2br w:val="nil"/>
              <w:tr2bl w:val="nil"/>
            </w:tcBorders>
            <w:vAlign w:val="center"/>
          </w:tcPr>
          <w:p w14:paraId="36D6C9CA">
            <w:pPr>
              <w:snapToGrid w:val="0"/>
              <w:spacing w:line="240" w:lineRule="auto"/>
              <w:ind w:firstLine="0" w:firstLineChars="0"/>
              <w:jc w:val="center"/>
              <w:rPr>
                <w:bCs/>
                <w:kern w:val="2"/>
                <w:sz w:val="21"/>
                <w:szCs w:val="21"/>
              </w:rPr>
            </w:pPr>
            <w:r>
              <w:rPr>
                <w:rFonts w:hint="eastAsia"/>
                <w:bCs/>
                <w:kern w:val="2"/>
                <w:sz w:val="21"/>
                <w:szCs w:val="21"/>
              </w:rPr>
              <w:t>1.0</w:t>
            </w:r>
          </w:p>
        </w:tc>
      </w:tr>
      <w:tr w14:paraId="07AE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798D62ED">
            <w:pPr>
              <w:snapToGrid w:val="0"/>
              <w:spacing w:line="240" w:lineRule="auto"/>
              <w:ind w:firstLine="0" w:firstLineChars="0"/>
              <w:jc w:val="center"/>
              <w:rPr>
                <w:kern w:val="2"/>
                <w:sz w:val="21"/>
                <w:szCs w:val="21"/>
              </w:rPr>
            </w:pPr>
            <w:r>
              <w:rPr>
                <w:rFonts w:hint="eastAsia"/>
                <w:kern w:val="2"/>
                <w:sz w:val="21"/>
                <w:szCs w:val="21"/>
              </w:rPr>
              <w:t>5</w:t>
            </w:r>
          </w:p>
        </w:tc>
        <w:tc>
          <w:tcPr>
            <w:tcW w:w="660" w:type="pct"/>
            <w:tcBorders>
              <w:tl2br w:val="nil"/>
              <w:tr2bl w:val="nil"/>
            </w:tcBorders>
            <w:vAlign w:val="center"/>
          </w:tcPr>
          <w:p w14:paraId="40191742">
            <w:pPr>
              <w:snapToGrid w:val="0"/>
              <w:spacing w:line="240" w:lineRule="auto"/>
              <w:ind w:firstLine="0" w:firstLineChars="0"/>
              <w:jc w:val="center"/>
              <w:rPr>
                <w:kern w:val="2"/>
                <w:sz w:val="21"/>
                <w:szCs w:val="21"/>
              </w:rPr>
            </w:pPr>
            <w:r>
              <w:rPr>
                <w:rFonts w:hint="eastAsia"/>
                <w:kern w:val="2"/>
                <w:sz w:val="21"/>
                <w:szCs w:val="21"/>
              </w:rPr>
              <w:t>0.0323</w:t>
            </w:r>
          </w:p>
        </w:tc>
        <w:tc>
          <w:tcPr>
            <w:tcW w:w="513" w:type="pct"/>
            <w:tcBorders>
              <w:tl2br w:val="nil"/>
              <w:tr2bl w:val="nil"/>
            </w:tcBorders>
            <w:vAlign w:val="center"/>
          </w:tcPr>
          <w:p w14:paraId="1D9E0DE1">
            <w:pPr>
              <w:snapToGrid w:val="0"/>
              <w:spacing w:line="240" w:lineRule="auto"/>
              <w:ind w:firstLine="0" w:firstLineChars="0"/>
              <w:jc w:val="center"/>
              <w:rPr>
                <w:kern w:val="2"/>
                <w:sz w:val="21"/>
                <w:szCs w:val="21"/>
              </w:rPr>
            </w:pPr>
            <w:r>
              <w:rPr>
                <w:rFonts w:hint="eastAsia"/>
                <w:kern w:val="2"/>
                <w:sz w:val="21"/>
                <w:szCs w:val="21"/>
              </w:rPr>
              <w:t>0.0576</w:t>
            </w:r>
          </w:p>
        </w:tc>
        <w:tc>
          <w:tcPr>
            <w:tcW w:w="571" w:type="pct"/>
            <w:tcBorders>
              <w:tl2br w:val="nil"/>
              <w:tr2bl w:val="nil"/>
            </w:tcBorders>
            <w:vAlign w:val="center"/>
          </w:tcPr>
          <w:p w14:paraId="53872E7A">
            <w:pPr>
              <w:snapToGrid w:val="0"/>
              <w:spacing w:line="240" w:lineRule="auto"/>
              <w:ind w:firstLine="0" w:firstLineChars="0"/>
              <w:jc w:val="center"/>
              <w:rPr>
                <w:kern w:val="2"/>
                <w:sz w:val="21"/>
                <w:szCs w:val="21"/>
              </w:rPr>
            </w:pPr>
            <w:r>
              <w:rPr>
                <w:rFonts w:hint="eastAsia"/>
                <w:kern w:val="2"/>
                <w:sz w:val="21"/>
                <w:szCs w:val="21"/>
              </w:rPr>
              <w:t>0.0946</w:t>
            </w:r>
          </w:p>
        </w:tc>
        <w:tc>
          <w:tcPr>
            <w:tcW w:w="572" w:type="pct"/>
            <w:tcBorders>
              <w:tl2br w:val="nil"/>
              <w:tr2bl w:val="nil"/>
            </w:tcBorders>
            <w:vAlign w:val="center"/>
          </w:tcPr>
          <w:p w14:paraId="040EF1F0">
            <w:pPr>
              <w:snapToGrid w:val="0"/>
              <w:spacing w:line="240" w:lineRule="auto"/>
              <w:ind w:firstLine="0" w:firstLineChars="0"/>
              <w:jc w:val="center"/>
              <w:rPr>
                <w:kern w:val="2"/>
                <w:sz w:val="21"/>
                <w:szCs w:val="21"/>
              </w:rPr>
            </w:pPr>
            <w:r>
              <w:rPr>
                <w:rFonts w:hint="eastAsia"/>
                <w:kern w:val="2"/>
                <w:sz w:val="21"/>
                <w:szCs w:val="21"/>
              </w:rPr>
              <w:t>0.1427</w:t>
            </w:r>
          </w:p>
        </w:tc>
        <w:tc>
          <w:tcPr>
            <w:tcW w:w="570" w:type="pct"/>
            <w:tcBorders>
              <w:tl2br w:val="nil"/>
              <w:tr2bl w:val="nil"/>
            </w:tcBorders>
            <w:vAlign w:val="center"/>
          </w:tcPr>
          <w:p w14:paraId="4C644214">
            <w:pPr>
              <w:snapToGrid w:val="0"/>
              <w:spacing w:line="240" w:lineRule="auto"/>
              <w:ind w:firstLine="0" w:firstLineChars="0"/>
              <w:jc w:val="center"/>
              <w:rPr>
                <w:kern w:val="2"/>
                <w:sz w:val="21"/>
                <w:szCs w:val="21"/>
              </w:rPr>
            </w:pPr>
            <w:r>
              <w:rPr>
                <w:rFonts w:hint="eastAsia"/>
                <w:kern w:val="2"/>
                <w:sz w:val="21"/>
                <w:szCs w:val="21"/>
              </w:rPr>
              <w:t>0.1760</w:t>
            </w:r>
          </w:p>
        </w:tc>
        <w:tc>
          <w:tcPr>
            <w:tcW w:w="570" w:type="pct"/>
            <w:tcBorders>
              <w:tl2br w:val="nil"/>
              <w:tr2bl w:val="nil"/>
            </w:tcBorders>
            <w:vAlign w:val="center"/>
          </w:tcPr>
          <w:p w14:paraId="3D47D474">
            <w:pPr>
              <w:snapToGrid w:val="0"/>
              <w:spacing w:line="240" w:lineRule="auto"/>
              <w:ind w:firstLine="0" w:firstLineChars="0"/>
              <w:jc w:val="center"/>
              <w:rPr>
                <w:kern w:val="2"/>
                <w:sz w:val="21"/>
                <w:szCs w:val="21"/>
              </w:rPr>
            </w:pPr>
            <w:r>
              <w:rPr>
                <w:rFonts w:hint="eastAsia"/>
                <w:kern w:val="2"/>
                <w:sz w:val="21"/>
                <w:szCs w:val="21"/>
              </w:rPr>
              <w:t>0.2393</w:t>
            </w:r>
          </w:p>
        </w:tc>
      </w:tr>
      <w:tr w14:paraId="2E6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432CAE1B">
            <w:pPr>
              <w:snapToGrid w:val="0"/>
              <w:spacing w:line="240" w:lineRule="auto"/>
              <w:ind w:firstLine="0" w:firstLineChars="0"/>
              <w:jc w:val="center"/>
              <w:rPr>
                <w:bCs/>
                <w:kern w:val="2"/>
                <w:sz w:val="21"/>
                <w:szCs w:val="21"/>
              </w:rPr>
            </w:pPr>
            <w:r>
              <w:rPr>
                <w:rFonts w:hint="eastAsia"/>
                <w:bCs/>
                <w:kern w:val="2"/>
                <w:sz w:val="21"/>
                <w:szCs w:val="21"/>
              </w:rPr>
              <w:t>10</w:t>
            </w:r>
          </w:p>
        </w:tc>
        <w:tc>
          <w:tcPr>
            <w:tcW w:w="660" w:type="pct"/>
            <w:tcBorders>
              <w:tl2br w:val="nil"/>
              <w:tr2bl w:val="nil"/>
            </w:tcBorders>
            <w:vAlign w:val="center"/>
          </w:tcPr>
          <w:p w14:paraId="242016C8">
            <w:pPr>
              <w:snapToGrid w:val="0"/>
              <w:spacing w:line="240" w:lineRule="auto"/>
              <w:ind w:firstLine="0" w:firstLineChars="0"/>
              <w:jc w:val="center"/>
              <w:rPr>
                <w:kern w:val="2"/>
                <w:sz w:val="21"/>
                <w:szCs w:val="21"/>
              </w:rPr>
            </w:pPr>
            <w:r>
              <w:rPr>
                <w:rFonts w:hint="eastAsia"/>
                <w:kern w:val="2"/>
                <w:sz w:val="21"/>
                <w:szCs w:val="21"/>
              </w:rPr>
              <w:t>0.0716</w:t>
            </w:r>
          </w:p>
        </w:tc>
        <w:tc>
          <w:tcPr>
            <w:tcW w:w="513" w:type="pct"/>
            <w:tcBorders>
              <w:tl2br w:val="nil"/>
              <w:tr2bl w:val="nil"/>
            </w:tcBorders>
            <w:vAlign w:val="center"/>
          </w:tcPr>
          <w:p w14:paraId="7E16A961">
            <w:pPr>
              <w:snapToGrid w:val="0"/>
              <w:spacing w:line="240" w:lineRule="auto"/>
              <w:ind w:firstLine="0" w:firstLineChars="0"/>
              <w:jc w:val="center"/>
              <w:rPr>
                <w:kern w:val="2"/>
                <w:sz w:val="21"/>
                <w:szCs w:val="21"/>
              </w:rPr>
            </w:pPr>
            <w:r>
              <w:rPr>
                <w:rFonts w:hint="eastAsia"/>
                <w:kern w:val="2"/>
                <w:sz w:val="21"/>
                <w:szCs w:val="21"/>
              </w:rPr>
              <w:t>0.1253</w:t>
            </w:r>
          </w:p>
        </w:tc>
        <w:tc>
          <w:tcPr>
            <w:tcW w:w="571" w:type="pct"/>
            <w:tcBorders>
              <w:tl2br w:val="nil"/>
              <w:tr2bl w:val="nil"/>
            </w:tcBorders>
            <w:vAlign w:val="center"/>
          </w:tcPr>
          <w:p w14:paraId="466CED51">
            <w:pPr>
              <w:snapToGrid w:val="0"/>
              <w:spacing w:line="240" w:lineRule="auto"/>
              <w:ind w:firstLine="0" w:firstLineChars="0"/>
              <w:jc w:val="center"/>
              <w:rPr>
                <w:kern w:val="2"/>
                <w:sz w:val="21"/>
                <w:szCs w:val="21"/>
              </w:rPr>
            </w:pPr>
            <w:r>
              <w:rPr>
                <w:rFonts w:hint="eastAsia"/>
                <w:kern w:val="2"/>
                <w:sz w:val="21"/>
                <w:szCs w:val="21"/>
              </w:rPr>
              <w:t>0.1638</w:t>
            </w:r>
          </w:p>
        </w:tc>
        <w:tc>
          <w:tcPr>
            <w:tcW w:w="572" w:type="pct"/>
            <w:tcBorders>
              <w:tl2br w:val="nil"/>
              <w:tr2bl w:val="nil"/>
            </w:tcBorders>
            <w:vAlign w:val="center"/>
          </w:tcPr>
          <w:p w14:paraId="5BD918A9">
            <w:pPr>
              <w:snapToGrid w:val="0"/>
              <w:spacing w:line="240" w:lineRule="auto"/>
              <w:ind w:firstLine="0" w:firstLineChars="0"/>
              <w:jc w:val="center"/>
              <w:rPr>
                <w:kern w:val="2"/>
                <w:sz w:val="21"/>
                <w:szCs w:val="21"/>
              </w:rPr>
            </w:pPr>
            <w:r>
              <w:rPr>
                <w:rFonts w:hint="eastAsia"/>
                <w:kern w:val="2"/>
                <w:sz w:val="21"/>
                <w:szCs w:val="21"/>
              </w:rPr>
              <w:t>0.2325</w:t>
            </w:r>
          </w:p>
        </w:tc>
        <w:tc>
          <w:tcPr>
            <w:tcW w:w="570" w:type="pct"/>
            <w:tcBorders>
              <w:tl2br w:val="nil"/>
              <w:tr2bl w:val="nil"/>
            </w:tcBorders>
            <w:vAlign w:val="center"/>
          </w:tcPr>
          <w:p w14:paraId="3293FC3D">
            <w:pPr>
              <w:snapToGrid w:val="0"/>
              <w:spacing w:line="240" w:lineRule="auto"/>
              <w:ind w:firstLine="0" w:firstLineChars="0"/>
              <w:jc w:val="center"/>
              <w:rPr>
                <w:kern w:val="2"/>
                <w:sz w:val="21"/>
                <w:szCs w:val="21"/>
              </w:rPr>
            </w:pPr>
            <w:r>
              <w:rPr>
                <w:rFonts w:hint="eastAsia"/>
                <w:kern w:val="2"/>
                <w:sz w:val="21"/>
                <w:szCs w:val="21"/>
              </w:rPr>
              <w:t>0.2231</w:t>
            </w:r>
          </w:p>
        </w:tc>
        <w:tc>
          <w:tcPr>
            <w:tcW w:w="570" w:type="pct"/>
            <w:tcBorders>
              <w:tl2br w:val="nil"/>
              <w:tr2bl w:val="nil"/>
            </w:tcBorders>
            <w:vAlign w:val="center"/>
          </w:tcPr>
          <w:p w14:paraId="724078C3">
            <w:pPr>
              <w:snapToGrid w:val="0"/>
              <w:spacing w:line="240" w:lineRule="auto"/>
              <w:ind w:firstLine="0" w:firstLineChars="0"/>
              <w:jc w:val="center"/>
              <w:rPr>
                <w:kern w:val="2"/>
                <w:sz w:val="21"/>
                <w:szCs w:val="21"/>
              </w:rPr>
            </w:pPr>
            <w:r>
              <w:rPr>
                <w:rFonts w:hint="eastAsia"/>
                <w:kern w:val="2"/>
                <w:sz w:val="21"/>
                <w:szCs w:val="21"/>
              </w:rPr>
              <w:t>0.4286</w:t>
            </w:r>
          </w:p>
        </w:tc>
      </w:tr>
      <w:tr w14:paraId="0018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131FC406">
            <w:pPr>
              <w:snapToGrid w:val="0"/>
              <w:spacing w:line="240" w:lineRule="auto"/>
              <w:ind w:firstLine="0" w:firstLineChars="0"/>
              <w:jc w:val="center"/>
              <w:rPr>
                <w:bCs/>
                <w:kern w:val="2"/>
                <w:sz w:val="21"/>
                <w:szCs w:val="21"/>
              </w:rPr>
            </w:pPr>
            <w:r>
              <w:rPr>
                <w:rFonts w:hint="eastAsia"/>
                <w:bCs/>
                <w:kern w:val="2"/>
                <w:sz w:val="21"/>
                <w:szCs w:val="21"/>
              </w:rPr>
              <w:t>15</w:t>
            </w:r>
          </w:p>
        </w:tc>
        <w:tc>
          <w:tcPr>
            <w:tcW w:w="660" w:type="pct"/>
            <w:tcBorders>
              <w:tl2br w:val="nil"/>
              <w:tr2bl w:val="nil"/>
            </w:tcBorders>
            <w:vAlign w:val="center"/>
          </w:tcPr>
          <w:p w14:paraId="44AFDEF7">
            <w:pPr>
              <w:snapToGrid w:val="0"/>
              <w:spacing w:line="240" w:lineRule="auto"/>
              <w:ind w:firstLine="0" w:firstLineChars="0"/>
              <w:jc w:val="center"/>
              <w:rPr>
                <w:kern w:val="2"/>
                <w:sz w:val="21"/>
                <w:szCs w:val="21"/>
              </w:rPr>
            </w:pPr>
            <w:r>
              <w:rPr>
                <w:rFonts w:hint="eastAsia"/>
                <w:kern w:val="2"/>
                <w:sz w:val="21"/>
                <w:szCs w:val="21"/>
              </w:rPr>
              <w:t>0.1050</w:t>
            </w:r>
          </w:p>
        </w:tc>
        <w:tc>
          <w:tcPr>
            <w:tcW w:w="513" w:type="pct"/>
            <w:tcBorders>
              <w:tl2br w:val="nil"/>
              <w:tr2bl w:val="nil"/>
            </w:tcBorders>
            <w:vAlign w:val="center"/>
          </w:tcPr>
          <w:p w14:paraId="2A0979D5">
            <w:pPr>
              <w:snapToGrid w:val="0"/>
              <w:spacing w:line="240" w:lineRule="auto"/>
              <w:ind w:firstLine="0" w:firstLineChars="0"/>
              <w:jc w:val="center"/>
              <w:rPr>
                <w:kern w:val="2"/>
                <w:sz w:val="21"/>
                <w:szCs w:val="21"/>
              </w:rPr>
            </w:pPr>
            <w:r>
              <w:rPr>
                <w:rFonts w:hint="eastAsia"/>
                <w:kern w:val="2"/>
                <w:sz w:val="21"/>
                <w:szCs w:val="21"/>
              </w:rPr>
              <w:t>0.1636</w:t>
            </w:r>
          </w:p>
        </w:tc>
        <w:tc>
          <w:tcPr>
            <w:tcW w:w="571" w:type="pct"/>
            <w:tcBorders>
              <w:tl2br w:val="nil"/>
              <w:tr2bl w:val="nil"/>
            </w:tcBorders>
            <w:vAlign w:val="center"/>
          </w:tcPr>
          <w:p w14:paraId="48939A86">
            <w:pPr>
              <w:snapToGrid w:val="0"/>
              <w:spacing w:line="240" w:lineRule="auto"/>
              <w:ind w:firstLine="0" w:firstLineChars="0"/>
              <w:jc w:val="center"/>
              <w:rPr>
                <w:kern w:val="2"/>
                <w:sz w:val="21"/>
                <w:szCs w:val="21"/>
              </w:rPr>
            </w:pPr>
            <w:r>
              <w:rPr>
                <w:rFonts w:hint="eastAsia"/>
                <w:kern w:val="2"/>
                <w:sz w:val="21"/>
                <w:szCs w:val="21"/>
              </w:rPr>
              <w:t>0.2342</w:t>
            </w:r>
          </w:p>
        </w:tc>
        <w:tc>
          <w:tcPr>
            <w:tcW w:w="572" w:type="pct"/>
            <w:tcBorders>
              <w:tl2br w:val="nil"/>
              <w:tr2bl w:val="nil"/>
            </w:tcBorders>
            <w:vAlign w:val="center"/>
          </w:tcPr>
          <w:p w14:paraId="619BDEB8">
            <w:pPr>
              <w:snapToGrid w:val="0"/>
              <w:spacing w:line="240" w:lineRule="auto"/>
              <w:ind w:firstLine="0" w:firstLineChars="0"/>
              <w:jc w:val="center"/>
              <w:rPr>
                <w:kern w:val="2"/>
                <w:sz w:val="21"/>
                <w:szCs w:val="21"/>
              </w:rPr>
            </w:pPr>
            <w:r>
              <w:rPr>
                <w:rFonts w:hint="eastAsia"/>
                <w:kern w:val="2"/>
                <w:sz w:val="21"/>
                <w:szCs w:val="21"/>
              </w:rPr>
              <w:t>0.3603</w:t>
            </w:r>
          </w:p>
        </w:tc>
        <w:tc>
          <w:tcPr>
            <w:tcW w:w="570" w:type="pct"/>
            <w:tcBorders>
              <w:tl2br w:val="nil"/>
              <w:tr2bl w:val="nil"/>
            </w:tcBorders>
            <w:vAlign w:val="center"/>
          </w:tcPr>
          <w:p w14:paraId="33BC2318">
            <w:pPr>
              <w:snapToGrid w:val="0"/>
              <w:spacing w:line="240" w:lineRule="auto"/>
              <w:ind w:firstLine="0" w:firstLineChars="0"/>
              <w:jc w:val="center"/>
              <w:rPr>
                <w:kern w:val="2"/>
                <w:sz w:val="21"/>
                <w:szCs w:val="21"/>
              </w:rPr>
            </w:pPr>
            <w:r>
              <w:rPr>
                <w:rFonts w:hint="eastAsia"/>
                <w:kern w:val="2"/>
                <w:sz w:val="21"/>
                <w:szCs w:val="21"/>
              </w:rPr>
              <w:t>0.4314</w:t>
            </w:r>
          </w:p>
        </w:tc>
        <w:tc>
          <w:tcPr>
            <w:tcW w:w="570" w:type="pct"/>
            <w:tcBorders>
              <w:tl2br w:val="nil"/>
              <w:tr2bl w:val="nil"/>
            </w:tcBorders>
            <w:vAlign w:val="center"/>
          </w:tcPr>
          <w:p w14:paraId="539B18EC">
            <w:pPr>
              <w:snapToGrid w:val="0"/>
              <w:spacing w:line="240" w:lineRule="auto"/>
              <w:ind w:firstLine="0" w:firstLineChars="0"/>
              <w:jc w:val="center"/>
              <w:rPr>
                <w:kern w:val="2"/>
                <w:sz w:val="21"/>
                <w:szCs w:val="21"/>
              </w:rPr>
            </w:pPr>
            <w:r>
              <w:rPr>
                <w:rFonts w:hint="eastAsia"/>
                <w:kern w:val="2"/>
                <w:sz w:val="21"/>
                <w:szCs w:val="21"/>
              </w:rPr>
              <w:t>0.6878</w:t>
            </w:r>
          </w:p>
        </w:tc>
      </w:tr>
      <w:tr w14:paraId="41EA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33F7ED6D">
            <w:pPr>
              <w:snapToGrid w:val="0"/>
              <w:spacing w:line="240" w:lineRule="auto"/>
              <w:ind w:firstLine="0" w:firstLineChars="0"/>
              <w:jc w:val="center"/>
              <w:rPr>
                <w:bCs/>
                <w:kern w:val="2"/>
                <w:sz w:val="21"/>
                <w:szCs w:val="21"/>
              </w:rPr>
            </w:pPr>
            <w:r>
              <w:rPr>
                <w:rFonts w:hint="eastAsia"/>
                <w:bCs/>
                <w:kern w:val="2"/>
                <w:sz w:val="21"/>
                <w:szCs w:val="21"/>
              </w:rPr>
              <w:t>20</w:t>
            </w:r>
          </w:p>
        </w:tc>
        <w:tc>
          <w:tcPr>
            <w:tcW w:w="660" w:type="pct"/>
            <w:tcBorders>
              <w:tl2br w:val="nil"/>
              <w:tr2bl w:val="nil"/>
            </w:tcBorders>
            <w:vAlign w:val="center"/>
          </w:tcPr>
          <w:p w14:paraId="495C3661">
            <w:pPr>
              <w:snapToGrid w:val="0"/>
              <w:spacing w:line="240" w:lineRule="auto"/>
              <w:ind w:firstLine="0" w:firstLineChars="0"/>
              <w:jc w:val="center"/>
              <w:rPr>
                <w:kern w:val="2"/>
                <w:sz w:val="21"/>
                <w:szCs w:val="21"/>
              </w:rPr>
            </w:pPr>
            <w:r>
              <w:rPr>
                <w:rFonts w:hint="eastAsia"/>
                <w:kern w:val="2"/>
                <w:sz w:val="21"/>
                <w:szCs w:val="21"/>
              </w:rPr>
              <w:t>0.1433</w:t>
            </w:r>
          </w:p>
        </w:tc>
        <w:tc>
          <w:tcPr>
            <w:tcW w:w="513" w:type="pct"/>
            <w:tcBorders>
              <w:tl2br w:val="nil"/>
              <w:tr2bl w:val="nil"/>
            </w:tcBorders>
            <w:vAlign w:val="center"/>
          </w:tcPr>
          <w:p w14:paraId="719F0F29">
            <w:pPr>
              <w:snapToGrid w:val="0"/>
              <w:spacing w:line="240" w:lineRule="auto"/>
              <w:ind w:firstLine="0" w:firstLineChars="0"/>
              <w:jc w:val="center"/>
              <w:rPr>
                <w:kern w:val="2"/>
                <w:sz w:val="21"/>
                <w:szCs w:val="21"/>
              </w:rPr>
            </w:pPr>
            <w:r>
              <w:rPr>
                <w:rFonts w:hint="eastAsia"/>
                <w:kern w:val="2"/>
                <w:sz w:val="21"/>
                <w:szCs w:val="21"/>
              </w:rPr>
              <w:t>0.2105</w:t>
            </w:r>
          </w:p>
        </w:tc>
        <w:tc>
          <w:tcPr>
            <w:tcW w:w="571" w:type="pct"/>
            <w:tcBorders>
              <w:tl2br w:val="nil"/>
              <w:tr2bl w:val="nil"/>
            </w:tcBorders>
            <w:vAlign w:val="center"/>
          </w:tcPr>
          <w:p w14:paraId="7E15959F">
            <w:pPr>
              <w:snapToGrid w:val="0"/>
              <w:spacing w:line="240" w:lineRule="auto"/>
              <w:ind w:firstLine="0" w:firstLineChars="0"/>
              <w:jc w:val="center"/>
              <w:rPr>
                <w:kern w:val="2"/>
                <w:sz w:val="21"/>
                <w:szCs w:val="21"/>
              </w:rPr>
            </w:pPr>
            <w:r>
              <w:rPr>
                <w:rFonts w:hint="eastAsia"/>
                <w:kern w:val="2"/>
                <w:sz w:val="21"/>
                <w:szCs w:val="21"/>
              </w:rPr>
              <w:t>0.2741</w:t>
            </w:r>
          </w:p>
        </w:tc>
        <w:tc>
          <w:tcPr>
            <w:tcW w:w="572" w:type="pct"/>
            <w:tcBorders>
              <w:tl2br w:val="nil"/>
              <w:tr2bl w:val="nil"/>
            </w:tcBorders>
            <w:vAlign w:val="center"/>
          </w:tcPr>
          <w:p w14:paraId="1D19ED2D">
            <w:pPr>
              <w:snapToGrid w:val="0"/>
              <w:spacing w:line="240" w:lineRule="auto"/>
              <w:ind w:firstLine="0" w:firstLineChars="0"/>
              <w:jc w:val="center"/>
              <w:rPr>
                <w:kern w:val="2"/>
                <w:sz w:val="21"/>
                <w:szCs w:val="21"/>
              </w:rPr>
            </w:pPr>
            <w:r>
              <w:rPr>
                <w:rFonts w:hint="eastAsia"/>
                <w:kern w:val="2"/>
                <w:sz w:val="21"/>
                <w:szCs w:val="21"/>
              </w:rPr>
              <w:t>0.4204</w:t>
            </w:r>
          </w:p>
        </w:tc>
        <w:tc>
          <w:tcPr>
            <w:tcW w:w="570" w:type="pct"/>
            <w:tcBorders>
              <w:tl2br w:val="nil"/>
              <w:tr2bl w:val="nil"/>
            </w:tcBorders>
            <w:vAlign w:val="center"/>
          </w:tcPr>
          <w:p w14:paraId="06AC86EE">
            <w:pPr>
              <w:snapToGrid w:val="0"/>
              <w:spacing w:line="240" w:lineRule="auto"/>
              <w:ind w:firstLine="0" w:firstLineChars="0"/>
              <w:jc w:val="center"/>
              <w:rPr>
                <w:kern w:val="2"/>
                <w:sz w:val="21"/>
                <w:szCs w:val="21"/>
              </w:rPr>
            </w:pPr>
            <w:r>
              <w:rPr>
                <w:rFonts w:hint="eastAsia"/>
                <w:kern w:val="2"/>
                <w:sz w:val="21"/>
                <w:szCs w:val="21"/>
              </w:rPr>
              <w:t>0.5828</w:t>
            </w:r>
          </w:p>
        </w:tc>
        <w:tc>
          <w:tcPr>
            <w:tcW w:w="570" w:type="pct"/>
            <w:tcBorders>
              <w:tl2br w:val="nil"/>
              <w:tr2bl w:val="nil"/>
            </w:tcBorders>
            <w:vAlign w:val="center"/>
          </w:tcPr>
          <w:p w14:paraId="23C1190D">
            <w:pPr>
              <w:snapToGrid w:val="0"/>
              <w:spacing w:line="240" w:lineRule="auto"/>
              <w:ind w:firstLine="0" w:firstLineChars="0"/>
              <w:jc w:val="center"/>
              <w:rPr>
                <w:kern w:val="2"/>
                <w:sz w:val="21"/>
                <w:szCs w:val="21"/>
              </w:rPr>
            </w:pPr>
            <w:r>
              <w:rPr>
                <w:rFonts w:hint="eastAsia"/>
                <w:kern w:val="2"/>
                <w:sz w:val="21"/>
                <w:szCs w:val="21"/>
              </w:rPr>
              <w:t>0.8471</w:t>
            </w:r>
          </w:p>
        </w:tc>
      </w:tr>
    </w:tbl>
    <w:p w14:paraId="68697F2D">
      <w:pPr>
        <w:ind w:firstLine="480"/>
      </w:pPr>
      <w:r>
        <w:t>由表5.1-1可见，在同样路面清洁情况下，车速越快，扬尘量越大；而在同样车速情况下，路面清洁度越差，则扬尘量越大</w:t>
      </w:r>
      <w:r>
        <w:rPr>
          <w:rFonts w:hint="eastAsia"/>
        </w:rPr>
        <w:t>。</w:t>
      </w:r>
      <w:r>
        <w:t>根据类比调查，一般情况下，施工场地、施工道路在自然风作用下产生的扬尘所影响的范围在100m以内</w:t>
      </w:r>
      <w:r>
        <w:rPr>
          <w:rFonts w:hint="eastAsia"/>
        </w:rPr>
        <w:t>。</w:t>
      </w:r>
    </w:p>
    <w:p w14:paraId="3240CAC6">
      <w:pPr>
        <w:ind w:firstLine="480"/>
      </w:pPr>
      <w:r>
        <w:t>抑制扬尘的一个简洁有效的措施是洒水</w:t>
      </w:r>
      <w:r>
        <w:rPr>
          <w:rFonts w:hint="eastAsia"/>
        </w:rPr>
        <w:t>。</w:t>
      </w:r>
      <w:r>
        <w:t>如果在施工期内对车辆行驶的路面实施洒水抑尘，每天洒水4-5次，可使扬尘减少70%左右</w:t>
      </w:r>
      <w:r>
        <w:rPr>
          <w:rFonts w:hint="eastAsia"/>
        </w:rPr>
        <w:t>。</w:t>
      </w:r>
    </w:p>
    <w:p w14:paraId="7AAFD735">
      <w:pPr>
        <w:ind w:firstLine="480"/>
      </w:pPr>
      <w:r>
        <w:t>施工扬尘的另一种重要产生方式是建筑材料的露天堆放和搅拌作业，这类扬尘的主要特点是受作业时风速大小的影响显著</w:t>
      </w:r>
      <w:r>
        <w:rPr>
          <w:rFonts w:hint="eastAsia"/>
        </w:rPr>
        <w:t>。</w:t>
      </w:r>
      <w:r>
        <w:t>因此，禁止在大风天气时进行此类作业以及减少建筑材料的露天堆放是抑制这类扬尘的一种很有效的手段</w:t>
      </w:r>
      <w:r>
        <w:rPr>
          <w:rFonts w:hint="eastAsia"/>
        </w:rPr>
        <w:t>。</w:t>
      </w:r>
      <w:r>
        <w:t>对水泥、粉煤灰等细颗粒散体材料在运输、储存时采取遮盖、密封的措施，防止和减少飞扬</w:t>
      </w:r>
      <w:r>
        <w:rPr>
          <w:rFonts w:hint="eastAsia"/>
        </w:rPr>
        <w:t>。</w:t>
      </w:r>
    </w:p>
    <w:p w14:paraId="46DFFED2">
      <w:pPr>
        <w:ind w:firstLine="480"/>
      </w:pPr>
      <w:r>
        <w:t>针对施工期扬尘，根据《防治城市扬尘污染技术规范》（HJ/T393-2007）中有关规定要求，本环评要求加强对施工工地扬尘污染的管理与控制</w:t>
      </w:r>
      <w:r>
        <w:rPr>
          <w:rFonts w:hint="eastAsia"/>
        </w:rPr>
        <w:t>。</w:t>
      </w:r>
    </w:p>
    <w:p w14:paraId="1A3F8DCA">
      <w:pPr>
        <w:pStyle w:val="6"/>
        <w:ind w:firstLine="482"/>
      </w:pPr>
      <w:r>
        <w:rPr>
          <w:rFonts w:hint="eastAsia"/>
        </w:rPr>
        <w:t>5.1.1.2燃油机械及机动车废气</w:t>
      </w:r>
    </w:p>
    <w:p w14:paraId="132F4D83">
      <w:pPr>
        <w:ind w:firstLine="480"/>
      </w:pPr>
      <w:r>
        <w:rPr>
          <w:rFonts w:hint="eastAsia"/>
        </w:rPr>
        <w:t>施工期主要是施工机械以及运输车辆排放的尾气，尾气中主要污染物有THC、颗粒物、CO、NO</w:t>
      </w:r>
      <w:r>
        <w:rPr>
          <w:rFonts w:hint="eastAsia"/>
          <w:vertAlign w:val="subscript"/>
        </w:rPr>
        <w:t>2</w:t>
      </w:r>
      <w:r>
        <w:rPr>
          <w:rFonts w:hint="eastAsia"/>
        </w:rPr>
        <w:t>等。但由于车辆主要在施工现场范围内活动，尾气呈面源污染形式，车辆排气高度较低，尾气扩散范围不大，加之项目区较为平坦开阔，尾气扩散条件良好，另外，施工机械及车辆为非连续行驶状态，污染物排放时间及排放量也相对较小，因此施工机械以及运输车辆尾气对周围区域影响较小。</w:t>
      </w:r>
    </w:p>
    <w:p w14:paraId="18BD46E0">
      <w:pPr>
        <w:pStyle w:val="5"/>
      </w:pPr>
      <w:bookmarkStart w:id="148" w:name="_Toc106663495"/>
      <w:r>
        <w:rPr>
          <w:rFonts w:hint="eastAsia"/>
        </w:rPr>
        <w:t>5.1.2施工期水环境影响分析</w:t>
      </w:r>
      <w:bookmarkEnd w:id="148"/>
    </w:p>
    <w:p w14:paraId="3054C044">
      <w:pPr>
        <w:pStyle w:val="6"/>
        <w:ind w:firstLine="482"/>
      </w:pPr>
      <w:r>
        <w:rPr>
          <w:rFonts w:hint="eastAsia"/>
        </w:rPr>
        <w:t>5.1.2.1施工废水</w:t>
      </w:r>
    </w:p>
    <w:p w14:paraId="3E60AFB8">
      <w:pPr>
        <w:ind w:firstLine="480"/>
      </w:pPr>
      <w:r>
        <w:rPr>
          <w:rFonts w:hint="eastAsia"/>
        </w:rPr>
        <w:t>施工废水主要是指在制砂浆、混凝土养护等作业中，多余或泄漏的废水，以及清洗模板、机具、车辆设备、场地卫生等排放的污水。主要污染因子为SS，含一定量的泥沙、少量水泥和油污，随工程进度不同产生情况不同，也与操作人员的经验、素质等因素有关，产生量与排放量较难估算。废水中含固体杂质较多，以泥沙为主，施工期废水水量不大，一般产生不了径流，形成不了有组织排水，这部分废水在施工现场因自然蒸发、渗漏等原因而消耗，但若不经处理或处理不当直接外排，同样危害环境。因此要求建设项目的工地应设置简易防渗沉淀池沉淀后回用于生产，项目产生的施工废水均不外排。生产废水的产生量与工地管理水平关系极大，如果管理不善，可能造成施工现场污水横流，对工地周围的环境会造成一定的影响。</w:t>
      </w:r>
    </w:p>
    <w:p w14:paraId="1E41F678">
      <w:pPr>
        <w:pStyle w:val="6"/>
        <w:ind w:firstLine="482"/>
      </w:pPr>
      <w:r>
        <w:rPr>
          <w:rFonts w:hint="eastAsia"/>
        </w:rPr>
        <w:t>5.1.2.2生活废水</w:t>
      </w:r>
    </w:p>
    <w:p w14:paraId="63991E27">
      <w:pPr>
        <w:ind w:firstLine="480"/>
      </w:pPr>
      <w:r>
        <w:rPr>
          <w:rFonts w:hint="eastAsia"/>
        </w:rPr>
        <w:t>本项目施工期施工工人约30人左右，生活污水排放量约为0.96m</w:t>
      </w:r>
      <w:r>
        <w:rPr>
          <w:rFonts w:hint="eastAsia"/>
          <w:vertAlign w:val="superscript"/>
        </w:rPr>
        <w:t>3</w:t>
      </w:r>
      <w:r>
        <w:rPr>
          <w:rFonts w:hint="eastAsia"/>
        </w:rPr>
        <w:t>/d。在施工期外排生活污水若不集中处理，其对环境的影响主要表现在：影响施工区环境卫生、有可能污染地下水、易造成土壤理化性质改变，土壤层缺氧及臭气污染等。</w:t>
      </w:r>
    </w:p>
    <w:p w14:paraId="04269FBB">
      <w:pPr>
        <w:pStyle w:val="5"/>
      </w:pPr>
      <w:bookmarkStart w:id="149" w:name="_Toc106663496"/>
      <w:r>
        <w:rPr>
          <w:rFonts w:hint="eastAsia"/>
        </w:rPr>
        <w:t>5.1.3施工期声环境影响分析</w:t>
      </w:r>
      <w:bookmarkEnd w:id="149"/>
    </w:p>
    <w:p w14:paraId="58CA6914">
      <w:pPr>
        <w:ind w:firstLine="480"/>
      </w:pPr>
      <w:r>
        <w:rPr>
          <w:rFonts w:hint="eastAsia"/>
        </w:rPr>
        <w:t>由工程分析可知，本项目施工噪声主要来源于土方阶段、基础施工阶段、主体结构阶段、装修阶段施工中各类施工机械和运输车辆，施工噪声具有阶段性、临时性和不固定性，不同的施工设备产生的噪声不同。在多台机械设备同时作业时，各台设备产生的噪声会产生叠加，根据类比调查，叠加后的噪声增值约为3～8dB，施工机械和运输车辆的单体声功率级一般均在100dB（A）以上，其中声级最大的是打桩机，声级可达到120dB，施工机械主要有推土机、挖掘机、装载机、电锯等。</w:t>
      </w:r>
    </w:p>
    <w:p w14:paraId="682DFB2E">
      <w:pPr>
        <w:ind w:firstLine="480"/>
      </w:pPr>
      <w:r>
        <w:rPr>
          <w:rFonts w:hint="eastAsia"/>
        </w:rPr>
        <w:t>根据施工现场噪声源的特点和周围环境状况，选择声源在半自由空间的距离衰减模式。</w:t>
      </w:r>
    </w:p>
    <w:p w14:paraId="470A0886">
      <w:pPr>
        <w:ind w:firstLine="480"/>
      </w:pPr>
      <w:r>
        <w:rPr>
          <w:rFonts w:hint="eastAsia"/>
        </w:rPr>
        <w:t>计算公式：</w:t>
      </w:r>
    </w:p>
    <w:p w14:paraId="66F5DD56">
      <w:pPr>
        <w:ind w:firstLine="480"/>
      </w:pPr>
      <w:r>
        <w:rPr>
          <w:rFonts w:hint="eastAsia"/>
        </w:rPr>
        <w:t>（1）噪声衰减</w:t>
      </w:r>
    </w:p>
    <w:p w14:paraId="01391239">
      <w:pPr>
        <w:spacing w:line="240" w:lineRule="auto"/>
        <w:ind w:firstLine="0" w:firstLineChars="0"/>
        <w:jc w:val="center"/>
      </w:pPr>
      <w:r>
        <w:rPr>
          <w:rFonts w:hint="eastAsia"/>
        </w:rPr>
        <w:drawing>
          <wp:inline distT="0" distB="0" distL="0" distR="0">
            <wp:extent cx="1914525" cy="3905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914525" cy="390525"/>
                    </a:xfrm>
                    <a:prstGeom prst="rect">
                      <a:avLst/>
                    </a:prstGeom>
                    <a:noFill/>
                    <a:ln>
                      <a:noFill/>
                    </a:ln>
                    <a:effectLst/>
                  </pic:spPr>
                </pic:pic>
              </a:graphicData>
            </a:graphic>
          </wp:inline>
        </w:drawing>
      </w:r>
    </w:p>
    <w:p w14:paraId="057CD05B">
      <w:pPr>
        <w:ind w:firstLine="480"/>
      </w:pPr>
      <w:r>
        <w:rPr>
          <w:rFonts w:hint="eastAsia"/>
        </w:rPr>
        <w:t>式中：L</w:t>
      </w:r>
      <w:r>
        <w:rPr>
          <w:rFonts w:hint="eastAsia"/>
          <w:vertAlign w:val="subscript"/>
        </w:rPr>
        <w:t>A（r）</w:t>
      </w:r>
      <w:r>
        <w:rPr>
          <w:rFonts w:hint="eastAsia"/>
        </w:rPr>
        <w:t>——距声源r处的等效声级，dB（A）；</w:t>
      </w:r>
    </w:p>
    <w:p w14:paraId="2051D6A7">
      <w:pPr>
        <w:ind w:firstLine="1200" w:firstLineChars="500"/>
      </w:pPr>
      <w:r>
        <w:rPr>
          <w:rFonts w:hint="eastAsia"/>
        </w:rPr>
        <w:t>L</w:t>
      </w:r>
      <w:r>
        <w:rPr>
          <w:rFonts w:hint="eastAsia"/>
          <w:vertAlign w:val="subscript"/>
        </w:rPr>
        <w:t>W（A）</w:t>
      </w:r>
      <w:r>
        <w:rPr>
          <w:rFonts w:hint="eastAsia"/>
        </w:rPr>
        <w:t>——噪声源的声功率级，dB（A）；</w:t>
      </w:r>
    </w:p>
    <w:p w14:paraId="7EA48E5A">
      <w:pPr>
        <w:ind w:firstLine="960" w:firstLineChars="400"/>
      </w:pPr>
      <w:r>
        <w:t>r</w:t>
      </w:r>
      <w:r>
        <w:rPr>
          <w:rFonts w:hint="eastAsia"/>
        </w:rPr>
        <w:t>——噪声源距受声点的距离，</w:t>
      </w:r>
      <w:r>
        <w:t>m</w:t>
      </w:r>
      <w:r>
        <w:rPr>
          <w:rFonts w:hint="eastAsia"/>
        </w:rPr>
        <w:t>；</w:t>
      </w:r>
    </w:p>
    <w:p w14:paraId="09F610C4">
      <w:pPr>
        <w:ind w:firstLine="480"/>
      </w:pPr>
      <w:r>
        <w:rPr>
          <w:rFonts w:hint="eastAsia"/>
        </w:rPr>
        <w:t>（2）噪声影响预测</w:t>
      </w:r>
    </w:p>
    <w:p w14:paraId="3FEDE706">
      <w:pPr>
        <w:ind w:firstLine="480"/>
      </w:pPr>
      <w:r>
        <w:rPr>
          <w:rFonts w:hint="eastAsia"/>
        </w:rPr>
        <w:t>工程施工不同距离的噪声预测值见表5.1-2。</w:t>
      </w:r>
    </w:p>
    <w:p w14:paraId="24C4B762">
      <w:pPr>
        <w:pStyle w:val="11"/>
      </w:pPr>
      <w:r>
        <w:rPr>
          <w:rFonts w:hint="eastAsia"/>
        </w:rPr>
        <w:t>表5.1-2施工阶段噪声预测值</w:t>
      </w:r>
    </w:p>
    <w:tbl>
      <w:tblPr>
        <w:tblStyle w:val="3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1356"/>
        <w:gridCol w:w="691"/>
        <w:gridCol w:w="771"/>
        <w:gridCol w:w="886"/>
        <w:gridCol w:w="878"/>
        <w:gridCol w:w="886"/>
        <w:gridCol w:w="717"/>
        <w:gridCol w:w="724"/>
        <w:gridCol w:w="724"/>
        <w:gridCol w:w="727"/>
      </w:tblGrid>
      <w:tr w14:paraId="04EF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83" w:hRule="atLeast"/>
          <w:jc w:val="center"/>
        </w:trPr>
        <w:tc>
          <w:tcPr>
            <w:tcW w:w="811" w:type="pct"/>
            <w:vMerge w:val="restart"/>
            <w:tcBorders>
              <w:tl2br w:val="nil"/>
              <w:tr2bl w:val="nil"/>
            </w:tcBorders>
            <w:vAlign w:val="center"/>
          </w:tcPr>
          <w:p w14:paraId="29BBFB27">
            <w:pPr>
              <w:autoSpaceDE w:val="0"/>
              <w:autoSpaceDN w:val="0"/>
              <w:adjustRightInd w:val="0"/>
              <w:snapToGrid w:val="0"/>
              <w:spacing w:line="240" w:lineRule="auto"/>
              <w:ind w:firstLine="0" w:firstLineChars="0"/>
              <w:jc w:val="center"/>
              <w:rPr>
                <w:sz w:val="21"/>
                <w:szCs w:val="21"/>
              </w:rPr>
            </w:pPr>
            <w:r>
              <w:rPr>
                <w:sz w:val="21"/>
                <w:szCs w:val="21"/>
              </w:rPr>
              <w:t>施工</w:t>
            </w:r>
            <w:r>
              <w:rPr>
                <w:rFonts w:hint="eastAsia"/>
                <w:sz w:val="21"/>
                <w:szCs w:val="21"/>
              </w:rPr>
              <w:t>机械</w:t>
            </w:r>
          </w:p>
        </w:tc>
        <w:tc>
          <w:tcPr>
            <w:tcW w:w="4189" w:type="pct"/>
            <w:gridSpan w:val="9"/>
            <w:tcBorders>
              <w:tl2br w:val="nil"/>
              <w:tr2bl w:val="nil"/>
            </w:tcBorders>
            <w:vAlign w:val="center"/>
          </w:tcPr>
          <w:p w14:paraId="2B9EC4C3">
            <w:pPr>
              <w:autoSpaceDE w:val="0"/>
              <w:autoSpaceDN w:val="0"/>
              <w:adjustRightInd w:val="0"/>
              <w:snapToGrid w:val="0"/>
              <w:spacing w:line="240" w:lineRule="auto"/>
              <w:ind w:firstLine="0" w:firstLineChars="0"/>
              <w:jc w:val="center"/>
              <w:rPr>
                <w:sz w:val="21"/>
                <w:szCs w:val="21"/>
              </w:rPr>
            </w:pPr>
            <w:r>
              <w:rPr>
                <w:rFonts w:hint="eastAsia"/>
                <w:sz w:val="21"/>
                <w:szCs w:val="21"/>
              </w:rPr>
              <w:t>离施工现场噪声源距离（m）</w:t>
            </w:r>
            <w:r>
              <w:rPr>
                <w:sz w:val="21"/>
                <w:szCs w:val="21"/>
              </w:rPr>
              <w:t>dB</w:t>
            </w:r>
            <w:r>
              <w:rPr>
                <w:rFonts w:hint="eastAsia"/>
                <w:sz w:val="21"/>
                <w:szCs w:val="21"/>
              </w:rPr>
              <w:t>（</w:t>
            </w:r>
            <w:r>
              <w:rPr>
                <w:sz w:val="21"/>
                <w:szCs w:val="21"/>
              </w:rPr>
              <w:t>A</w:t>
            </w:r>
            <w:r>
              <w:rPr>
                <w:rFonts w:hint="eastAsia"/>
                <w:sz w:val="21"/>
                <w:szCs w:val="21"/>
              </w:rPr>
              <w:t>）</w:t>
            </w:r>
          </w:p>
        </w:tc>
      </w:tr>
      <w:tr w14:paraId="21E3F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83" w:hRule="atLeast"/>
          <w:jc w:val="center"/>
        </w:trPr>
        <w:tc>
          <w:tcPr>
            <w:tcW w:w="811" w:type="pct"/>
            <w:vMerge w:val="continue"/>
            <w:tcBorders>
              <w:tl2br w:val="nil"/>
              <w:tr2bl w:val="nil"/>
            </w:tcBorders>
            <w:vAlign w:val="center"/>
          </w:tcPr>
          <w:p w14:paraId="667DC0AA">
            <w:pPr>
              <w:autoSpaceDE w:val="0"/>
              <w:autoSpaceDN w:val="0"/>
              <w:adjustRightInd w:val="0"/>
              <w:snapToGrid w:val="0"/>
              <w:spacing w:line="240" w:lineRule="auto"/>
              <w:ind w:firstLine="0" w:firstLineChars="0"/>
              <w:jc w:val="center"/>
              <w:rPr>
                <w:sz w:val="21"/>
                <w:szCs w:val="21"/>
              </w:rPr>
            </w:pPr>
          </w:p>
        </w:tc>
        <w:tc>
          <w:tcPr>
            <w:tcW w:w="413" w:type="pct"/>
            <w:tcBorders>
              <w:tl2br w:val="nil"/>
              <w:tr2bl w:val="nil"/>
            </w:tcBorders>
            <w:vAlign w:val="center"/>
          </w:tcPr>
          <w:p w14:paraId="01551433">
            <w:pPr>
              <w:autoSpaceDE w:val="0"/>
              <w:autoSpaceDN w:val="0"/>
              <w:adjustRightInd w:val="0"/>
              <w:snapToGrid w:val="0"/>
              <w:spacing w:line="240" w:lineRule="auto"/>
              <w:ind w:firstLine="0" w:firstLineChars="0"/>
              <w:jc w:val="center"/>
              <w:rPr>
                <w:sz w:val="21"/>
                <w:szCs w:val="21"/>
              </w:rPr>
            </w:pPr>
            <w:r>
              <w:rPr>
                <w:rFonts w:hint="eastAsia"/>
                <w:sz w:val="21"/>
                <w:szCs w:val="21"/>
              </w:rPr>
              <w:t>1</w:t>
            </w:r>
          </w:p>
        </w:tc>
        <w:tc>
          <w:tcPr>
            <w:tcW w:w="461" w:type="pct"/>
            <w:tcBorders>
              <w:tl2br w:val="nil"/>
              <w:tr2bl w:val="nil"/>
            </w:tcBorders>
            <w:vAlign w:val="center"/>
          </w:tcPr>
          <w:p w14:paraId="37F4A538">
            <w:pPr>
              <w:autoSpaceDE w:val="0"/>
              <w:autoSpaceDN w:val="0"/>
              <w:adjustRightInd w:val="0"/>
              <w:snapToGrid w:val="0"/>
              <w:spacing w:line="240" w:lineRule="auto"/>
              <w:ind w:firstLine="0" w:firstLineChars="0"/>
              <w:jc w:val="center"/>
              <w:rPr>
                <w:sz w:val="21"/>
                <w:szCs w:val="21"/>
              </w:rPr>
            </w:pPr>
            <w:r>
              <w:rPr>
                <w:rFonts w:hint="eastAsia"/>
                <w:sz w:val="21"/>
                <w:szCs w:val="21"/>
              </w:rPr>
              <w:t>10</w:t>
            </w:r>
          </w:p>
        </w:tc>
        <w:tc>
          <w:tcPr>
            <w:tcW w:w="530" w:type="pct"/>
            <w:tcBorders>
              <w:tl2br w:val="nil"/>
              <w:tr2bl w:val="nil"/>
            </w:tcBorders>
            <w:vAlign w:val="center"/>
          </w:tcPr>
          <w:p w14:paraId="3F733421">
            <w:pPr>
              <w:autoSpaceDE w:val="0"/>
              <w:autoSpaceDN w:val="0"/>
              <w:adjustRightInd w:val="0"/>
              <w:snapToGrid w:val="0"/>
              <w:spacing w:line="240" w:lineRule="auto"/>
              <w:ind w:firstLine="0" w:firstLineChars="0"/>
              <w:jc w:val="center"/>
              <w:rPr>
                <w:sz w:val="21"/>
                <w:szCs w:val="21"/>
              </w:rPr>
            </w:pPr>
            <w:r>
              <w:rPr>
                <w:rFonts w:hint="eastAsia"/>
                <w:sz w:val="21"/>
                <w:szCs w:val="21"/>
              </w:rPr>
              <w:t>20</w:t>
            </w:r>
          </w:p>
        </w:tc>
        <w:tc>
          <w:tcPr>
            <w:tcW w:w="525" w:type="pct"/>
            <w:tcBorders>
              <w:tl2br w:val="nil"/>
              <w:tr2bl w:val="nil"/>
            </w:tcBorders>
            <w:vAlign w:val="center"/>
          </w:tcPr>
          <w:p w14:paraId="41A3B2AD">
            <w:pPr>
              <w:autoSpaceDE w:val="0"/>
              <w:autoSpaceDN w:val="0"/>
              <w:adjustRightInd w:val="0"/>
              <w:snapToGrid w:val="0"/>
              <w:spacing w:line="240" w:lineRule="auto"/>
              <w:ind w:firstLine="0" w:firstLineChars="0"/>
              <w:jc w:val="center"/>
              <w:rPr>
                <w:sz w:val="21"/>
                <w:szCs w:val="21"/>
              </w:rPr>
            </w:pPr>
            <w:r>
              <w:rPr>
                <w:rFonts w:hint="eastAsia"/>
                <w:sz w:val="21"/>
                <w:szCs w:val="21"/>
              </w:rPr>
              <w:t>30</w:t>
            </w:r>
          </w:p>
        </w:tc>
        <w:tc>
          <w:tcPr>
            <w:tcW w:w="530" w:type="pct"/>
            <w:tcBorders>
              <w:tl2br w:val="nil"/>
              <w:tr2bl w:val="nil"/>
            </w:tcBorders>
            <w:vAlign w:val="center"/>
          </w:tcPr>
          <w:p w14:paraId="400A64C6">
            <w:pPr>
              <w:autoSpaceDE w:val="0"/>
              <w:autoSpaceDN w:val="0"/>
              <w:adjustRightInd w:val="0"/>
              <w:snapToGrid w:val="0"/>
              <w:spacing w:line="240" w:lineRule="auto"/>
              <w:ind w:firstLine="0" w:firstLineChars="0"/>
              <w:jc w:val="center"/>
              <w:rPr>
                <w:sz w:val="21"/>
                <w:szCs w:val="21"/>
              </w:rPr>
            </w:pPr>
            <w:r>
              <w:rPr>
                <w:rFonts w:hint="eastAsia"/>
                <w:sz w:val="21"/>
                <w:szCs w:val="21"/>
              </w:rPr>
              <w:t>40</w:t>
            </w:r>
          </w:p>
        </w:tc>
        <w:tc>
          <w:tcPr>
            <w:tcW w:w="429" w:type="pct"/>
            <w:tcBorders>
              <w:right w:val="single" w:color="auto" w:sz="4" w:space="0"/>
              <w:tl2br w:val="nil"/>
              <w:tr2bl w:val="nil"/>
            </w:tcBorders>
            <w:vAlign w:val="center"/>
          </w:tcPr>
          <w:p w14:paraId="69C8D62C">
            <w:pPr>
              <w:autoSpaceDE w:val="0"/>
              <w:autoSpaceDN w:val="0"/>
              <w:adjustRightInd w:val="0"/>
              <w:snapToGrid w:val="0"/>
              <w:spacing w:line="240" w:lineRule="auto"/>
              <w:ind w:firstLine="0" w:firstLineChars="0"/>
              <w:jc w:val="center"/>
              <w:rPr>
                <w:sz w:val="21"/>
                <w:szCs w:val="21"/>
              </w:rPr>
            </w:pPr>
            <w:r>
              <w:rPr>
                <w:rFonts w:hint="eastAsia"/>
                <w:sz w:val="21"/>
                <w:szCs w:val="21"/>
              </w:rPr>
              <w:t>50</w:t>
            </w:r>
          </w:p>
        </w:tc>
        <w:tc>
          <w:tcPr>
            <w:tcW w:w="433" w:type="pct"/>
            <w:tcBorders>
              <w:left w:val="single" w:color="auto" w:sz="4" w:space="0"/>
              <w:tl2br w:val="nil"/>
              <w:tr2bl w:val="nil"/>
            </w:tcBorders>
            <w:vAlign w:val="center"/>
          </w:tcPr>
          <w:p w14:paraId="58CD3272">
            <w:pPr>
              <w:autoSpaceDE w:val="0"/>
              <w:autoSpaceDN w:val="0"/>
              <w:adjustRightInd w:val="0"/>
              <w:snapToGrid w:val="0"/>
              <w:spacing w:line="240" w:lineRule="auto"/>
              <w:ind w:firstLine="0" w:firstLineChars="0"/>
              <w:jc w:val="center"/>
              <w:rPr>
                <w:sz w:val="21"/>
                <w:szCs w:val="21"/>
              </w:rPr>
            </w:pPr>
            <w:r>
              <w:rPr>
                <w:rFonts w:hint="eastAsia"/>
                <w:sz w:val="21"/>
                <w:szCs w:val="21"/>
              </w:rPr>
              <w:t>100</w:t>
            </w:r>
          </w:p>
        </w:tc>
        <w:tc>
          <w:tcPr>
            <w:tcW w:w="433" w:type="pct"/>
            <w:tcBorders>
              <w:left w:val="single" w:color="auto" w:sz="4" w:space="0"/>
              <w:tl2br w:val="nil"/>
              <w:tr2bl w:val="nil"/>
            </w:tcBorders>
            <w:vAlign w:val="center"/>
          </w:tcPr>
          <w:p w14:paraId="53151ECC">
            <w:pPr>
              <w:autoSpaceDE w:val="0"/>
              <w:autoSpaceDN w:val="0"/>
              <w:adjustRightInd w:val="0"/>
              <w:snapToGrid w:val="0"/>
              <w:spacing w:line="240" w:lineRule="auto"/>
              <w:ind w:firstLine="0" w:firstLineChars="0"/>
              <w:jc w:val="center"/>
              <w:rPr>
                <w:sz w:val="21"/>
                <w:szCs w:val="21"/>
              </w:rPr>
            </w:pPr>
            <w:r>
              <w:rPr>
                <w:rFonts w:hint="eastAsia"/>
                <w:sz w:val="21"/>
                <w:szCs w:val="21"/>
              </w:rPr>
              <w:t>150</w:t>
            </w:r>
          </w:p>
        </w:tc>
        <w:tc>
          <w:tcPr>
            <w:tcW w:w="435" w:type="pct"/>
            <w:tcBorders>
              <w:left w:val="single" w:color="auto" w:sz="4" w:space="0"/>
              <w:tl2br w:val="nil"/>
              <w:tr2bl w:val="nil"/>
            </w:tcBorders>
            <w:vAlign w:val="center"/>
          </w:tcPr>
          <w:p w14:paraId="6C4B5AB6">
            <w:pPr>
              <w:autoSpaceDE w:val="0"/>
              <w:autoSpaceDN w:val="0"/>
              <w:adjustRightInd w:val="0"/>
              <w:snapToGrid w:val="0"/>
              <w:spacing w:line="240" w:lineRule="auto"/>
              <w:ind w:firstLine="0" w:firstLineChars="0"/>
              <w:jc w:val="center"/>
              <w:rPr>
                <w:sz w:val="21"/>
                <w:szCs w:val="21"/>
              </w:rPr>
            </w:pPr>
            <w:r>
              <w:rPr>
                <w:rFonts w:hint="eastAsia"/>
                <w:sz w:val="21"/>
                <w:szCs w:val="21"/>
              </w:rPr>
              <w:t>200</w:t>
            </w:r>
          </w:p>
        </w:tc>
      </w:tr>
      <w:tr w14:paraId="21368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41F3B0F3">
            <w:pPr>
              <w:snapToGrid w:val="0"/>
              <w:spacing w:line="240" w:lineRule="auto"/>
              <w:ind w:firstLine="0" w:firstLineChars="0"/>
              <w:jc w:val="center"/>
              <w:rPr>
                <w:sz w:val="21"/>
                <w:szCs w:val="21"/>
              </w:rPr>
            </w:pPr>
            <w:r>
              <w:rPr>
                <w:kern w:val="2"/>
                <w:sz w:val="21"/>
                <w:szCs w:val="21"/>
              </w:rPr>
              <w:t>推土机</w:t>
            </w:r>
          </w:p>
        </w:tc>
        <w:tc>
          <w:tcPr>
            <w:tcW w:w="413" w:type="pct"/>
            <w:tcBorders>
              <w:tl2br w:val="nil"/>
              <w:tr2bl w:val="nil"/>
            </w:tcBorders>
            <w:vAlign w:val="center"/>
          </w:tcPr>
          <w:p w14:paraId="3CD834F1">
            <w:pPr>
              <w:autoSpaceDE w:val="0"/>
              <w:autoSpaceDN w:val="0"/>
              <w:adjustRightInd w:val="0"/>
              <w:snapToGrid w:val="0"/>
              <w:spacing w:line="240" w:lineRule="auto"/>
              <w:ind w:firstLine="0" w:firstLineChars="0"/>
              <w:jc w:val="center"/>
              <w:rPr>
                <w:sz w:val="21"/>
                <w:szCs w:val="21"/>
              </w:rPr>
            </w:pPr>
            <w:r>
              <w:rPr>
                <w:rFonts w:hint="eastAsia"/>
                <w:sz w:val="21"/>
                <w:szCs w:val="21"/>
              </w:rPr>
              <w:t>115</w:t>
            </w:r>
          </w:p>
        </w:tc>
        <w:tc>
          <w:tcPr>
            <w:tcW w:w="461" w:type="pct"/>
            <w:tcBorders>
              <w:tl2br w:val="nil"/>
              <w:tr2bl w:val="nil"/>
            </w:tcBorders>
            <w:vAlign w:val="center"/>
          </w:tcPr>
          <w:p w14:paraId="4D73D326">
            <w:pPr>
              <w:autoSpaceDE w:val="0"/>
              <w:autoSpaceDN w:val="0"/>
              <w:adjustRightInd w:val="0"/>
              <w:snapToGrid w:val="0"/>
              <w:spacing w:line="240" w:lineRule="auto"/>
              <w:ind w:firstLine="0" w:firstLineChars="0"/>
              <w:jc w:val="center"/>
              <w:rPr>
                <w:sz w:val="21"/>
                <w:szCs w:val="21"/>
              </w:rPr>
            </w:pPr>
            <w:r>
              <w:rPr>
                <w:rFonts w:hint="eastAsia"/>
                <w:sz w:val="21"/>
                <w:szCs w:val="21"/>
              </w:rPr>
              <w:t>88</w:t>
            </w:r>
          </w:p>
        </w:tc>
        <w:tc>
          <w:tcPr>
            <w:tcW w:w="530" w:type="pct"/>
            <w:tcBorders>
              <w:tl2br w:val="nil"/>
              <w:tr2bl w:val="nil"/>
            </w:tcBorders>
            <w:vAlign w:val="center"/>
          </w:tcPr>
          <w:p w14:paraId="6F782B39">
            <w:pPr>
              <w:autoSpaceDE w:val="0"/>
              <w:autoSpaceDN w:val="0"/>
              <w:adjustRightInd w:val="0"/>
              <w:snapToGrid w:val="0"/>
              <w:spacing w:line="240" w:lineRule="auto"/>
              <w:ind w:firstLine="0" w:firstLineChars="0"/>
              <w:jc w:val="center"/>
              <w:rPr>
                <w:sz w:val="21"/>
                <w:szCs w:val="21"/>
              </w:rPr>
            </w:pPr>
            <w:r>
              <w:rPr>
                <w:rFonts w:hint="eastAsia"/>
                <w:sz w:val="21"/>
                <w:szCs w:val="21"/>
              </w:rPr>
              <w:t>81.4</w:t>
            </w:r>
          </w:p>
        </w:tc>
        <w:tc>
          <w:tcPr>
            <w:tcW w:w="525" w:type="pct"/>
            <w:tcBorders>
              <w:tl2br w:val="nil"/>
              <w:tr2bl w:val="nil"/>
            </w:tcBorders>
            <w:vAlign w:val="center"/>
          </w:tcPr>
          <w:p w14:paraId="701F226A">
            <w:pPr>
              <w:autoSpaceDE w:val="0"/>
              <w:autoSpaceDN w:val="0"/>
              <w:adjustRightInd w:val="0"/>
              <w:snapToGrid w:val="0"/>
              <w:spacing w:line="240" w:lineRule="auto"/>
              <w:ind w:firstLine="0" w:firstLineChars="0"/>
              <w:jc w:val="center"/>
              <w:rPr>
                <w:sz w:val="21"/>
                <w:szCs w:val="21"/>
              </w:rPr>
            </w:pPr>
            <w:r>
              <w:rPr>
                <w:rFonts w:hint="eastAsia"/>
                <w:sz w:val="21"/>
                <w:szCs w:val="21"/>
              </w:rPr>
              <w:t>77.8</w:t>
            </w:r>
          </w:p>
        </w:tc>
        <w:tc>
          <w:tcPr>
            <w:tcW w:w="530" w:type="pct"/>
            <w:tcBorders>
              <w:tl2br w:val="nil"/>
              <w:tr2bl w:val="nil"/>
            </w:tcBorders>
            <w:vAlign w:val="center"/>
          </w:tcPr>
          <w:p w14:paraId="75782E52">
            <w:pPr>
              <w:autoSpaceDE w:val="0"/>
              <w:autoSpaceDN w:val="0"/>
              <w:adjustRightInd w:val="0"/>
              <w:snapToGrid w:val="0"/>
              <w:spacing w:line="240" w:lineRule="auto"/>
              <w:ind w:firstLine="0" w:firstLineChars="0"/>
              <w:jc w:val="center"/>
              <w:rPr>
                <w:sz w:val="21"/>
                <w:szCs w:val="21"/>
              </w:rPr>
            </w:pPr>
            <w:r>
              <w:rPr>
                <w:rFonts w:hint="eastAsia"/>
                <w:sz w:val="21"/>
                <w:szCs w:val="21"/>
              </w:rPr>
              <w:t>75</w:t>
            </w:r>
          </w:p>
        </w:tc>
        <w:tc>
          <w:tcPr>
            <w:tcW w:w="429" w:type="pct"/>
            <w:tcBorders>
              <w:tl2br w:val="nil"/>
              <w:tr2bl w:val="nil"/>
            </w:tcBorders>
            <w:vAlign w:val="center"/>
          </w:tcPr>
          <w:p w14:paraId="1E95FCB2">
            <w:pPr>
              <w:autoSpaceDE w:val="0"/>
              <w:autoSpaceDN w:val="0"/>
              <w:adjustRightInd w:val="0"/>
              <w:snapToGrid w:val="0"/>
              <w:spacing w:line="240" w:lineRule="auto"/>
              <w:ind w:firstLine="0" w:firstLineChars="0"/>
              <w:jc w:val="center"/>
              <w:rPr>
                <w:sz w:val="21"/>
                <w:szCs w:val="21"/>
              </w:rPr>
            </w:pPr>
            <w:r>
              <w:rPr>
                <w:rFonts w:hint="eastAsia"/>
                <w:sz w:val="21"/>
                <w:szCs w:val="21"/>
              </w:rPr>
              <w:t>73.2</w:t>
            </w:r>
          </w:p>
        </w:tc>
        <w:tc>
          <w:tcPr>
            <w:tcW w:w="433" w:type="pct"/>
            <w:tcBorders>
              <w:tl2br w:val="nil"/>
              <w:tr2bl w:val="nil"/>
            </w:tcBorders>
            <w:vAlign w:val="center"/>
          </w:tcPr>
          <w:p w14:paraId="7B0C0AB5">
            <w:pPr>
              <w:autoSpaceDE w:val="0"/>
              <w:autoSpaceDN w:val="0"/>
              <w:adjustRightInd w:val="0"/>
              <w:snapToGrid w:val="0"/>
              <w:spacing w:line="240" w:lineRule="auto"/>
              <w:ind w:firstLine="0" w:firstLineChars="0"/>
              <w:jc w:val="center"/>
              <w:rPr>
                <w:sz w:val="21"/>
                <w:szCs w:val="21"/>
              </w:rPr>
            </w:pPr>
            <w:r>
              <w:rPr>
                <w:rFonts w:hint="eastAsia"/>
                <w:sz w:val="21"/>
                <w:szCs w:val="21"/>
              </w:rPr>
              <w:t>67</w:t>
            </w:r>
          </w:p>
        </w:tc>
        <w:tc>
          <w:tcPr>
            <w:tcW w:w="433" w:type="pct"/>
            <w:tcBorders>
              <w:tl2br w:val="nil"/>
              <w:tr2bl w:val="nil"/>
            </w:tcBorders>
            <w:vAlign w:val="center"/>
          </w:tcPr>
          <w:p w14:paraId="1803BDFD">
            <w:pPr>
              <w:autoSpaceDE w:val="0"/>
              <w:autoSpaceDN w:val="0"/>
              <w:adjustRightInd w:val="0"/>
              <w:snapToGrid w:val="0"/>
              <w:spacing w:line="240" w:lineRule="auto"/>
              <w:ind w:firstLine="0" w:firstLineChars="0"/>
              <w:jc w:val="center"/>
              <w:rPr>
                <w:sz w:val="21"/>
                <w:szCs w:val="21"/>
              </w:rPr>
            </w:pPr>
            <w:r>
              <w:rPr>
                <w:rFonts w:hint="eastAsia"/>
                <w:sz w:val="21"/>
                <w:szCs w:val="21"/>
              </w:rPr>
              <w:t>63.6</w:t>
            </w:r>
          </w:p>
        </w:tc>
        <w:tc>
          <w:tcPr>
            <w:tcW w:w="435" w:type="pct"/>
            <w:tcBorders>
              <w:tl2br w:val="nil"/>
              <w:tr2bl w:val="nil"/>
            </w:tcBorders>
            <w:vAlign w:val="center"/>
          </w:tcPr>
          <w:p w14:paraId="629C4CAE">
            <w:pPr>
              <w:autoSpaceDE w:val="0"/>
              <w:autoSpaceDN w:val="0"/>
              <w:adjustRightInd w:val="0"/>
              <w:snapToGrid w:val="0"/>
              <w:spacing w:line="240" w:lineRule="auto"/>
              <w:ind w:firstLine="0" w:firstLineChars="0"/>
              <w:jc w:val="center"/>
              <w:rPr>
                <w:sz w:val="21"/>
                <w:szCs w:val="21"/>
              </w:rPr>
            </w:pPr>
            <w:r>
              <w:rPr>
                <w:rFonts w:hint="eastAsia"/>
                <w:sz w:val="21"/>
                <w:szCs w:val="21"/>
              </w:rPr>
              <w:t>61</w:t>
            </w:r>
          </w:p>
        </w:tc>
      </w:tr>
      <w:tr w14:paraId="37135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4476A66C">
            <w:pPr>
              <w:snapToGrid w:val="0"/>
              <w:spacing w:line="240" w:lineRule="auto"/>
              <w:ind w:firstLine="0" w:firstLineChars="0"/>
              <w:jc w:val="center"/>
              <w:rPr>
                <w:sz w:val="21"/>
                <w:szCs w:val="21"/>
              </w:rPr>
            </w:pPr>
            <w:r>
              <w:rPr>
                <w:rFonts w:hint="eastAsia"/>
                <w:sz w:val="21"/>
                <w:szCs w:val="21"/>
              </w:rPr>
              <w:t>装载机</w:t>
            </w:r>
          </w:p>
        </w:tc>
        <w:tc>
          <w:tcPr>
            <w:tcW w:w="413" w:type="pct"/>
            <w:tcBorders>
              <w:tl2br w:val="nil"/>
              <w:tr2bl w:val="nil"/>
            </w:tcBorders>
            <w:vAlign w:val="center"/>
          </w:tcPr>
          <w:p w14:paraId="16DB4492">
            <w:pPr>
              <w:autoSpaceDE w:val="0"/>
              <w:autoSpaceDN w:val="0"/>
              <w:adjustRightInd w:val="0"/>
              <w:snapToGrid w:val="0"/>
              <w:spacing w:line="240" w:lineRule="auto"/>
              <w:ind w:firstLine="0" w:firstLineChars="0"/>
              <w:jc w:val="center"/>
              <w:rPr>
                <w:sz w:val="21"/>
                <w:szCs w:val="21"/>
              </w:rPr>
            </w:pPr>
            <w:r>
              <w:rPr>
                <w:rFonts w:hint="eastAsia"/>
                <w:sz w:val="21"/>
                <w:szCs w:val="21"/>
              </w:rPr>
              <w:t>105</w:t>
            </w:r>
          </w:p>
        </w:tc>
        <w:tc>
          <w:tcPr>
            <w:tcW w:w="461" w:type="pct"/>
            <w:tcBorders>
              <w:tl2br w:val="nil"/>
              <w:tr2bl w:val="nil"/>
            </w:tcBorders>
            <w:vAlign w:val="center"/>
          </w:tcPr>
          <w:p w14:paraId="74E24584">
            <w:pPr>
              <w:autoSpaceDE w:val="0"/>
              <w:autoSpaceDN w:val="0"/>
              <w:adjustRightInd w:val="0"/>
              <w:snapToGrid w:val="0"/>
              <w:spacing w:line="240" w:lineRule="auto"/>
              <w:ind w:firstLine="0" w:firstLineChars="0"/>
              <w:jc w:val="center"/>
              <w:rPr>
                <w:sz w:val="21"/>
                <w:szCs w:val="21"/>
              </w:rPr>
            </w:pPr>
            <w:r>
              <w:rPr>
                <w:rFonts w:hint="eastAsia"/>
                <w:sz w:val="21"/>
                <w:szCs w:val="21"/>
              </w:rPr>
              <w:t>78</w:t>
            </w:r>
          </w:p>
        </w:tc>
        <w:tc>
          <w:tcPr>
            <w:tcW w:w="530" w:type="pct"/>
            <w:tcBorders>
              <w:tl2br w:val="nil"/>
              <w:tr2bl w:val="nil"/>
            </w:tcBorders>
            <w:vAlign w:val="center"/>
          </w:tcPr>
          <w:p w14:paraId="2791C6CD">
            <w:pPr>
              <w:autoSpaceDE w:val="0"/>
              <w:autoSpaceDN w:val="0"/>
              <w:adjustRightInd w:val="0"/>
              <w:snapToGrid w:val="0"/>
              <w:spacing w:line="240" w:lineRule="auto"/>
              <w:ind w:firstLine="0" w:firstLineChars="0"/>
              <w:jc w:val="center"/>
              <w:rPr>
                <w:sz w:val="21"/>
                <w:szCs w:val="21"/>
              </w:rPr>
            </w:pPr>
            <w:r>
              <w:rPr>
                <w:rFonts w:hint="eastAsia"/>
                <w:sz w:val="21"/>
                <w:szCs w:val="21"/>
              </w:rPr>
              <w:t>71.4</w:t>
            </w:r>
          </w:p>
        </w:tc>
        <w:tc>
          <w:tcPr>
            <w:tcW w:w="525" w:type="pct"/>
            <w:tcBorders>
              <w:tl2br w:val="nil"/>
              <w:tr2bl w:val="nil"/>
            </w:tcBorders>
            <w:vAlign w:val="center"/>
          </w:tcPr>
          <w:p w14:paraId="1E84650A">
            <w:pPr>
              <w:autoSpaceDE w:val="0"/>
              <w:autoSpaceDN w:val="0"/>
              <w:adjustRightInd w:val="0"/>
              <w:snapToGrid w:val="0"/>
              <w:spacing w:line="240" w:lineRule="auto"/>
              <w:ind w:firstLine="0" w:firstLineChars="0"/>
              <w:jc w:val="center"/>
              <w:rPr>
                <w:sz w:val="21"/>
                <w:szCs w:val="21"/>
              </w:rPr>
            </w:pPr>
            <w:r>
              <w:rPr>
                <w:rFonts w:hint="eastAsia"/>
                <w:sz w:val="21"/>
                <w:szCs w:val="21"/>
              </w:rPr>
              <w:t>67.8</w:t>
            </w:r>
          </w:p>
        </w:tc>
        <w:tc>
          <w:tcPr>
            <w:tcW w:w="530" w:type="pct"/>
            <w:tcBorders>
              <w:tl2br w:val="nil"/>
              <w:tr2bl w:val="nil"/>
            </w:tcBorders>
            <w:vAlign w:val="center"/>
          </w:tcPr>
          <w:p w14:paraId="5824FDCF">
            <w:pPr>
              <w:autoSpaceDE w:val="0"/>
              <w:autoSpaceDN w:val="0"/>
              <w:adjustRightInd w:val="0"/>
              <w:snapToGrid w:val="0"/>
              <w:spacing w:line="240" w:lineRule="auto"/>
              <w:ind w:firstLine="0" w:firstLineChars="0"/>
              <w:jc w:val="center"/>
              <w:rPr>
                <w:sz w:val="21"/>
                <w:szCs w:val="21"/>
              </w:rPr>
            </w:pPr>
            <w:r>
              <w:rPr>
                <w:rFonts w:hint="eastAsia"/>
                <w:sz w:val="21"/>
                <w:szCs w:val="21"/>
              </w:rPr>
              <w:t>65</w:t>
            </w:r>
          </w:p>
        </w:tc>
        <w:tc>
          <w:tcPr>
            <w:tcW w:w="429" w:type="pct"/>
            <w:tcBorders>
              <w:tl2br w:val="nil"/>
              <w:tr2bl w:val="nil"/>
            </w:tcBorders>
            <w:vAlign w:val="center"/>
          </w:tcPr>
          <w:p w14:paraId="1E29CB7D">
            <w:pPr>
              <w:autoSpaceDE w:val="0"/>
              <w:autoSpaceDN w:val="0"/>
              <w:adjustRightInd w:val="0"/>
              <w:snapToGrid w:val="0"/>
              <w:spacing w:line="240" w:lineRule="auto"/>
              <w:ind w:firstLine="0" w:firstLineChars="0"/>
              <w:jc w:val="center"/>
              <w:rPr>
                <w:sz w:val="21"/>
                <w:szCs w:val="21"/>
              </w:rPr>
            </w:pPr>
            <w:r>
              <w:rPr>
                <w:rFonts w:hint="eastAsia"/>
                <w:sz w:val="21"/>
                <w:szCs w:val="21"/>
              </w:rPr>
              <w:t>63.2</w:t>
            </w:r>
          </w:p>
        </w:tc>
        <w:tc>
          <w:tcPr>
            <w:tcW w:w="433" w:type="pct"/>
            <w:tcBorders>
              <w:tl2br w:val="nil"/>
              <w:tr2bl w:val="nil"/>
            </w:tcBorders>
            <w:vAlign w:val="center"/>
          </w:tcPr>
          <w:p w14:paraId="4470335B">
            <w:pPr>
              <w:autoSpaceDE w:val="0"/>
              <w:autoSpaceDN w:val="0"/>
              <w:adjustRightInd w:val="0"/>
              <w:snapToGrid w:val="0"/>
              <w:spacing w:line="240" w:lineRule="auto"/>
              <w:ind w:firstLine="0" w:firstLineChars="0"/>
              <w:jc w:val="center"/>
              <w:rPr>
                <w:sz w:val="21"/>
                <w:szCs w:val="21"/>
              </w:rPr>
            </w:pPr>
            <w:r>
              <w:rPr>
                <w:rFonts w:hint="eastAsia"/>
                <w:sz w:val="21"/>
                <w:szCs w:val="21"/>
              </w:rPr>
              <w:t>57</w:t>
            </w:r>
          </w:p>
        </w:tc>
        <w:tc>
          <w:tcPr>
            <w:tcW w:w="433" w:type="pct"/>
            <w:tcBorders>
              <w:tl2br w:val="nil"/>
              <w:tr2bl w:val="nil"/>
            </w:tcBorders>
            <w:vAlign w:val="center"/>
          </w:tcPr>
          <w:p w14:paraId="1F6F05B3">
            <w:pPr>
              <w:autoSpaceDE w:val="0"/>
              <w:autoSpaceDN w:val="0"/>
              <w:adjustRightInd w:val="0"/>
              <w:snapToGrid w:val="0"/>
              <w:spacing w:line="240" w:lineRule="auto"/>
              <w:ind w:firstLine="0" w:firstLineChars="0"/>
              <w:jc w:val="center"/>
              <w:rPr>
                <w:sz w:val="21"/>
                <w:szCs w:val="21"/>
              </w:rPr>
            </w:pPr>
            <w:r>
              <w:rPr>
                <w:rFonts w:hint="eastAsia"/>
                <w:sz w:val="21"/>
                <w:szCs w:val="21"/>
              </w:rPr>
              <w:t>53.6</w:t>
            </w:r>
          </w:p>
        </w:tc>
        <w:tc>
          <w:tcPr>
            <w:tcW w:w="435" w:type="pct"/>
            <w:tcBorders>
              <w:tl2br w:val="nil"/>
              <w:tr2bl w:val="nil"/>
            </w:tcBorders>
            <w:vAlign w:val="center"/>
          </w:tcPr>
          <w:p w14:paraId="013A5D20">
            <w:pPr>
              <w:autoSpaceDE w:val="0"/>
              <w:autoSpaceDN w:val="0"/>
              <w:adjustRightInd w:val="0"/>
              <w:snapToGrid w:val="0"/>
              <w:spacing w:line="240" w:lineRule="auto"/>
              <w:ind w:firstLine="0" w:firstLineChars="0"/>
              <w:jc w:val="center"/>
              <w:rPr>
                <w:sz w:val="21"/>
                <w:szCs w:val="21"/>
              </w:rPr>
            </w:pPr>
            <w:r>
              <w:rPr>
                <w:rFonts w:hint="eastAsia"/>
                <w:sz w:val="21"/>
                <w:szCs w:val="21"/>
              </w:rPr>
              <w:t>51</w:t>
            </w:r>
          </w:p>
        </w:tc>
      </w:tr>
      <w:tr w14:paraId="494EF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7C1D83F5">
            <w:pPr>
              <w:autoSpaceDE w:val="0"/>
              <w:autoSpaceDN w:val="0"/>
              <w:adjustRightInd w:val="0"/>
              <w:snapToGrid w:val="0"/>
              <w:spacing w:line="240" w:lineRule="auto"/>
              <w:ind w:firstLine="0" w:firstLineChars="0"/>
              <w:jc w:val="center"/>
              <w:rPr>
                <w:sz w:val="21"/>
                <w:szCs w:val="21"/>
              </w:rPr>
            </w:pPr>
            <w:r>
              <w:rPr>
                <w:rFonts w:hint="eastAsia"/>
                <w:sz w:val="21"/>
                <w:szCs w:val="21"/>
              </w:rPr>
              <w:t>挖掘机</w:t>
            </w:r>
          </w:p>
        </w:tc>
        <w:tc>
          <w:tcPr>
            <w:tcW w:w="413" w:type="pct"/>
            <w:tcBorders>
              <w:tl2br w:val="nil"/>
              <w:tr2bl w:val="nil"/>
            </w:tcBorders>
            <w:vAlign w:val="center"/>
          </w:tcPr>
          <w:p w14:paraId="135C43CB">
            <w:pPr>
              <w:autoSpaceDE w:val="0"/>
              <w:autoSpaceDN w:val="0"/>
              <w:adjustRightInd w:val="0"/>
              <w:snapToGrid w:val="0"/>
              <w:spacing w:line="240" w:lineRule="auto"/>
              <w:ind w:firstLine="0" w:firstLineChars="0"/>
              <w:jc w:val="center"/>
              <w:rPr>
                <w:sz w:val="21"/>
                <w:szCs w:val="21"/>
              </w:rPr>
            </w:pPr>
            <w:r>
              <w:rPr>
                <w:rFonts w:hint="eastAsia"/>
                <w:sz w:val="21"/>
                <w:szCs w:val="21"/>
              </w:rPr>
              <w:t>100</w:t>
            </w:r>
          </w:p>
        </w:tc>
        <w:tc>
          <w:tcPr>
            <w:tcW w:w="461" w:type="pct"/>
            <w:tcBorders>
              <w:tl2br w:val="nil"/>
              <w:tr2bl w:val="nil"/>
            </w:tcBorders>
            <w:vAlign w:val="center"/>
          </w:tcPr>
          <w:p w14:paraId="55A18AE7">
            <w:pPr>
              <w:autoSpaceDE w:val="0"/>
              <w:autoSpaceDN w:val="0"/>
              <w:adjustRightInd w:val="0"/>
              <w:snapToGrid w:val="0"/>
              <w:spacing w:line="240" w:lineRule="auto"/>
              <w:ind w:firstLine="0" w:firstLineChars="0"/>
              <w:jc w:val="center"/>
              <w:rPr>
                <w:sz w:val="21"/>
                <w:szCs w:val="21"/>
              </w:rPr>
            </w:pPr>
            <w:r>
              <w:rPr>
                <w:rFonts w:hint="eastAsia"/>
                <w:sz w:val="21"/>
                <w:szCs w:val="21"/>
              </w:rPr>
              <w:t>73</w:t>
            </w:r>
          </w:p>
        </w:tc>
        <w:tc>
          <w:tcPr>
            <w:tcW w:w="530" w:type="pct"/>
            <w:tcBorders>
              <w:tl2br w:val="nil"/>
              <w:tr2bl w:val="nil"/>
            </w:tcBorders>
            <w:vAlign w:val="center"/>
          </w:tcPr>
          <w:p w14:paraId="315A96B0">
            <w:pPr>
              <w:autoSpaceDE w:val="0"/>
              <w:autoSpaceDN w:val="0"/>
              <w:adjustRightInd w:val="0"/>
              <w:snapToGrid w:val="0"/>
              <w:spacing w:line="240" w:lineRule="auto"/>
              <w:ind w:firstLine="0" w:firstLineChars="0"/>
              <w:jc w:val="center"/>
              <w:rPr>
                <w:sz w:val="21"/>
                <w:szCs w:val="21"/>
              </w:rPr>
            </w:pPr>
            <w:r>
              <w:rPr>
                <w:rFonts w:hint="eastAsia"/>
                <w:sz w:val="21"/>
                <w:szCs w:val="21"/>
              </w:rPr>
              <w:t>66.4</w:t>
            </w:r>
          </w:p>
        </w:tc>
        <w:tc>
          <w:tcPr>
            <w:tcW w:w="525" w:type="pct"/>
            <w:tcBorders>
              <w:tl2br w:val="nil"/>
              <w:tr2bl w:val="nil"/>
            </w:tcBorders>
            <w:vAlign w:val="center"/>
          </w:tcPr>
          <w:p w14:paraId="7B539E73">
            <w:pPr>
              <w:autoSpaceDE w:val="0"/>
              <w:autoSpaceDN w:val="0"/>
              <w:adjustRightInd w:val="0"/>
              <w:snapToGrid w:val="0"/>
              <w:spacing w:line="240" w:lineRule="auto"/>
              <w:ind w:firstLine="0" w:firstLineChars="0"/>
              <w:jc w:val="center"/>
              <w:rPr>
                <w:sz w:val="21"/>
                <w:szCs w:val="21"/>
              </w:rPr>
            </w:pPr>
            <w:r>
              <w:rPr>
                <w:rFonts w:hint="eastAsia"/>
                <w:sz w:val="21"/>
                <w:szCs w:val="21"/>
              </w:rPr>
              <w:t>62.8</w:t>
            </w:r>
          </w:p>
        </w:tc>
        <w:tc>
          <w:tcPr>
            <w:tcW w:w="530" w:type="pct"/>
            <w:tcBorders>
              <w:tl2br w:val="nil"/>
              <w:tr2bl w:val="nil"/>
            </w:tcBorders>
            <w:vAlign w:val="center"/>
          </w:tcPr>
          <w:p w14:paraId="51F28AAD">
            <w:pPr>
              <w:autoSpaceDE w:val="0"/>
              <w:autoSpaceDN w:val="0"/>
              <w:adjustRightInd w:val="0"/>
              <w:snapToGrid w:val="0"/>
              <w:spacing w:line="240" w:lineRule="auto"/>
              <w:ind w:firstLine="0" w:firstLineChars="0"/>
              <w:jc w:val="center"/>
              <w:rPr>
                <w:sz w:val="21"/>
                <w:szCs w:val="21"/>
              </w:rPr>
            </w:pPr>
            <w:r>
              <w:rPr>
                <w:rFonts w:hint="eastAsia"/>
                <w:sz w:val="21"/>
                <w:szCs w:val="21"/>
              </w:rPr>
              <w:t>60</w:t>
            </w:r>
          </w:p>
        </w:tc>
        <w:tc>
          <w:tcPr>
            <w:tcW w:w="429" w:type="pct"/>
            <w:tcBorders>
              <w:tl2br w:val="nil"/>
              <w:tr2bl w:val="nil"/>
            </w:tcBorders>
            <w:vAlign w:val="center"/>
          </w:tcPr>
          <w:p w14:paraId="60BEF413">
            <w:pPr>
              <w:autoSpaceDE w:val="0"/>
              <w:autoSpaceDN w:val="0"/>
              <w:adjustRightInd w:val="0"/>
              <w:snapToGrid w:val="0"/>
              <w:spacing w:line="240" w:lineRule="auto"/>
              <w:ind w:firstLine="0" w:firstLineChars="0"/>
              <w:jc w:val="center"/>
              <w:rPr>
                <w:sz w:val="21"/>
                <w:szCs w:val="21"/>
              </w:rPr>
            </w:pPr>
            <w:r>
              <w:rPr>
                <w:rFonts w:hint="eastAsia"/>
                <w:sz w:val="21"/>
                <w:szCs w:val="21"/>
              </w:rPr>
              <w:t>58.2</w:t>
            </w:r>
          </w:p>
        </w:tc>
        <w:tc>
          <w:tcPr>
            <w:tcW w:w="433" w:type="pct"/>
            <w:tcBorders>
              <w:tl2br w:val="nil"/>
              <w:tr2bl w:val="nil"/>
            </w:tcBorders>
            <w:vAlign w:val="center"/>
          </w:tcPr>
          <w:p w14:paraId="18A665F4">
            <w:pPr>
              <w:autoSpaceDE w:val="0"/>
              <w:autoSpaceDN w:val="0"/>
              <w:adjustRightInd w:val="0"/>
              <w:snapToGrid w:val="0"/>
              <w:spacing w:line="240" w:lineRule="auto"/>
              <w:ind w:firstLine="0" w:firstLineChars="0"/>
              <w:jc w:val="center"/>
              <w:rPr>
                <w:sz w:val="21"/>
                <w:szCs w:val="21"/>
              </w:rPr>
            </w:pPr>
            <w:r>
              <w:rPr>
                <w:rFonts w:hint="eastAsia"/>
                <w:sz w:val="21"/>
                <w:szCs w:val="21"/>
              </w:rPr>
              <w:t>52</w:t>
            </w:r>
          </w:p>
        </w:tc>
        <w:tc>
          <w:tcPr>
            <w:tcW w:w="433" w:type="pct"/>
            <w:tcBorders>
              <w:tl2br w:val="nil"/>
              <w:tr2bl w:val="nil"/>
            </w:tcBorders>
            <w:vAlign w:val="center"/>
          </w:tcPr>
          <w:p w14:paraId="42A20E71">
            <w:pPr>
              <w:autoSpaceDE w:val="0"/>
              <w:autoSpaceDN w:val="0"/>
              <w:adjustRightInd w:val="0"/>
              <w:snapToGrid w:val="0"/>
              <w:spacing w:line="240" w:lineRule="auto"/>
              <w:ind w:firstLine="0" w:firstLineChars="0"/>
              <w:jc w:val="center"/>
              <w:rPr>
                <w:sz w:val="21"/>
                <w:szCs w:val="21"/>
              </w:rPr>
            </w:pPr>
            <w:r>
              <w:rPr>
                <w:rFonts w:hint="eastAsia"/>
                <w:sz w:val="21"/>
                <w:szCs w:val="21"/>
              </w:rPr>
              <w:t>48.6</w:t>
            </w:r>
          </w:p>
        </w:tc>
        <w:tc>
          <w:tcPr>
            <w:tcW w:w="435" w:type="pct"/>
            <w:tcBorders>
              <w:tl2br w:val="nil"/>
              <w:tr2bl w:val="nil"/>
            </w:tcBorders>
            <w:vAlign w:val="center"/>
          </w:tcPr>
          <w:p w14:paraId="5E10E5DB">
            <w:pPr>
              <w:autoSpaceDE w:val="0"/>
              <w:autoSpaceDN w:val="0"/>
              <w:adjustRightInd w:val="0"/>
              <w:snapToGrid w:val="0"/>
              <w:spacing w:line="240" w:lineRule="auto"/>
              <w:ind w:firstLine="0" w:firstLineChars="0"/>
              <w:jc w:val="center"/>
              <w:rPr>
                <w:sz w:val="21"/>
                <w:szCs w:val="21"/>
              </w:rPr>
            </w:pPr>
            <w:r>
              <w:rPr>
                <w:rFonts w:hint="eastAsia"/>
                <w:sz w:val="21"/>
                <w:szCs w:val="21"/>
              </w:rPr>
              <w:t>46</w:t>
            </w:r>
          </w:p>
        </w:tc>
      </w:tr>
      <w:tr w14:paraId="0E9E5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755259B8">
            <w:pPr>
              <w:autoSpaceDE w:val="0"/>
              <w:autoSpaceDN w:val="0"/>
              <w:adjustRightInd w:val="0"/>
              <w:snapToGrid w:val="0"/>
              <w:spacing w:line="240" w:lineRule="auto"/>
              <w:ind w:firstLine="0" w:firstLineChars="0"/>
              <w:jc w:val="center"/>
              <w:rPr>
                <w:sz w:val="21"/>
                <w:szCs w:val="21"/>
              </w:rPr>
            </w:pPr>
            <w:r>
              <w:rPr>
                <w:rFonts w:hint="eastAsia"/>
                <w:sz w:val="21"/>
                <w:szCs w:val="21"/>
              </w:rPr>
              <w:t>自卸卡车</w:t>
            </w:r>
          </w:p>
        </w:tc>
        <w:tc>
          <w:tcPr>
            <w:tcW w:w="413" w:type="pct"/>
            <w:tcBorders>
              <w:tl2br w:val="nil"/>
              <w:tr2bl w:val="nil"/>
            </w:tcBorders>
            <w:vAlign w:val="center"/>
          </w:tcPr>
          <w:p w14:paraId="7348D8E8">
            <w:pPr>
              <w:autoSpaceDE w:val="0"/>
              <w:autoSpaceDN w:val="0"/>
              <w:adjustRightInd w:val="0"/>
              <w:snapToGrid w:val="0"/>
              <w:spacing w:line="240" w:lineRule="auto"/>
              <w:ind w:firstLine="0" w:firstLineChars="0"/>
              <w:jc w:val="center"/>
              <w:rPr>
                <w:sz w:val="21"/>
                <w:szCs w:val="21"/>
              </w:rPr>
            </w:pPr>
            <w:r>
              <w:rPr>
                <w:rFonts w:hint="eastAsia"/>
                <w:sz w:val="21"/>
                <w:szCs w:val="21"/>
              </w:rPr>
              <w:t>100</w:t>
            </w:r>
          </w:p>
        </w:tc>
        <w:tc>
          <w:tcPr>
            <w:tcW w:w="461" w:type="pct"/>
            <w:tcBorders>
              <w:tl2br w:val="nil"/>
              <w:tr2bl w:val="nil"/>
            </w:tcBorders>
            <w:vAlign w:val="center"/>
          </w:tcPr>
          <w:p w14:paraId="4CB6403B">
            <w:pPr>
              <w:autoSpaceDE w:val="0"/>
              <w:autoSpaceDN w:val="0"/>
              <w:adjustRightInd w:val="0"/>
              <w:snapToGrid w:val="0"/>
              <w:spacing w:line="240" w:lineRule="auto"/>
              <w:ind w:firstLine="0" w:firstLineChars="0"/>
              <w:jc w:val="center"/>
              <w:rPr>
                <w:sz w:val="21"/>
                <w:szCs w:val="21"/>
              </w:rPr>
            </w:pPr>
            <w:r>
              <w:rPr>
                <w:rFonts w:hint="eastAsia"/>
                <w:sz w:val="21"/>
                <w:szCs w:val="21"/>
              </w:rPr>
              <w:t>73</w:t>
            </w:r>
          </w:p>
        </w:tc>
        <w:tc>
          <w:tcPr>
            <w:tcW w:w="530" w:type="pct"/>
            <w:tcBorders>
              <w:tl2br w:val="nil"/>
              <w:tr2bl w:val="nil"/>
            </w:tcBorders>
            <w:vAlign w:val="center"/>
          </w:tcPr>
          <w:p w14:paraId="06CAEC55">
            <w:pPr>
              <w:autoSpaceDE w:val="0"/>
              <w:autoSpaceDN w:val="0"/>
              <w:adjustRightInd w:val="0"/>
              <w:snapToGrid w:val="0"/>
              <w:spacing w:line="240" w:lineRule="auto"/>
              <w:ind w:firstLine="0" w:firstLineChars="0"/>
              <w:jc w:val="center"/>
              <w:rPr>
                <w:sz w:val="21"/>
                <w:szCs w:val="21"/>
              </w:rPr>
            </w:pPr>
            <w:r>
              <w:rPr>
                <w:rFonts w:hint="eastAsia"/>
                <w:sz w:val="21"/>
                <w:szCs w:val="21"/>
              </w:rPr>
              <w:t>66.4</w:t>
            </w:r>
          </w:p>
        </w:tc>
        <w:tc>
          <w:tcPr>
            <w:tcW w:w="525" w:type="pct"/>
            <w:tcBorders>
              <w:tl2br w:val="nil"/>
              <w:tr2bl w:val="nil"/>
            </w:tcBorders>
            <w:vAlign w:val="center"/>
          </w:tcPr>
          <w:p w14:paraId="31D924A3">
            <w:pPr>
              <w:autoSpaceDE w:val="0"/>
              <w:autoSpaceDN w:val="0"/>
              <w:adjustRightInd w:val="0"/>
              <w:snapToGrid w:val="0"/>
              <w:spacing w:line="240" w:lineRule="auto"/>
              <w:ind w:firstLine="0" w:firstLineChars="0"/>
              <w:jc w:val="center"/>
              <w:rPr>
                <w:sz w:val="21"/>
                <w:szCs w:val="21"/>
              </w:rPr>
            </w:pPr>
            <w:r>
              <w:rPr>
                <w:rFonts w:hint="eastAsia"/>
                <w:sz w:val="21"/>
                <w:szCs w:val="21"/>
              </w:rPr>
              <w:t>62.8</w:t>
            </w:r>
          </w:p>
        </w:tc>
        <w:tc>
          <w:tcPr>
            <w:tcW w:w="530" w:type="pct"/>
            <w:tcBorders>
              <w:tl2br w:val="nil"/>
              <w:tr2bl w:val="nil"/>
            </w:tcBorders>
            <w:vAlign w:val="center"/>
          </w:tcPr>
          <w:p w14:paraId="725F5E0C">
            <w:pPr>
              <w:autoSpaceDE w:val="0"/>
              <w:autoSpaceDN w:val="0"/>
              <w:adjustRightInd w:val="0"/>
              <w:snapToGrid w:val="0"/>
              <w:spacing w:line="240" w:lineRule="auto"/>
              <w:ind w:firstLine="0" w:firstLineChars="0"/>
              <w:jc w:val="center"/>
              <w:rPr>
                <w:sz w:val="21"/>
                <w:szCs w:val="21"/>
              </w:rPr>
            </w:pPr>
            <w:r>
              <w:rPr>
                <w:rFonts w:hint="eastAsia"/>
                <w:sz w:val="21"/>
                <w:szCs w:val="21"/>
              </w:rPr>
              <w:t>60</w:t>
            </w:r>
          </w:p>
        </w:tc>
        <w:tc>
          <w:tcPr>
            <w:tcW w:w="429" w:type="pct"/>
            <w:tcBorders>
              <w:tl2br w:val="nil"/>
              <w:tr2bl w:val="nil"/>
            </w:tcBorders>
            <w:vAlign w:val="center"/>
          </w:tcPr>
          <w:p w14:paraId="4FA7F496">
            <w:pPr>
              <w:autoSpaceDE w:val="0"/>
              <w:autoSpaceDN w:val="0"/>
              <w:adjustRightInd w:val="0"/>
              <w:snapToGrid w:val="0"/>
              <w:spacing w:line="240" w:lineRule="auto"/>
              <w:ind w:firstLine="0" w:firstLineChars="0"/>
              <w:jc w:val="center"/>
              <w:rPr>
                <w:sz w:val="21"/>
                <w:szCs w:val="21"/>
              </w:rPr>
            </w:pPr>
            <w:r>
              <w:rPr>
                <w:rFonts w:hint="eastAsia"/>
                <w:sz w:val="21"/>
                <w:szCs w:val="21"/>
              </w:rPr>
              <w:t>58.2</w:t>
            </w:r>
          </w:p>
        </w:tc>
        <w:tc>
          <w:tcPr>
            <w:tcW w:w="433" w:type="pct"/>
            <w:tcBorders>
              <w:tl2br w:val="nil"/>
              <w:tr2bl w:val="nil"/>
            </w:tcBorders>
            <w:vAlign w:val="center"/>
          </w:tcPr>
          <w:p w14:paraId="795EECA4">
            <w:pPr>
              <w:autoSpaceDE w:val="0"/>
              <w:autoSpaceDN w:val="0"/>
              <w:adjustRightInd w:val="0"/>
              <w:snapToGrid w:val="0"/>
              <w:spacing w:line="240" w:lineRule="auto"/>
              <w:ind w:firstLine="0" w:firstLineChars="0"/>
              <w:jc w:val="center"/>
              <w:rPr>
                <w:sz w:val="21"/>
                <w:szCs w:val="21"/>
              </w:rPr>
            </w:pPr>
            <w:r>
              <w:rPr>
                <w:rFonts w:hint="eastAsia"/>
                <w:sz w:val="21"/>
                <w:szCs w:val="21"/>
              </w:rPr>
              <w:t>52</w:t>
            </w:r>
          </w:p>
        </w:tc>
        <w:tc>
          <w:tcPr>
            <w:tcW w:w="433" w:type="pct"/>
            <w:tcBorders>
              <w:tl2br w:val="nil"/>
              <w:tr2bl w:val="nil"/>
            </w:tcBorders>
            <w:vAlign w:val="center"/>
          </w:tcPr>
          <w:p w14:paraId="49A93ABA">
            <w:pPr>
              <w:autoSpaceDE w:val="0"/>
              <w:autoSpaceDN w:val="0"/>
              <w:adjustRightInd w:val="0"/>
              <w:snapToGrid w:val="0"/>
              <w:spacing w:line="240" w:lineRule="auto"/>
              <w:ind w:firstLine="0" w:firstLineChars="0"/>
              <w:jc w:val="center"/>
              <w:rPr>
                <w:sz w:val="21"/>
                <w:szCs w:val="21"/>
              </w:rPr>
            </w:pPr>
            <w:r>
              <w:rPr>
                <w:rFonts w:hint="eastAsia"/>
                <w:sz w:val="21"/>
                <w:szCs w:val="21"/>
              </w:rPr>
              <w:t>48.6</w:t>
            </w:r>
          </w:p>
        </w:tc>
        <w:tc>
          <w:tcPr>
            <w:tcW w:w="435" w:type="pct"/>
            <w:tcBorders>
              <w:tl2br w:val="nil"/>
              <w:tr2bl w:val="nil"/>
            </w:tcBorders>
            <w:vAlign w:val="center"/>
          </w:tcPr>
          <w:p w14:paraId="7C3EC1D1">
            <w:pPr>
              <w:autoSpaceDE w:val="0"/>
              <w:autoSpaceDN w:val="0"/>
              <w:adjustRightInd w:val="0"/>
              <w:snapToGrid w:val="0"/>
              <w:spacing w:line="240" w:lineRule="auto"/>
              <w:ind w:firstLine="0" w:firstLineChars="0"/>
              <w:jc w:val="center"/>
              <w:rPr>
                <w:sz w:val="21"/>
                <w:szCs w:val="21"/>
              </w:rPr>
            </w:pPr>
            <w:r>
              <w:rPr>
                <w:rFonts w:hint="eastAsia"/>
                <w:sz w:val="21"/>
                <w:szCs w:val="21"/>
              </w:rPr>
              <w:t>46</w:t>
            </w:r>
          </w:p>
        </w:tc>
      </w:tr>
      <w:tr w14:paraId="50B68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6C70D575">
            <w:pPr>
              <w:autoSpaceDE w:val="0"/>
              <w:autoSpaceDN w:val="0"/>
              <w:adjustRightInd w:val="0"/>
              <w:snapToGrid w:val="0"/>
              <w:spacing w:line="240" w:lineRule="auto"/>
              <w:ind w:firstLine="0" w:firstLineChars="0"/>
              <w:jc w:val="center"/>
              <w:rPr>
                <w:sz w:val="21"/>
                <w:szCs w:val="21"/>
              </w:rPr>
            </w:pPr>
            <w:r>
              <w:rPr>
                <w:rFonts w:hint="eastAsia"/>
                <w:sz w:val="21"/>
                <w:szCs w:val="21"/>
              </w:rPr>
              <w:t>空压机</w:t>
            </w:r>
          </w:p>
        </w:tc>
        <w:tc>
          <w:tcPr>
            <w:tcW w:w="413" w:type="pct"/>
            <w:tcBorders>
              <w:tl2br w:val="nil"/>
              <w:tr2bl w:val="nil"/>
            </w:tcBorders>
            <w:vAlign w:val="center"/>
          </w:tcPr>
          <w:p w14:paraId="3FB9E270">
            <w:pPr>
              <w:autoSpaceDE w:val="0"/>
              <w:autoSpaceDN w:val="0"/>
              <w:adjustRightInd w:val="0"/>
              <w:snapToGrid w:val="0"/>
              <w:spacing w:line="240" w:lineRule="auto"/>
              <w:ind w:firstLine="0" w:firstLineChars="0"/>
              <w:jc w:val="center"/>
              <w:rPr>
                <w:sz w:val="21"/>
                <w:szCs w:val="21"/>
              </w:rPr>
            </w:pPr>
            <w:r>
              <w:rPr>
                <w:rFonts w:hint="eastAsia"/>
                <w:sz w:val="21"/>
                <w:szCs w:val="21"/>
              </w:rPr>
              <w:t>110</w:t>
            </w:r>
          </w:p>
        </w:tc>
        <w:tc>
          <w:tcPr>
            <w:tcW w:w="461" w:type="pct"/>
            <w:tcBorders>
              <w:tl2br w:val="nil"/>
              <w:tr2bl w:val="nil"/>
            </w:tcBorders>
            <w:vAlign w:val="center"/>
          </w:tcPr>
          <w:p w14:paraId="5930C31E">
            <w:pPr>
              <w:autoSpaceDE w:val="0"/>
              <w:autoSpaceDN w:val="0"/>
              <w:adjustRightInd w:val="0"/>
              <w:snapToGrid w:val="0"/>
              <w:spacing w:line="240" w:lineRule="auto"/>
              <w:ind w:firstLine="0" w:firstLineChars="0"/>
              <w:jc w:val="center"/>
              <w:rPr>
                <w:sz w:val="21"/>
                <w:szCs w:val="21"/>
              </w:rPr>
            </w:pPr>
            <w:r>
              <w:rPr>
                <w:rFonts w:hint="eastAsia"/>
                <w:sz w:val="21"/>
                <w:szCs w:val="21"/>
              </w:rPr>
              <w:t>83</w:t>
            </w:r>
          </w:p>
        </w:tc>
        <w:tc>
          <w:tcPr>
            <w:tcW w:w="530" w:type="pct"/>
            <w:tcBorders>
              <w:tl2br w:val="nil"/>
              <w:tr2bl w:val="nil"/>
            </w:tcBorders>
            <w:vAlign w:val="center"/>
          </w:tcPr>
          <w:p w14:paraId="3EBA4D56">
            <w:pPr>
              <w:autoSpaceDE w:val="0"/>
              <w:autoSpaceDN w:val="0"/>
              <w:adjustRightInd w:val="0"/>
              <w:snapToGrid w:val="0"/>
              <w:spacing w:line="240" w:lineRule="auto"/>
              <w:ind w:firstLine="0" w:firstLineChars="0"/>
              <w:jc w:val="center"/>
              <w:rPr>
                <w:sz w:val="21"/>
                <w:szCs w:val="21"/>
              </w:rPr>
            </w:pPr>
            <w:r>
              <w:rPr>
                <w:rFonts w:hint="eastAsia"/>
                <w:sz w:val="21"/>
                <w:szCs w:val="21"/>
              </w:rPr>
              <w:t>76.4</w:t>
            </w:r>
          </w:p>
        </w:tc>
        <w:tc>
          <w:tcPr>
            <w:tcW w:w="525" w:type="pct"/>
            <w:tcBorders>
              <w:tl2br w:val="nil"/>
              <w:tr2bl w:val="nil"/>
            </w:tcBorders>
            <w:vAlign w:val="center"/>
          </w:tcPr>
          <w:p w14:paraId="0C35A440">
            <w:pPr>
              <w:autoSpaceDE w:val="0"/>
              <w:autoSpaceDN w:val="0"/>
              <w:adjustRightInd w:val="0"/>
              <w:snapToGrid w:val="0"/>
              <w:spacing w:line="240" w:lineRule="auto"/>
              <w:ind w:firstLine="0" w:firstLineChars="0"/>
              <w:jc w:val="center"/>
              <w:rPr>
                <w:sz w:val="21"/>
                <w:szCs w:val="21"/>
              </w:rPr>
            </w:pPr>
            <w:r>
              <w:rPr>
                <w:rFonts w:hint="eastAsia"/>
                <w:sz w:val="21"/>
                <w:szCs w:val="21"/>
              </w:rPr>
              <w:t>72.8</w:t>
            </w:r>
          </w:p>
        </w:tc>
        <w:tc>
          <w:tcPr>
            <w:tcW w:w="530" w:type="pct"/>
            <w:tcBorders>
              <w:tl2br w:val="nil"/>
              <w:tr2bl w:val="nil"/>
            </w:tcBorders>
            <w:vAlign w:val="center"/>
          </w:tcPr>
          <w:p w14:paraId="00EAF416">
            <w:pPr>
              <w:autoSpaceDE w:val="0"/>
              <w:autoSpaceDN w:val="0"/>
              <w:adjustRightInd w:val="0"/>
              <w:snapToGrid w:val="0"/>
              <w:spacing w:line="240" w:lineRule="auto"/>
              <w:ind w:firstLine="0" w:firstLineChars="0"/>
              <w:jc w:val="center"/>
              <w:rPr>
                <w:sz w:val="21"/>
                <w:szCs w:val="21"/>
              </w:rPr>
            </w:pPr>
            <w:r>
              <w:rPr>
                <w:rFonts w:hint="eastAsia"/>
                <w:sz w:val="21"/>
                <w:szCs w:val="21"/>
              </w:rPr>
              <w:t>70</w:t>
            </w:r>
          </w:p>
        </w:tc>
        <w:tc>
          <w:tcPr>
            <w:tcW w:w="429" w:type="pct"/>
            <w:tcBorders>
              <w:tl2br w:val="nil"/>
              <w:tr2bl w:val="nil"/>
            </w:tcBorders>
            <w:vAlign w:val="center"/>
          </w:tcPr>
          <w:p w14:paraId="50A29262">
            <w:pPr>
              <w:autoSpaceDE w:val="0"/>
              <w:autoSpaceDN w:val="0"/>
              <w:adjustRightInd w:val="0"/>
              <w:snapToGrid w:val="0"/>
              <w:spacing w:line="240" w:lineRule="auto"/>
              <w:ind w:firstLine="0" w:firstLineChars="0"/>
              <w:jc w:val="center"/>
              <w:rPr>
                <w:sz w:val="21"/>
                <w:szCs w:val="21"/>
              </w:rPr>
            </w:pPr>
            <w:r>
              <w:rPr>
                <w:rFonts w:hint="eastAsia"/>
                <w:sz w:val="21"/>
                <w:szCs w:val="21"/>
              </w:rPr>
              <w:t>68.2</w:t>
            </w:r>
          </w:p>
        </w:tc>
        <w:tc>
          <w:tcPr>
            <w:tcW w:w="433" w:type="pct"/>
            <w:tcBorders>
              <w:tl2br w:val="nil"/>
              <w:tr2bl w:val="nil"/>
            </w:tcBorders>
            <w:vAlign w:val="center"/>
          </w:tcPr>
          <w:p w14:paraId="07D6A1C2">
            <w:pPr>
              <w:autoSpaceDE w:val="0"/>
              <w:autoSpaceDN w:val="0"/>
              <w:adjustRightInd w:val="0"/>
              <w:snapToGrid w:val="0"/>
              <w:spacing w:line="240" w:lineRule="auto"/>
              <w:ind w:firstLine="0" w:firstLineChars="0"/>
              <w:jc w:val="center"/>
              <w:rPr>
                <w:sz w:val="21"/>
                <w:szCs w:val="21"/>
              </w:rPr>
            </w:pPr>
            <w:r>
              <w:rPr>
                <w:rFonts w:hint="eastAsia"/>
                <w:sz w:val="21"/>
                <w:szCs w:val="21"/>
              </w:rPr>
              <w:t>62</w:t>
            </w:r>
          </w:p>
        </w:tc>
        <w:tc>
          <w:tcPr>
            <w:tcW w:w="433" w:type="pct"/>
            <w:tcBorders>
              <w:tl2br w:val="nil"/>
              <w:tr2bl w:val="nil"/>
            </w:tcBorders>
            <w:vAlign w:val="center"/>
          </w:tcPr>
          <w:p w14:paraId="50083A7C">
            <w:pPr>
              <w:autoSpaceDE w:val="0"/>
              <w:autoSpaceDN w:val="0"/>
              <w:adjustRightInd w:val="0"/>
              <w:snapToGrid w:val="0"/>
              <w:spacing w:line="240" w:lineRule="auto"/>
              <w:ind w:firstLine="0" w:firstLineChars="0"/>
              <w:jc w:val="center"/>
              <w:rPr>
                <w:sz w:val="21"/>
                <w:szCs w:val="21"/>
              </w:rPr>
            </w:pPr>
            <w:r>
              <w:rPr>
                <w:rFonts w:hint="eastAsia"/>
                <w:sz w:val="21"/>
                <w:szCs w:val="21"/>
              </w:rPr>
              <w:t>58.6</w:t>
            </w:r>
          </w:p>
        </w:tc>
        <w:tc>
          <w:tcPr>
            <w:tcW w:w="435" w:type="pct"/>
            <w:tcBorders>
              <w:tl2br w:val="nil"/>
              <w:tr2bl w:val="nil"/>
            </w:tcBorders>
            <w:vAlign w:val="center"/>
          </w:tcPr>
          <w:p w14:paraId="66B88AED">
            <w:pPr>
              <w:autoSpaceDE w:val="0"/>
              <w:autoSpaceDN w:val="0"/>
              <w:adjustRightInd w:val="0"/>
              <w:snapToGrid w:val="0"/>
              <w:spacing w:line="240" w:lineRule="auto"/>
              <w:ind w:firstLine="0" w:firstLineChars="0"/>
              <w:jc w:val="center"/>
              <w:rPr>
                <w:sz w:val="21"/>
                <w:szCs w:val="21"/>
              </w:rPr>
            </w:pPr>
            <w:r>
              <w:rPr>
                <w:rFonts w:hint="eastAsia"/>
                <w:sz w:val="21"/>
                <w:szCs w:val="21"/>
              </w:rPr>
              <w:t>56</w:t>
            </w:r>
          </w:p>
        </w:tc>
      </w:tr>
      <w:tr w14:paraId="767D0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0511C375">
            <w:pPr>
              <w:autoSpaceDE w:val="0"/>
              <w:autoSpaceDN w:val="0"/>
              <w:adjustRightInd w:val="0"/>
              <w:snapToGrid w:val="0"/>
              <w:spacing w:line="240" w:lineRule="auto"/>
              <w:ind w:firstLine="0" w:firstLineChars="0"/>
              <w:jc w:val="center"/>
              <w:rPr>
                <w:sz w:val="21"/>
                <w:szCs w:val="21"/>
              </w:rPr>
            </w:pPr>
            <w:r>
              <w:rPr>
                <w:rFonts w:hint="eastAsia"/>
                <w:sz w:val="21"/>
                <w:szCs w:val="21"/>
              </w:rPr>
              <w:t>电锯</w:t>
            </w:r>
          </w:p>
        </w:tc>
        <w:tc>
          <w:tcPr>
            <w:tcW w:w="413" w:type="pct"/>
            <w:tcBorders>
              <w:tl2br w:val="nil"/>
              <w:tr2bl w:val="nil"/>
            </w:tcBorders>
            <w:vAlign w:val="center"/>
          </w:tcPr>
          <w:p w14:paraId="15841335">
            <w:pPr>
              <w:autoSpaceDE w:val="0"/>
              <w:autoSpaceDN w:val="0"/>
              <w:adjustRightInd w:val="0"/>
              <w:snapToGrid w:val="0"/>
              <w:spacing w:line="240" w:lineRule="auto"/>
              <w:ind w:firstLine="0" w:firstLineChars="0"/>
              <w:jc w:val="center"/>
              <w:rPr>
                <w:sz w:val="21"/>
                <w:szCs w:val="21"/>
              </w:rPr>
            </w:pPr>
            <w:r>
              <w:rPr>
                <w:rFonts w:hint="eastAsia"/>
                <w:sz w:val="21"/>
                <w:szCs w:val="21"/>
              </w:rPr>
              <w:t>115</w:t>
            </w:r>
          </w:p>
        </w:tc>
        <w:tc>
          <w:tcPr>
            <w:tcW w:w="461" w:type="pct"/>
            <w:tcBorders>
              <w:tl2br w:val="nil"/>
              <w:tr2bl w:val="nil"/>
            </w:tcBorders>
            <w:vAlign w:val="center"/>
          </w:tcPr>
          <w:p w14:paraId="06E19879">
            <w:pPr>
              <w:autoSpaceDE w:val="0"/>
              <w:autoSpaceDN w:val="0"/>
              <w:adjustRightInd w:val="0"/>
              <w:snapToGrid w:val="0"/>
              <w:spacing w:line="240" w:lineRule="auto"/>
              <w:ind w:firstLine="0" w:firstLineChars="0"/>
              <w:jc w:val="center"/>
              <w:rPr>
                <w:sz w:val="21"/>
                <w:szCs w:val="21"/>
              </w:rPr>
            </w:pPr>
            <w:r>
              <w:rPr>
                <w:rFonts w:hint="eastAsia"/>
                <w:sz w:val="21"/>
                <w:szCs w:val="21"/>
              </w:rPr>
              <w:t>88</w:t>
            </w:r>
          </w:p>
        </w:tc>
        <w:tc>
          <w:tcPr>
            <w:tcW w:w="530" w:type="pct"/>
            <w:tcBorders>
              <w:tl2br w:val="nil"/>
              <w:tr2bl w:val="nil"/>
            </w:tcBorders>
            <w:vAlign w:val="center"/>
          </w:tcPr>
          <w:p w14:paraId="17A3009F">
            <w:pPr>
              <w:autoSpaceDE w:val="0"/>
              <w:autoSpaceDN w:val="0"/>
              <w:adjustRightInd w:val="0"/>
              <w:snapToGrid w:val="0"/>
              <w:spacing w:line="240" w:lineRule="auto"/>
              <w:ind w:firstLine="0" w:firstLineChars="0"/>
              <w:jc w:val="center"/>
              <w:rPr>
                <w:sz w:val="21"/>
                <w:szCs w:val="21"/>
              </w:rPr>
            </w:pPr>
            <w:r>
              <w:rPr>
                <w:rFonts w:hint="eastAsia"/>
                <w:sz w:val="21"/>
                <w:szCs w:val="21"/>
              </w:rPr>
              <w:t>81.4</w:t>
            </w:r>
          </w:p>
        </w:tc>
        <w:tc>
          <w:tcPr>
            <w:tcW w:w="525" w:type="pct"/>
            <w:tcBorders>
              <w:tl2br w:val="nil"/>
              <w:tr2bl w:val="nil"/>
            </w:tcBorders>
            <w:vAlign w:val="center"/>
          </w:tcPr>
          <w:p w14:paraId="635BA31C">
            <w:pPr>
              <w:autoSpaceDE w:val="0"/>
              <w:autoSpaceDN w:val="0"/>
              <w:adjustRightInd w:val="0"/>
              <w:snapToGrid w:val="0"/>
              <w:spacing w:line="240" w:lineRule="auto"/>
              <w:ind w:firstLine="0" w:firstLineChars="0"/>
              <w:jc w:val="center"/>
              <w:rPr>
                <w:sz w:val="21"/>
                <w:szCs w:val="21"/>
              </w:rPr>
            </w:pPr>
            <w:r>
              <w:rPr>
                <w:rFonts w:hint="eastAsia"/>
                <w:sz w:val="21"/>
                <w:szCs w:val="21"/>
              </w:rPr>
              <w:t>77.8</w:t>
            </w:r>
          </w:p>
        </w:tc>
        <w:tc>
          <w:tcPr>
            <w:tcW w:w="530" w:type="pct"/>
            <w:tcBorders>
              <w:tl2br w:val="nil"/>
              <w:tr2bl w:val="nil"/>
            </w:tcBorders>
            <w:vAlign w:val="center"/>
          </w:tcPr>
          <w:p w14:paraId="4D8D50B9">
            <w:pPr>
              <w:autoSpaceDE w:val="0"/>
              <w:autoSpaceDN w:val="0"/>
              <w:adjustRightInd w:val="0"/>
              <w:snapToGrid w:val="0"/>
              <w:spacing w:line="240" w:lineRule="auto"/>
              <w:ind w:firstLine="0" w:firstLineChars="0"/>
              <w:jc w:val="center"/>
              <w:rPr>
                <w:sz w:val="21"/>
                <w:szCs w:val="21"/>
              </w:rPr>
            </w:pPr>
            <w:r>
              <w:rPr>
                <w:rFonts w:hint="eastAsia"/>
                <w:sz w:val="21"/>
                <w:szCs w:val="21"/>
              </w:rPr>
              <w:t>75</w:t>
            </w:r>
          </w:p>
        </w:tc>
        <w:tc>
          <w:tcPr>
            <w:tcW w:w="429" w:type="pct"/>
            <w:tcBorders>
              <w:tl2br w:val="nil"/>
              <w:tr2bl w:val="nil"/>
            </w:tcBorders>
            <w:vAlign w:val="center"/>
          </w:tcPr>
          <w:p w14:paraId="415EA418">
            <w:pPr>
              <w:autoSpaceDE w:val="0"/>
              <w:autoSpaceDN w:val="0"/>
              <w:adjustRightInd w:val="0"/>
              <w:snapToGrid w:val="0"/>
              <w:spacing w:line="240" w:lineRule="auto"/>
              <w:ind w:firstLine="0" w:firstLineChars="0"/>
              <w:jc w:val="center"/>
              <w:rPr>
                <w:sz w:val="21"/>
                <w:szCs w:val="21"/>
              </w:rPr>
            </w:pPr>
            <w:r>
              <w:rPr>
                <w:rFonts w:hint="eastAsia"/>
                <w:sz w:val="21"/>
                <w:szCs w:val="21"/>
              </w:rPr>
              <w:t>73.2</w:t>
            </w:r>
          </w:p>
        </w:tc>
        <w:tc>
          <w:tcPr>
            <w:tcW w:w="433" w:type="pct"/>
            <w:tcBorders>
              <w:tl2br w:val="nil"/>
              <w:tr2bl w:val="nil"/>
            </w:tcBorders>
            <w:vAlign w:val="center"/>
          </w:tcPr>
          <w:p w14:paraId="66CA1338">
            <w:pPr>
              <w:autoSpaceDE w:val="0"/>
              <w:autoSpaceDN w:val="0"/>
              <w:adjustRightInd w:val="0"/>
              <w:snapToGrid w:val="0"/>
              <w:spacing w:line="240" w:lineRule="auto"/>
              <w:ind w:firstLine="0" w:firstLineChars="0"/>
              <w:jc w:val="center"/>
              <w:rPr>
                <w:sz w:val="21"/>
                <w:szCs w:val="21"/>
              </w:rPr>
            </w:pPr>
            <w:r>
              <w:rPr>
                <w:rFonts w:hint="eastAsia"/>
                <w:sz w:val="21"/>
                <w:szCs w:val="21"/>
              </w:rPr>
              <w:t>67</w:t>
            </w:r>
          </w:p>
        </w:tc>
        <w:tc>
          <w:tcPr>
            <w:tcW w:w="433" w:type="pct"/>
            <w:tcBorders>
              <w:tl2br w:val="nil"/>
              <w:tr2bl w:val="nil"/>
            </w:tcBorders>
            <w:vAlign w:val="center"/>
          </w:tcPr>
          <w:p w14:paraId="715037C3">
            <w:pPr>
              <w:autoSpaceDE w:val="0"/>
              <w:autoSpaceDN w:val="0"/>
              <w:adjustRightInd w:val="0"/>
              <w:snapToGrid w:val="0"/>
              <w:spacing w:line="240" w:lineRule="auto"/>
              <w:ind w:firstLine="0" w:firstLineChars="0"/>
              <w:jc w:val="center"/>
              <w:rPr>
                <w:sz w:val="21"/>
                <w:szCs w:val="21"/>
              </w:rPr>
            </w:pPr>
            <w:r>
              <w:rPr>
                <w:rFonts w:hint="eastAsia"/>
                <w:sz w:val="21"/>
                <w:szCs w:val="21"/>
              </w:rPr>
              <w:t>63.6</w:t>
            </w:r>
          </w:p>
        </w:tc>
        <w:tc>
          <w:tcPr>
            <w:tcW w:w="435" w:type="pct"/>
            <w:tcBorders>
              <w:tl2br w:val="nil"/>
              <w:tr2bl w:val="nil"/>
            </w:tcBorders>
            <w:vAlign w:val="center"/>
          </w:tcPr>
          <w:p w14:paraId="2D782DAD">
            <w:pPr>
              <w:autoSpaceDE w:val="0"/>
              <w:autoSpaceDN w:val="0"/>
              <w:adjustRightInd w:val="0"/>
              <w:snapToGrid w:val="0"/>
              <w:spacing w:line="240" w:lineRule="auto"/>
              <w:ind w:firstLine="0" w:firstLineChars="0"/>
              <w:jc w:val="center"/>
              <w:rPr>
                <w:sz w:val="21"/>
                <w:szCs w:val="21"/>
              </w:rPr>
            </w:pPr>
            <w:r>
              <w:rPr>
                <w:rFonts w:hint="eastAsia"/>
                <w:sz w:val="21"/>
                <w:szCs w:val="21"/>
              </w:rPr>
              <w:t>61</w:t>
            </w:r>
          </w:p>
        </w:tc>
      </w:tr>
      <w:tr w14:paraId="12C35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357B1F8C">
            <w:pPr>
              <w:autoSpaceDE w:val="0"/>
              <w:autoSpaceDN w:val="0"/>
              <w:adjustRightInd w:val="0"/>
              <w:snapToGrid w:val="0"/>
              <w:spacing w:line="240" w:lineRule="auto"/>
              <w:ind w:firstLine="0" w:firstLineChars="0"/>
              <w:jc w:val="center"/>
              <w:rPr>
                <w:sz w:val="21"/>
                <w:szCs w:val="21"/>
              </w:rPr>
            </w:pPr>
            <w:r>
              <w:rPr>
                <w:rFonts w:hint="eastAsia"/>
                <w:sz w:val="21"/>
                <w:szCs w:val="21"/>
              </w:rPr>
              <w:t>卷扬机</w:t>
            </w:r>
          </w:p>
        </w:tc>
        <w:tc>
          <w:tcPr>
            <w:tcW w:w="413" w:type="pct"/>
            <w:tcBorders>
              <w:tl2br w:val="nil"/>
              <w:tr2bl w:val="nil"/>
            </w:tcBorders>
            <w:vAlign w:val="center"/>
          </w:tcPr>
          <w:p w14:paraId="4F760A83">
            <w:pPr>
              <w:autoSpaceDE w:val="0"/>
              <w:autoSpaceDN w:val="0"/>
              <w:adjustRightInd w:val="0"/>
              <w:snapToGrid w:val="0"/>
              <w:spacing w:line="240" w:lineRule="auto"/>
              <w:ind w:firstLine="0" w:firstLineChars="0"/>
              <w:jc w:val="center"/>
              <w:rPr>
                <w:sz w:val="21"/>
                <w:szCs w:val="21"/>
              </w:rPr>
            </w:pPr>
            <w:r>
              <w:rPr>
                <w:rFonts w:hint="eastAsia"/>
                <w:sz w:val="21"/>
                <w:szCs w:val="21"/>
              </w:rPr>
              <w:t>100</w:t>
            </w:r>
          </w:p>
        </w:tc>
        <w:tc>
          <w:tcPr>
            <w:tcW w:w="461" w:type="pct"/>
            <w:tcBorders>
              <w:tl2br w:val="nil"/>
              <w:tr2bl w:val="nil"/>
            </w:tcBorders>
            <w:vAlign w:val="center"/>
          </w:tcPr>
          <w:p w14:paraId="7E7E1675">
            <w:pPr>
              <w:autoSpaceDE w:val="0"/>
              <w:autoSpaceDN w:val="0"/>
              <w:adjustRightInd w:val="0"/>
              <w:snapToGrid w:val="0"/>
              <w:spacing w:line="240" w:lineRule="auto"/>
              <w:ind w:firstLine="0" w:firstLineChars="0"/>
              <w:jc w:val="center"/>
              <w:rPr>
                <w:sz w:val="21"/>
                <w:szCs w:val="21"/>
              </w:rPr>
            </w:pPr>
            <w:r>
              <w:rPr>
                <w:rFonts w:hint="eastAsia"/>
                <w:sz w:val="21"/>
                <w:szCs w:val="21"/>
              </w:rPr>
              <w:t>73</w:t>
            </w:r>
          </w:p>
        </w:tc>
        <w:tc>
          <w:tcPr>
            <w:tcW w:w="530" w:type="pct"/>
            <w:tcBorders>
              <w:tl2br w:val="nil"/>
              <w:tr2bl w:val="nil"/>
            </w:tcBorders>
            <w:vAlign w:val="center"/>
          </w:tcPr>
          <w:p w14:paraId="463082A9">
            <w:pPr>
              <w:autoSpaceDE w:val="0"/>
              <w:autoSpaceDN w:val="0"/>
              <w:adjustRightInd w:val="0"/>
              <w:snapToGrid w:val="0"/>
              <w:spacing w:line="240" w:lineRule="auto"/>
              <w:ind w:firstLine="0" w:firstLineChars="0"/>
              <w:jc w:val="center"/>
              <w:rPr>
                <w:sz w:val="21"/>
                <w:szCs w:val="21"/>
              </w:rPr>
            </w:pPr>
            <w:r>
              <w:rPr>
                <w:rFonts w:hint="eastAsia"/>
                <w:sz w:val="21"/>
                <w:szCs w:val="21"/>
              </w:rPr>
              <w:t>66.4</w:t>
            </w:r>
          </w:p>
        </w:tc>
        <w:tc>
          <w:tcPr>
            <w:tcW w:w="525" w:type="pct"/>
            <w:tcBorders>
              <w:tl2br w:val="nil"/>
              <w:tr2bl w:val="nil"/>
            </w:tcBorders>
            <w:vAlign w:val="center"/>
          </w:tcPr>
          <w:p w14:paraId="4E11667C">
            <w:pPr>
              <w:autoSpaceDE w:val="0"/>
              <w:autoSpaceDN w:val="0"/>
              <w:adjustRightInd w:val="0"/>
              <w:snapToGrid w:val="0"/>
              <w:spacing w:line="240" w:lineRule="auto"/>
              <w:ind w:firstLine="0" w:firstLineChars="0"/>
              <w:jc w:val="center"/>
              <w:rPr>
                <w:sz w:val="21"/>
                <w:szCs w:val="21"/>
              </w:rPr>
            </w:pPr>
            <w:r>
              <w:rPr>
                <w:rFonts w:hint="eastAsia"/>
                <w:sz w:val="21"/>
                <w:szCs w:val="21"/>
              </w:rPr>
              <w:t>62.8</w:t>
            </w:r>
          </w:p>
        </w:tc>
        <w:tc>
          <w:tcPr>
            <w:tcW w:w="530" w:type="pct"/>
            <w:tcBorders>
              <w:tl2br w:val="nil"/>
              <w:tr2bl w:val="nil"/>
            </w:tcBorders>
            <w:vAlign w:val="center"/>
          </w:tcPr>
          <w:p w14:paraId="0C957BC4">
            <w:pPr>
              <w:autoSpaceDE w:val="0"/>
              <w:autoSpaceDN w:val="0"/>
              <w:adjustRightInd w:val="0"/>
              <w:snapToGrid w:val="0"/>
              <w:spacing w:line="240" w:lineRule="auto"/>
              <w:ind w:firstLine="0" w:firstLineChars="0"/>
              <w:jc w:val="center"/>
              <w:rPr>
                <w:sz w:val="21"/>
                <w:szCs w:val="21"/>
              </w:rPr>
            </w:pPr>
            <w:r>
              <w:rPr>
                <w:rFonts w:hint="eastAsia"/>
                <w:sz w:val="21"/>
                <w:szCs w:val="21"/>
              </w:rPr>
              <w:t>60</w:t>
            </w:r>
          </w:p>
        </w:tc>
        <w:tc>
          <w:tcPr>
            <w:tcW w:w="429" w:type="pct"/>
            <w:tcBorders>
              <w:tl2br w:val="nil"/>
              <w:tr2bl w:val="nil"/>
            </w:tcBorders>
            <w:vAlign w:val="center"/>
          </w:tcPr>
          <w:p w14:paraId="5DB9C413">
            <w:pPr>
              <w:autoSpaceDE w:val="0"/>
              <w:autoSpaceDN w:val="0"/>
              <w:adjustRightInd w:val="0"/>
              <w:snapToGrid w:val="0"/>
              <w:spacing w:line="240" w:lineRule="auto"/>
              <w:ind w:firstLine="0" w:firstLineChars="0"/>
              <w:jc w:val="center"/>
              <w:rPr>
                <w:sz w:val="21"/>
                <w:szCs w:val="21"/>
              </w:rPr>
            </w:pPr>
            <w:r>
              <w:rPr>
                <w:rFonts w:hint="eastAsia"/>
                <w:sz w:val="21"/>
                <w:szCs w:val="21"/>
              </w:rPr>
              <w:t>58.2</w:t>
            </w:r>
          </w:p>
        </w:tc>
        <w:tc>
          <w:tcPr>
            <w:tcW w:w="433" w:type="pct"/>
            <w:tcBorders>
              <w:tl2br w:val="nil"/>
              <w:tr2bl w:val="nil"/>
            </w:tcBorders>
            <w:vAlign w:val="center"/>
          </w:tcPr>
          <w:p w14:paraId="3AA3FDBF">
            <w:pPr>
              <w:autoSpaceDE w:val="0"/>
              <w:autoSpaceDN w:val="0"/>
              <w:adjustRightInd w:val="0"/>
              <w:snapToGrid w:val="0"/>
              <w:spacing w:line="240" w:lineRule="auto"/>
              <w:ind w:firstLine="0" w:firstLineChars="0"/>
              <w:jc w:val="center"/>
              <w:rPr>
                <w:sz w:val="21"/>
                <w:szCs w:val="21"/>
              </w:rPr>
            </w:pPr>
            <w:r>
              <w:rPr>
                <w:rFonts w:hint="eastAsia"/>
                <w:sz w:val="21"/>
                <w:szCs w:val="21"/>
              </w:rPr>
              <w:t>52</w:t>
            </w:r>
          </w:p>
        </w:tc>
        <w:tc>
          <w:tcPr>
            <w:tcW w:w="433" w:type="pct"/>
            <w:tcBorders>
              <w:tl2br w:val="nil"/>
              <w:tr2bl w:val="nil"/>
            </w:tcBorders>
            <w:vAlign w:val="center"/>
          </w:tcPr>
          <w:p w14:paraId="404A50FE">
            <w:pPr>
              <w:autoSpaceDE w:val="0"/>
              <w:autoSpaceDN w:val="0"/>
              <w:adjustRightInd w:val="0"/>
              <w:snapToGrid w:val="0"/>
              <w:spacing w:line="240" w:lineRule="auto"/>
              <w:ind w:firstLine="0" w:firstLineChars="0"/>
              <w:jc w:val="center"/>
              <w:rPr>
                <w:sz w:val="21"/>
                <w:szCs w:val="21"/>
              </w:rPr>
            </w:pPr>
            <w:r>
              <w:rPr>
                <w:rFonts w:hint="eastAsia"/>
                <w:sz w:val="21"/>
                <w:szCs w:val="21"/>
              </w:rPr>
              <w:t>48.6</w:t>
            </w:r>
          </w:p>
        </w:tc>
        <w:tc>
          <w:tcPr>
            <w:tcW w:w="435" w:type="pct"/>
            <w:tcBorders>
              <w:tl2br w:val="nil"/>
              <w:tr2bl w:val="nil"/>
            </w:tcBorders>
            <w:vAlign w:val="center"/>
          </w:tcPr>
          <w:p w14:paraId="7E11FA7C">
            <w:pPr>
              <w:autoSpaceDE w:val="0"/>
              <w:autoSpaceDN w:val="0"/>
              <w:adjustRightInd w:val="0"/>
              <w:snapToGrid w:val="0"/>
              <w:spacing w:line="240" w:lineRule="auto"/>
              <w:ind w:firstLine="0" w:firstLineChars="0"/>
              <w:jc w:val="center"/>
              <w:rPr>
                <w:sz w:val="21"/>
                <w:szCs w:val="21"/>
              </w:rPr>
            </w:pPr>
            <w:r>
              <w:rPr>
                <w:rFonts w:hint="eastAsia"/>
                <w:sz w:val="21"/>
                <w:szCs w:val="21"/>
              </w:rPr>
              <w:t>46</w:t>
            </w:r>
          </w:p>
        </w:tc>
      </w:tr>
      <w:tr w14:paraId="0B571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6B9C682B">
            <w:pPr>
              <w:autoSpaceDE w:val="0"/>
              <w:autoSpaceDN w:val="0"/>
              <w:adjustRightInd w:val="0"/>
              <w:snapToGrid w:val="0"/>
              <w:spacing w:line="240" w:lineRule="auto"/>
              <w:ind w:firstLine="0" w:firstLineChars="0"/>
              <w:jc w:val="center"/>
              <w:rPr>
                <w:sz w:val="21"/>
                <w:szCs w:val="21"/>
              </w:rPr>
            </w:pPr>
            <w:r>
              <w:rPr>
                <w:rFonts w:hint="eastAsia"/>
                <w:sz w:val="21"/>
                <w:szCs w:val="21"/>
              </w:rPr>
              <w:t>切割机</w:t>
            </w:r>
          </w:p>
        </w:tc>
        <w:tc>
          <w:tcPr>
            <w:tcW w:w="413" w:type="pct"/>
            <w:tcBorders>
              <w:tl2br w:val="nil"/>
              <w:tr2bl w:val="nil"/>
            </w:tcBorders>
            <w:vAlign w:val="center"/>
          </w:tcPr>
          <w:p w14:paraId="6A55370C">
            <w:pPr>
              <w:autoSpaceDE w:val="0"/>
              <w:autoSpaceDN w:val="0"/>
              <w:adjustRightInd w:val="0"/>
              <w:snapToGrid w:val="0"/>
              <w:spacing w:line="240" w:lineRule="auto"/>
              <w:ind w:firstLine="0" w:firstLineChars="0"/>
              <w:jc w:val="center"/>
              <w:rPr>
                <w:sz w:val="21"/>
                <w:szCs w:val="21"/>
              </w:rPr>
            </w:pPr>
            <w:r>
              <w:rPr>
                <w:rFonts w:hint="eastAsia"/>
                <w:sz w:val="21"/>
                <w:szCs w:val="21"/>
              </w:rPr>
              <w:t>110</w:t>
            </w:r>
          </w:p>
        </w:tc>
        <w:tc>
          <w:tcPr>
            <w:tcW w:w="461" w:type="pct"/>
            <w:tcBorders>
              <w:tl2br w:val="nil"/>
              <w:tr2bl w:val="nil"/>
            </w:tcBorders>
            <w:vAlign w:val="center"/>
          </w:tcPr>
          <w:p w14:paraId="622DCA42">
            <w:pPr>
              <w:autoSpaceDE w:val="0"/>
              <w:autoSpaceDN w:val="0"/>
              <w:adjustRightInd w:val="0"/>
              <w:snapToGrid w:val="0"/>
              <w:spacing w:line="240" w:lineRule="auto"/>
              <w:ind w:firstLine="0" w:firstLineChars="0"/>
              <w:jc w:val="center"/>
              <w:rPr>
                <w:sz w:val="21"/>
                <w:szCs w:val="21"/>
              </w:rPr>
            </w:pPr>
            <w:r>
              <w:rPr>
                <w:rFonts w:hint="eastAsia"/>
                <w:sz w:val="21"/>
                <w:szCs w:val="21"/>
              </w:rPr>
              <w:t>83</w:t>
            </w:r>
          </w:p>
        </w:tc>
        <w:tc>
          <w:tcPr>
            <w:tcW w:w="530" w:type="pct"/>
            <w:tcBorders>
              <w:tl2br w:val="nil"/>
              <w:tr2bl w:val="nil"/>
            </w:tcBorders>
            <w:vAlign w:val="center"/>
          </w:tcPr>
          <w:p w14:paraId="11B52C55">
            <w:pPr>
              <w:autoSpaceDE w:val="0"/>
              <w:autoSpaceDN w:val="0"/>
              <w:adjustRightInd w:val="0"/>
              <w:snapToGrid w:val="0"/>
              <w:spacing w:line="240" w:lineRule="auto"/>
              <w:ind w:firstLine="0" w:firstLineChars="0"/>
              <w:jc w:val="center"/>
              <w:rPr>
                <w:sz w:val="21"/>
                <w:szCs w:val="21"/>
              </w:rPr>
            </w:pPr>
            <w:r>
              <w:rPr>
                <w:rFonts w:hint="eastAsia"/>
                <w:sz w:val="21"/>
                <w:szCs w:val="21"/>
              </w:rPr>
              <w:t>76.4</w:t>
            </w:r>
          </w:p>
        </w:tc>
        <w:tc>
          <w:tcPr>
            <w:tcW w:w="525" w:type="pct"/>
            <w:tcBorders>
              <w:tl2br w:val="nil"/>
              <w:tr2bl w:val="nil"/>
            </w:tcBorders>
            <w:vAlign w:val="center"/>
          </w:tcPr>
          <w:p w14:paraId="6E7270FF">
            <w:pPr>
              <w:autoSpaceDE w:val="0"/>
              <w:autoSpaceDN w:val="0"/>
              <w:adjustRightInd w:val="0"/>
              <w:snapToGrid w:val="0"/>
              <w:spacing w:line="240" w:lineRule="auto"/>
              <w:ind w:firstLine="0" w:firstLineChars="0"/>
              <w:jc w:val="center"/>
              <w:rPr>
                <w:sz w:val="21"/>
                <w:szCs w:val="21"/>
              </w:rPr>
            </w:pPr>
            <w:r>
              <w:rPr>
                <w:rFonts w:hint="eastAsia"/>
                <w:sz w:val="21"/>
                <w:szCs w:val="21"/>
              </w:rPr>
              <w:t>72.8</w:t>
            </w:r>
          </w:p>
        </w:tc>
        <w:tc>
          <w:tcPr>
            <w:tcW w:w="530" w:type="pct"/>
            <w:tcBorders>
              <w:tl2br w:val="nil"/>
              <w:tr2bl w:val="nil"/>
            </w:tcBorders>
            <w:vAlign w:val="center"/>
          </w:tcPr>
          <w:p w14:paraId="3765E8B7">
            <w:pPr>
              <w:autoSpaceDE w:val="0"/>
              <w:autoSpaceDN w:val="0"/>
              <w:adjustRightInd w:val="0"/>
              <w:snapToGrid w:val="0"/>
              <w:spacing w:line="240" w:lineRule="auto"/>
              <w:ind w:firstLine="0" w:firstLineChars="0"/>
              <w:jc w:val="center"/>
              <w:rPr>
                <w:sz w:val="21"/>
                <w:szCs w:val="21"/>
              </w:rPr>
            </w:pPr>
            <w:r>
              <w:rPr>
                <w:rFonts w:hint="eastAsia"/>
                <w:sz w:val="21"/>
                <w:szCs w:val="21"/>
              </w:rPr>
              <w:t>70</w:t>
            </w:r>
          </w:p>
        </w:tc>
        <w:tc>
          <w:tcPr>
            <w:tcW w:w="429" w:type="pct"/>
            <w:tcBorders>
              <w:tl2br w:val="nil"/>
              <w:tr2bl w:val="nil"/>
            </w:tcBorders>
            <w:vAlign w:val="center"/>
          </w:tcPr>
          <w:p w14:paraId="5B9D748B">
            <w:pPr>
              <w:autoSpaceDE w:val="0"/>
              <w:autoSpaceDN w:val="0"/>
              <w:adjustRightInd w:val="0"/>
              <w:snapToGrid w:val="0"/>
              <w:spacing w:line="240" w:lineRule="auto"/>
              <w:ind w:firstLine="0" w:firstLineChars="0"/>
              <w:jc w:val="center"/>
              <w:rPr>
                <w:sz w:val="21"/>
                <w:szCs w:val="21"/>
              </w:rPr>
            </w:pPr>
            <w:r>
              <w:rPr>
                <w:rFonts w:hint="eastAsia"/>
                <w:sz w:val="21"/>
                <w:szCs w:val="21"/>
              </w:rPr>
              <w:t>68.2</w:t>
            </w:r>
          </w:p>
        </w:tc>
        <w:tc>
          <w:tcPr>
            <w:tcW w:w="433" w:type="pct"/>
            <w:tcBorders>
              <w:tl2br w:val="nil"/>
              <w:tr2bl w:val="nil"/>
            </w:tcBorders>
            <w:vAlign w:val="center"/>
          </w:tcPr>
          <w:p w14:paraId="428CDDF3">
            <w:pPr>
              <w:autoSpaceDE w:val="0"/>
              <w:autoSpaceDN w:val="0"/>
              <w:adjustRightInd w:val="0"/>
              <w:snapToGrid w:val="0"/>
              <w:spacing w:line="240" w:lineRule="auto"/>
              <w:ind w:firstLine="0" w:firstLineChars="0"/>
              <w:jc w:val="center"/>
              <w:rPr>
                <w:sz w:val="21"/>
                <w:szCs w:val="21"/>
              </w:rPr>
            </w:pPr>
            <w:r>
              <w:rPr>
                <w:rFonts w:hint="eastAsia"/>
                <w:sz w:val="21"/>
                <w:szCs w:val="21"/>
              </w:rPr>
              <w:t>62</w:t>
            </w:r>
          </w:p>
        </w:tc>
        <w:tc>
          <w:tcPr>
            <w:tcW w:w="433" w:type="pct"/>
            <w:tcBorders>
              <w:tl2br w:val="nil"/>
              <w:tr2bl w:val="nil"/>
            </w:tcBorders>
            <w:vAlign w:val="center"/>
          </w:tcPr>
          <w:p w14:paraId="312B8ADF">
            <w:pPr>
              <w:autoSpaceDE w:val="0"/>
              <w:autoSpaceDN w:val="0"/>
              <w:adjustRightInd w:val="0"/>
              <w:snapToGrid w:val="0"/>
              <w:spacing w:line="240" w:lineRule="auto"/>
              <w:ind w:firstLine="0" w:firstLineChars="0"/>
              <w:jc w:val="center"/>
              <w:rPr>
                <w:sz w:val="21"/>
                <w:szCs w:val="21"/>
              </w:rPr>
            </w:pPr>
            <w:r>
              <w:rPr>
                <w:rFonts w:hint="eastAsia"/>
                <w:sz w:val="21"/>
                <w:szCs w:val="21"/>
              </w:rPr>
              <w:t>58.6</w:t>
            </w:r>
          </w:p>
        </w:tc>
        <w:tc>
          <w:tcPr>
            <w:tcW w:w="435" w:type="pct"/>
            <w:tcBorders>
              <w:tl2br w:val="nil"/>
              <w:tr2bl w:val="nil"/>
            </w:tcBorders>
            <w:vAlign w:val="center"/>
          </w:tcPr>
          <w:p w14:paraId="6E7B4D73">
            <w:pPr>
              <w:autoSpaceDE w:val="0"/>
              <w:autoSpaceDN w:val="0"/>
              <w:adjustRightInd w:val="0"/>
              <w:snapToGrid w:val="0"/>
              <w:spacing w:line="240" w:lineRule="auto"/>
              <w:ind w:firstLine="0" w:firstLineChars="0"/>
              <w:jc w:val="center"/>
              <w:rPr>
                <w:sz w:val="21"/>
                <w:szCs w:val="21"/>
              </w:rPr>
            </w:pPr>
            <w:r>
              <w:rPr>
                <w:rFonts w:hint="eastAsia"/>
                <w:sz w:val="21"/>
                <w:szCs w:val="21"/>
              </w:rPr>
              <w:t>56</w:t>
            </w:r>
          </w:p>
        </w:tc>
      </w:tr>
    </w:tbl>
    <w:p w14:paraId="270F072E">
      <w:pPr>
        <w:ind w:firstLine="480"/>
      </w:pPr>
      <w:r>
        <w:rPr>
          <w:rFonts w:hint="eastAsia"/>
        </w:rPr>
        <w:t>注：按《建筑施工场界环境噪声排放标准》（GB12523-2011）进行评价。</w:t>
      </w:r>
    </w:p>
    <w:p w14:paraId="069338FF">
      <w:pPr>
        <w:ind w:firstLine="480"/>
      </w:pPr>
      <w:r>
        <w:rPr>
          <w:rFonts w:hint="eastAsia"/>
        </w:rPr>
        <w:t>按照《建筑施工场界环境噪声排放标准》（GB12523-2011）的规定，昼间的厂界噪声限值为70dB，夜间厂界噪声限值为55dB。表5.1-2表明：项目施工方阶段厂界昼间施工噪声于声源外约100m处达标，估算夜间于355m处达标；基础施工阶段厂界昼间施工噪声于声源外125m处达标，夜间噪声达标距离估算在210m；主体结构阶段昼间厂界施工噪声于声源外100m处达标，估算夜间于380m处达标；装修阶段施工噪声昼间于声源外40m处达标，夜间于100m处达标。项目施工机械在靠近厂界边施工时，昼夜施工厂界噪声超过《建筑施工厂界环境噪声排放标准》（GB12523-2011）中限值的要求，本项目评价范围内无声环境敏感目标，施工期噪声经衰减后对环境影响甚微。</w:t>
      </w:r>
    </w:p>
    <w:p w14:paraId="58FE3479">
      <w:pPr>
        <w:ind w:firstLine="480"/>
      </w:pPr>
      <w:r>
        <w:rPr>
          <w:rFonts w:hint="eastAsia"/>
        </w:rPr>
        <w:t>根据项目施工期的施工特点，提出如下噪声防治措施：</w:t>
      </w:r>
    </w:p>
    <w:p w14:paraId="2B2FFBBF">
      <w:pPr>
        <w:ind w:firstLine="480"/>
      </w:pPr>
      <w:r>
        <w:rPr>
          <w:rFonts w:hint="eastAsia"/>
        </w:rPr>
        <w:t>（1）施工单位施工过程中尽量避免在靠近厂界处的同一地点安排大量动力机械设备施工，以减缓局部叠加声级过高造成的厂界噪声超标的风险。</w:t>
      </w:r>
    </w:p>
    <w:p w14:paraId="6AD9968A">
      <w:pPr>
        <w:ind w:firstLine="480"/>
      </w:pPr>
      <w:r>
        <w:rPr>
          <w:rFonts w:hint="eastAsia"/>
        </w:rPr>
        <w:t>（2）设备选型上，在不影响施工质量的前提下，在土石方、装修等施工过程应采用低噪声、低振动的设备，对施工设备进行定期维修保养，避免因设备性能减退而使噪声增强的现象发生。</w:t>
      </w:r>
    </w:p>
    <w:p w14:paraId="38712944">
      <w:pPr>
        <w:pStyle w:val="5"/>
      </w:pPr>
      <w:bookmarkStart w:id="150" w:name="_Toc106663497"/>
      <w:r>
        <w:rPr>
          <w:rFonts w:hint="eastAsia"/>
        </w:rPr>
        <w:t>5.1.4施工期固体废物环境影响分析</w:t>
      </w:r>
      <w:bookmarkEnd w:id="150"/>
    </w:p>
    <w:p w14:paraId="6848D65D">
      <w:pPr>
        <w:ind w:firstLine="480"/>
      </w:pPr>
      <w:r>
        <w:rPr>
          <w:rFonts w:hint="eastAsia"/>
        </w:rPr>
        <w:t>由工程分析可知，施工期固体废物主要由施工建筑垃圾和施工人员产生的生活垃圾组成。</w:t>
      </w:r>
    </w:p>
    <w:p w14:paraId="4D54A49F">
      <w:pPr>
        <w:ind w:firstLine="480"/>
      </w:pPr>
      <w:r>
        <w:rPr>
          <w:rFonts w:hint="eastAsia"/>
        </w:rPr>
        <w:t>（1）施工建筑垃圾</w:t>
      </w:r>
    </w:p>
    <w:p w14:paraId="433C44BF">
      <w:pPr>
        <w:ind w:firstLine="480"/>
      </w:pPr>
      <w:r>
        <w:rPr>
          <w:rFonts w:hint="eastAsia"/>
        </w:rPr>
        <w:t>建筑施工中会产生碎砖块、砂浆、桩头、水泥、钢筋、涂料和包装材料等建筑垃圾。建筑废弃物在项目施工开工前应签订环保责任书，由各施工单位负责施工期固体废弃物的处理，施工产生的固体废物中遗留在现场的建筑废物要及时清运或回填，将建筑垃圾运至指定地点。各施工单位要加强施工管理，对施工产生的生活垃圾和建筑垃圾不得随意倾倒。</w:t>
      </w:r>
    </w:p>
    <w:p w14:paraId="7A263D2F">
      <w:pPr>
        <w:ind w:firstLine="480"/>
      </w:pPr>
      <w:r>
        <w:rPr>
          <w:rFonts w:hint="eastAsia"/>
        </w:rPr>
        <w:t>建筑垃圾的影响主要体现在其堆放过程中，在风力作用下，引起垃圾及粉尘随风飘散，对空气造成污染影响。</w:t>
      </w:r>
    </w:p>
    <w:p w14:paraId="28062033">
      <w:pPr>
        <w:ind w:firstLine="480"/>
      </w:pPr>
      <w:r>
        <w:rPr>
          <w:rFonts w:hint="eastAsia"/>
        </w:rPr>
        <w:t>（2）生活垃圾</w:t>
      </w:r>
    </w:p>
    <w:p w14:paraId="0E0DFC34">
      <w:pPr>
        <w:ind w:firstLine="480"/>
      </w:pPr>
      <w:r>
        <w:rPr>
          <w:rFonts w:hint="eastAsia"/>
        </w:rPr>
        <w:t>本项目施工高峰期施工人员及工地管理人员约30人，生活垃圾总排放量为1.35t，产生的少量生活垃圾在施工区定点收集，后统一清运交由木垒县环卫部门统一处理。</w:t>
      </w:r>
    </w:p>
    <w:p w14:paraId="499108CB">
      <w:pPr>
        <w:ind w:firstLine="480"/>
      </w:pPr>
      <w:r>
        <w:rPr>
          <w:rFonts w:hint="eastAsia"/>
        </w:rPr>
        <w:t>施工过程中的生活垃圾，如不及时处理，在气温适宜的条件下则会滋生蚊虫、产生恶臭、传播疾病，对周围环境产生不利影响，必须及时清运，杜绝因乱堆乱放对环境产生的影响。</w:t>
      </w:r>
    </w:p>
    <w:p w14:paraId="5C0B2C89">
      <w:pPr>
        <w:ind w:firstLine="480"/>
      </w:pPr>
      <w:r>
        <w:rPr>
          <w:rFonts w:hint="eastAsia"/>
        </w:rPr>
        <w:t>建筑垃圾若处置不当，会造成大面积占用土地，引起二次扬尘污染，影响景观等，生活垃圾若不合理堆放，及时清运，夏季气温较高，容易孳生蚊蝇和产生恶臭气体和垃圾沥水，会对当地环境卫生和空气质量造成不利影响。</w:t>
      </w:r>
    </w:p>
    <w:p w14:paraId="33B866FA">
      <w:pPr>
        <w:ind w:firstLine="480"/>
      </w:pPr>
      <w:r>
        <w:rPr>
          <w:rFonts w:hint="eastAsia"/>
        </w:rPr>
        <w:t>施工期项目的固体废弃物排放是暂时的，随着施工的结束而减小，通过积极有效的施工管理，施工期固体废弃物对环境造成的影响不大。</w:t>
      </w:r>
    </w:p>
    <w:p w14:paraId="44534B2E">
      <w:pPr>
        <w:ind w:firstLine="480"/>
      </w:pPr>
      <w:r>
        <w:rPr>
          <w:rFonts w:hint="eastAsia"/>
        </w:rPr>
        <w:t>针对项目施工期固体废弃物种类及特点，提出如下防治措施：</w:t>
      </w:r>
    </w:p>
    <w:p w14:paraId="4A77ECB1">
      <w:pPr>
        <w:ind w:firstLine="480"/>
      </w:pPr>
      <w:r>
        <w:rPr>
          <w:rFonts w:hint="eastAsia"/>
        </w:rPr>
        <w:t>（1）临时土石方于施工区就近堆放，采取覆盖围护措施，防止大风和大雨时造成的水土流失。堆放前设置挡土墙，堆放后表土覆盖防尘布，抑制扬尘产生。</w:t>
      </w:r>
    </w:p>
    <w:p w14:paraId="75C018FD">
      <w:pPr>
        <w:ind w:firstLine="480"/>
      </w:pPr>
      <w:r>
        <w:rPr>
          <w:rFonts w:hint="eastAsia"/>
        </w:rPr>
        <w:t>（2）对施工中产生的不能再利用的建筑垃圾，应进行分类收集、分类管理，能够回收利用的尽量回收再利用，以节约资源；对于不能回收利用的要进行收集并于施工区内固定地点集中暂存，施工完成后及时处理，拉运至当地市政部门指定的建筑垃圾填埋场填埋处置或委托处置建筑垃圾的单位及时处置。</w:t>
      </w:r>
    </w:p>
    <w:p w14:paraId="658BA82E">
      <w:pPr>
        <w:ind w:firstLine="480"/>
      </w:pPr>
      <w:r>
        <w:rPr>
          <w:rFonts w:hint="eastAsia"/>
        </w:rPr>
        <w:t>（3）车辆运输建筑垃圾时，须采取覆盖措施，不得沿途漏撒；施工单位应在施工前5日向当地建设局申报工程垃圾处置计划，如实填报建筑垃圾的种类、数量、运输路线及处置方案等事项，并与有关管理部门签订环境卫生责任书。</w:t>
      </w:r>
    </w:p>
    <w:p w14:paraId="39BFD9BB">
      <w:pPr>
        <w:ind w:firstLine="480"/>
      </w:pPr>
      <w:r>
        <w:rPr>
          <w:rFonts w:hint="eastAsia"/>
        </w:rPr>
        <w:t>（4）施工部门应当持当地建设局核发的处置证明，向运输单位办理建筑垃圾托运手续。运输车辆在运输建筑垃圾时应携带处置证明，接收渣土管理部门的检查，运输路线应按渣土管理部门会同公安、交通管理部门规定的线路运输。</w:t>
      </w:r>
    </w:p>
    <w:p w14:paraId="1010BFCA">
      <w:pPr>
        <w:ind w:firstLine="480"/>
      </w:pPr>
      <w:r>
        <w:rPr>
          <w:rFonts w:hint="eastAsia"/>
        </w:rPr>
        <w:t>（5）工程完工后1个月内，应当将施工场地的剩余建筑垃圾处置干净，不得占用道路或其他类型土地来堆放建筑垃圾。</w:t>
      </w:r>
    </w:p>
    <w:p w14:paraId="6D9A6E97">
      <w:pPr>
        <w:ind w:firstLine="480"/>
      </w:pPr>
      <w:r>
        <w:rPr>
          <w:rFonts w:hint="eastAsia"/>
        </w:rPr>
        <w:t>采取以上措施后，施工期固体废物对周围环境影响较小。</w:t>
      </w:r>
    </w:p>
    <w:p w14:paraId="58917843">
      <w:pPr>
        <w:pStyle w:val="5"/>
      </w:pPr>
      <w:bookmarkStart w:id="151" w:name="_Toc106663498"/>
      <w:r>
        <w:rPr>
          <w:rFonts w:hint="eastAsia"/>
        </w:rPr>
        <w:t>5.1.5施工期生态影响分析</w:t>
      </w:r>
      <w:bookmarkEnd w:id="151"/>
    </w:p>
    <w:p w14:paraId="5FBF8146">
      <w:pPr>
        <w:ind w:firstLine="480"/>
      </w:pPr>
      <w:r>
        <w:rPr>
          <w:rFonts w:hint="eastAsia"/>
        </w:rPr>
        <w:t>项目施工期对生态环境的影响主要是场地平整时破坏了项目区原有土壤理化性质和可能产生的水土流失影响。项目建设期对生态的影响主要体现在因施工造成的区域水土流失。</w:t>
      </w:r>
    </w:p>
    <w:p w14:paraId="50CF3997">
      <w:pPr>
        <w:ind w:firstLine="480"/>
      </w:pPr>
      <w:r>
        <w:rPr>
          <w:rFonts w:hint="eastAsia"/>
        </w:rPr>
        <w:t>（1）占地影响</w:t>
      </w:r>
    </w:p>
    <w:p w14:paraId="38E1238F">
      <w:pPr>
        <w:ind w:firstLine="480"/>
      </w:pPr>
      <w:r>
        <w:rPr>
          <w:rFonts w:hint="eastAsia"/>
        </w:rPr>
        <w:t>项目占地均为永久性占地，拟建项目永久占地面积约7.01hm</w:t>
      </w:r>
      <w:r>
        <w:rPr>
          <w:rFonts w:hint="eastAsia"/>
          <w:vertAlign w:val="superscript"/>
        </w:rPr>
        <w:t>2</w:t>
      </w:r>
      <w:r>
        <w:rPr>
          <w:rFonts w:hint="eastAsia"/>
        </w:rPr>
        <w:t>，永久性占地改变了原有土地使用功能，原有植被大部分不复存在。施工作业时的临时占地，由于施工人员及施工机械对地表植被的践踏、碾压等外力因素，破坏了原有土壤结构及性能，降低了土壤效力。严重影响了原有的地表形态、土壤结构和理化性质，在项目结束后也难以恢复原有形态及生产力。车辆行驶也同样对地表土壤结构造成破坏，这种破坏具有暂时性，经过一定时期能够恢复。施工期地表土层遭到不同程度的破坏，植被如不及时恢复，易引起土壤沙化。</w:t>
      </w:r>
    </w:p>
    <w:p w14:paraId="301DE64A">
      <w:pPr>
        <w:ind w:firstLine="480"/>
      </w:pPr>
      <w:r>
        <w:rPr>
          <w:rFonts w:hint="eastAsia"/>
        </w:rPr>
        <w:t>施工方在施工前应先做好施工组织，做出详细的规划，划定施工活动范围，包括材料的堆存范围、人员食宿及运动范围，尽量减少临时占地数量。在施工过程中需加强管理，严禁不按操作规程野蛮施工。施工监理部门和当地环保部门也应紧密合作，进行监督管理。</w:t>
      </w:r>
    </w:p>
    <w:p w14:paraId="06186759">
      <w:pPr>
        <w:ind w:firstLine="480"/>
      </w:pPr>
      <w:r>
        <w:rPr>
          <w:rFonts w:hint="eastAsia"/>
        </w:rPr>
        <w:t>（2）对植被的影响分析</w:t>
      </w:r>
    </w:p>
    <w:p w14:paraId="7141793A">
      <w:pPr>
        <w:ind w:firstLine="480"/>
      </w:pPr>
      <w:r>
        <w:rPr>
          <w:rFonts w:hint="eastAsia"/>
        </w:rPr>
        <w:t>项目的建设将不可避免的破坏、扰动原地形地貌和植被；建设占地对区域植被的破坏是永久性的，这部分植被将永远失去生产能力，从而降低该区域植被覆盖率和生物多样性，造成植被生物量的减少。</w:t>
      </w:r>
    </w:p>
    <w:p w14:paraId="77D4933D">
      <w:pPr>
        <w:ind w:firstLine="480"/>
      </w:pPr>
      <w:r>
        <w:rPr>
          <w:rFonts w:hint="eastAsia"/>
        </w:rPr>
        <w:t>由于施工期将引起原有植被的破坏，受破坏的植被类型为评价区内的常见类型，也无国家重点保护的珍稀濒危植物和野生动物，并且建成后通过对其进行绿化补偿，充分考虑乔、灌、草的比例，从而增加该区域内的物种数量，增强了项目区域内的生物多样性和稳定性，因此相对于整个区域而言，本项目的建设对植物区系、植被类型的影响较小，不会导致区域内现有种类和植被类型的消失灭绝。</w:t>
      </w:r>
    </w:p>
    <w:p w14:paraId="31217E07">
      <w:pPr>
        <w:ind w:firstLine="480"/>
      </w:pPr>
      <w:r>
        <w:rPr>
          <w:rFonts w:hint="eastAsia"/>
        </w:rPr>
        <w:t>（3）对动物的影响分析</w:t>
      </w:r>
    </w:p>
    <w:p w14:paraId="6CEC978D">
      <w:pPr>
        <w:ind w:firstLine="480"/>
      </w:pPr>
      <w:r>
        <w:rPr>
          <w:rFonts w:hint="eastAsia"/>
        </w:rPr>
        <w:t>施工期对陆生动物的直接影响是施工人员集中活动和工程施工过程对动物的惊扰；间接影响主要是项目建设破坏植被和土壤，造成部分陆生动物栖息地的丧失。施工区的主要动物是小型常见鸟类和鼠类、常见的蜥蜴类，且数量不多，具有较强的迁移能力，因此，施工期对这些动物的生存影响较小。</w:t>
      </w:r>
    </w:p>
    <w:p w14:paraId="4B7EE13A">
      <w:pPr>
        <w:ind w:firstLine="480"/>
      </w:pPr>
      <w:r>
        <w:rPr>
          <w:rFonts w:hint="eastAsia"/>
        </w:rPr>
        <w:t>（4）对其他生态环境的影响分析</w:t>
      </w:r>
    </w:p>
    <w:p w14:paraId="5D934237">
      <w:pPr>
        <w:ind w:firstLine="480"/>
      </w:pPr>
      <w:r>
        <w:rPr>
          <w:rFonts w:hint="eastAsia"/>
        </w:rPr>
        <w:t>施工用的砂土若随意堆放和场地平整后未及时绿化，在大风天气将产生风蚀，造成环境空气污染，雨季又会产生水蚀，加重地表水体污染。因此必须采取相应的措施。如：施工砂土在室内堆放或搭建顶棚，大风天气设置围档。场地平整后尽快夯实、硬化，大风天气适量洒水等。</w:t>
      </w:r>
    </w:p>
    <w:p w14:paraId="75601124">
      <w:pPr>
        <w:ind w:firstLine="480"/>
      </w:pPr>
      <w:r>
        <w:rPr>
          <w:rFonts w:hint="eastAsia"/>
        </w:rPr>
        <w:t>（5）对水土流失的影响分析</w:t>
      </w:r>
    </w:p>
    <w:p w14:paraId="017E9821">
      <w:pPr>
        <w:ind w:firstLine="480"/>
      </w:pPr>
      <w:r>
        <w:rPr>
          <w:rFonts w:hint="eastAsia"/>
        </w:rPr>
        <w:t>水土流失将造成一定程度的生态影响，具体表现在：</w:t>
      </w:r>
    </w:p>
    <w:p w14:paraId="709EDBD0">
      <w:pPr>
        <w:ind w:firstLine="480"/>
      </w:pPr>
      <w:r>
        <w:rPr>
          <w:rFonts w:hint="eastAsia"/>
        </w:rPr>
        <w:t>①因施工开挖，将改变原土壤结构和地表物质组成，影响土壤肥力，从而导致土地生产力降低，给区域植被带来一定影响。</w:t>
      </w:r>
    </w:p>
    <w:p w14:paraId="1963B2C0">
      <w:pPr>
        <w:ind w:firstLine="480"/>
      </w:pPr>
      <w:r>
        <w:rPr>
          <w:rFonts w:hint="eastAsia"/>
        </w:rPr>
        <w:t>②施工期运输机械往来，使施工区表层土碾压疏松，大风天将产生扬尘，加剧区域水土流失。</w:t>
      </w:r>
    </w:p>
    <w:p w14:paraId="20CD3C41">
      <w:pPr>
        <w:ind w:firstLine="480"/>
      </w:pPr>
      <w:r>
        <w:rPr>
          <w:rFonts w:hint="eastAsia"/>
        </w:rPr>
        <w:t>③施工时产生大量的临时堆土，虽然堆置为临时堆置，但受大风影响也会产生水土流失。</w:t>
      </w:r>
    </w:p>
    <w:p w14:paraId="7C8D4E8B">
      <w:pPr>
        <w:ind w:firstLine="480"/>
      </w:pPr>
      <w:r>
        <w:rPr>
          <w:rFonts w:hint="eastAsia"/>
        </w:rPr>
        <w:t>④土建工程施工过程中对占地区造成扰动，降低土壤抗侵蚀能力，使施工期间项目部分区域土壤侵蚀强度呈增加趋势。</w:t>
      </w:r>
    </w:p>
    <w:p w14:paraId="540B2EE5">
      <w:pPr>
        <w:ind w:firstLine="480"/>
      </w:pPr>
      <w:r>
        <w:rPr>
          <w:rFonts w:hint="eastAsia"/>
        </w:rPr>
        <w:t>区域土壤侵蚀主要为风蚀，项目建设不可避免地要加重区域水土流失。拟建项目产生的水土流失可以分为三个阶段，第一阶段是在施工准备期，”三通一平”工作产生大量土石方的开挖、运移活动，地表扰动严重，植被几乎完全被破坏，裸露的地表水土保持功能明显减弱，土壤侵蚀强度增强；第二阶段是土建期，工业场地”三通一平”工作完成后，整个地表在绝大部分施工期内处于裸露状态，且有大量土石方和建筑材料临时堆放，再加上土建期排水系统的不完善，地表径流肆意冲刷施工面和堆放的土石料，工业场地内水土流失，如不采取有效的防治措施，将产生严重的水土流失。第三阶段是植被恢复期，地表建筑物等建设完成，土石方清理完毕，地表因大部分被硬化，地表土壤侵蚀强度较建设期有明显下降，但此时仍存在裸露地表，特别是林草植被种刚刚栽植，不能完全覆盖裸露的地表，林草植被措施还不能发挥作用，此时遇侵蚀性降雨等天气仍将不可避免的产生水土流失。运营期因采取绿化补偿等措施，可有效防止水土流失。</w:t>
      </w:r>
    </w:p>
    <w:p w14:paraId="4C12DF88">
      <w:pPr>
        <w:ind w:firstLine="480"/>
      </w:pPr>
      <w:r>
        <w:rPr>
          <w:rFonts w:hint="eastAsia"/>
        </w:rPr>
        <w:t>因此，本项目建设的水土流失危害主要表现在三个方面：一是项目建设破坏部分地表植被，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分项工程区内，如果不注重施工的临时性防护，也会造成当地水土流失的加剧，对当地环境及周边居民的生产生活产生影响。</w:t>
      </w:r>
    </w:p>
    <w:p w14:paraId="0B16442B">
      <w:pPr>
        <w:ind w:firstLine="480"/>
      </w:pPr>
      <w:r>
        <w:rPr>
          <w:rFonts w:hint="eastAsia"/>
        </w:rPr>
        <w:t>为减少施工期的水土流失，建设单位应精心组织，合理安排施工计划，在暴雨季节采取合理的防护措施，并减少雨季时的施工，对土石方挖填等方案进行周密论证，优选出水土流失较少的方案。</w:t>
      </w:r>
    </w:p>
    <w:p w14:paraId="7041DE57">
      <w:pPr>
        <w:ind w:firstLine="480"/>
      </w:pPr>
      <w:r>
        <w:rPr>
          <w:rFonts w:hint="eastAsia"/>
        </w:rPr>
        <w:t>施工期要注意防止水土流失，要尽量做到挖、填方的平衡，减少借方和弃方；施工中所用材料统一堆放管理，设置专门的材料场；加强施工管理，把拟建项目引起的难以避免的植被破坏减少到最低限度，并采取措施，尽力减少土壤侵蚀；控制各种项目的地表剥离，加强项目完成后对破坏植被的恢复。</w:t>
      </w:r>
    </w:p>
    <w:p w14:paraId="29FB9CB4">
      <w:pPr>
        <w:ind w:firstLine="480"/>
      </w:pPr>
      <w:r>
        <w:rPr>
          <w:rFonts w:hint="eastAsia"/>
        </w:rPr>
        <w:t>（6）对景观的影响</w:t>
      </w:r>
    </w:p>
    <w:p w14:paraId="34B76ADA">
      <w:pPr>
        <w:ind w:firstLine="480"/>
      </w:pPr>
      <w:r>
        <w:rPr>
          <w:rFonts w:hint="eastAsia"/>
        </w:rPr>
        <w:t>本项目在施工建筑材料、土石方临时堆放、运输、土方开挖将会对周围景观的不良影响。项目在施工活动中，应注重施工活动与周围景观的协调性与完整性。建筑材料、土石方临时堆放时应整齐堆放，采用防尘布覆盖。项目施工虽然在施工期内存在对自然景观和自然生态的影响，但在运营期采取场内防疫隔离绿化带、防护林植被绿化措施后，可将施工期对景观不利影响减到最低程度。</w:t>
      </w:r>
    </w:p>
    <w:p w14:paraId="7B8AEF47">
      <w:pPr>
        <w:ind w:firstLine="480"/>
      </w:pPr>
      <w:r>
        <w:rPr>
          <w:rFonts w:hint="eastAsia"/>
        </w:rPr>
        <w:t>（7）对自然体系稳定性影响</w:t>
      </w:r>
    </w:p>
    <w:p w14:paraId="1C0A7EF1">
      <w:pPr>
        <w:ind w:firstLine="480"/>
      </w:pPr>
      <w:r>
        <w:rPr>
          <w:rFonts w:hint="eastAsia"/>
        </w:rPr>
        <w:t>项目对自然体系稳定状况的度量从恢复稳定性和阻抗稳定性两个角度来度量。</w:t>
      </w:r>
    </w:p>
    <w:p w14:paraId="59B498AC">
      <w:pPr>
        <w:ind w:firstLine="480"/>
      </w:pPr>
      <w:r>
        <w:rPr>
          <w:rFonts w:hint="eastAsia"/>
        </w:rPr>
        <w:t>对自然体系阻抗稳定性的度量，是通过对植被异质性程度的改变程度来度量的。项目区的土地利用类型主要为农业生态区的人工管理生态系统。从景观生态学角度看，人工管理的生态系统相对自然生态系统的稳定性调控能力不是很强。天然植被对自然系统有着较强的调控的能力，项目区目前人为活动相对较少，天然植被大部分还未被侵扰。因此，项目实施对区域自然体系中模地组分自身的异质化程度将产生一定影响</w:t>
      </w:r>
    </w:p>
    <w:p w14:paraId="0051F660">
      <w:pPr>
        <w:pStyle w:val="4"/>
      </w:pPr>
      <w:bookmarkStart w:id="152" w:name="_Toc89619344"/>
      <w:r>
        <w:rPr>
          <w:rFonts w:hint="eastAsia"/>
        </w:rPr>
        <w:t>5.2运营期环境影响分析</w:t>
      </w:r>
      <w:bookmarkEnd w:id="152"/>
    </w:p>
    <w:p w14:paraId="636565F6">
      <w:pPr>
        <w:pStyle w:val="5"/>
      </w:pPr>
      <w:bookmarkStart w:id="153" w:name="_Toc106663500"/>
      <w:r>
        <w:rPr>
          <w:rFonts w:hint="eastAsia"/>
        </w:rPr>
        <w:t>5.2.1大气环境影响分析与评价</w:t>
      </w:r>
      <w:bookmarkEnd w:id="153"/>
    </w:p>
    <w:p w14:paraId="44058B33">
      <w:pPr>
        <w:spacing w:line="480" w:lineRule="exact"/>
        <w:ind w:firstLine="482"/>
        <w:rPr>
          <w:rFonts w:cs="宋体"/>
          <w:b/>
          <w:bCs/>
          <w:szCs w:val="24"/>
        </w:rPr>
      </w:pPr>
      <w:r>
        <w:rPr>
          <w:rFonts w:hint="eastAsia"/>
          <w:b/>
          <w:bCs/>
          <w:szCs w:val="24"/>
        </w:rPr>
        <w:t>5</w:t>
      </w:r>
      <w:r>
        <w:rPr>
          <w:b/>
          <w:bCs/>
          <w:szCs w:val="24"/>
        </w:rPr>
        <w:t>.2.1.1大气环境影响预测</w:t>
      </w:r>
    </w:p>
    <w:p w14:paraId="23B9FCEB">
      <w:pPr>
        <w:ind w:firstLine="480"/>
        <w:rPr>
          <w:szCs w:val="24"/>
          <w:lang w:bidi="ar"/>
        </w:rPr>
      </w:pPr>
      <w:r>
        <w:rPr>
          <w:rFonts w:hint="eastAsia"/>
          <w:szCs w:val="24"/>
          <w:lang w:bidi="ar"/>
        </w:rPr>
        <w:t>本次评价选择骆驼圈舍、堆肥场无组织排放的NH</w:t>
      </w:r>
      <w:r>
        <w:rPr>
          <w:rFonts w:hint="eastAsia"/>
          <w:szCs w:val="24"/>
          <w:vertAlign w:val="subscript"/>
          <w:lang w:bidi="ar"/>
        </w:rPr>
        <w:t>3</w:t>
      </w:r>
      <w:r>
        <w:rPr>
          <w:rFonts w:hint="eastAsia"/>
          <w:szCs w:val="24"/>
          <w:lang w:bidi="ar"/>
        </w:rPr>
        <w:t>、H</w:t>
      </w:r>
      <w:r>
        <w:rPr>
          <w:rFonts w:hint="eastAsia"/>
          <w:szCs w:val="24"/>
          <w:vertAlign w:val="subscript"/>
          <w:lang w:bidi="ar"/>
        </w:rPr>
        <w:t>2</w:t>
      </w:r>
      <w:r>
        <w:rPr>
          <w:rFonts w:hint="eastAsia"/>
          <w:szCs w:val="24"/>
          <w:lang w:bidi="ar"/>
        </w:rPr>
        <w:t>S，采用《环境影响评价技术导则大气环境》（HJ2.2-2018）附录A推荐模型中估算模型（AERSCREEN）计算项目污染源的最大环境影响，按评价工作分级判据进行分级。</w:t>
      </w:r>
    </w:p>
    <w:p w14:paraId="31289199">
      <w:pPr>
        <w:ind w:firstLine="480"/>
        <w:rPr>
          <w:szCs w:val="24"/>
          <w:lang w:bidi="ar"/>
        </w:rPr>
      </w:pPr>
      <w:r>
        <w:rPr>
          <w:rFonts w:hint="eastAsia"/>
          <w:szCs w:val="24"/>
          <w:lang w:bidi="ar"/>
        </w:rPr>
        <w:t>（1）预测情景及因子</w:t>
      </w:r>
    </w:p>
    <w:p w14:paraId="7C666655">
      <w:pPr>
        <w:ind w:firstLine="480"/>
        <w:rPr>
          <w:szCs w:val="24"/>
          <w:lang w:bidi="ar"/>
        </w:rPr>
      </w:pPr>
      <w:r>
        <w:rPr>
          <w:rFonts w:hint="eastAsia"/>
          <w:szCs w:val="24"/>
          <w:lang w:bidi="ar"/>
        </w:rPr>
        <w:t>根据项目工程分析和排污特点，大气污染物预测因子和预测情景见下表，评价因子和标准见下表。</w:t>
      </w:r>
    </w:p>
    <w:p w14:paraId="7F70BD37">
      <w:pPr>
        <w:tabs>
          <w:tab w:val="left" w:pos="4095"/>
        </w:tabs>
        <w:ind w:firstLine="482"/>
        <w:jc w:val="center"/>
        <w:rPr>
          <w:b/>
          <w:szCs w:val="24"/>
        </w:rPr>
      </w:pPr>
      <w:r>
        <w:rPr>
          <w:b/>
          <w:szCs w:val="24"/>
        </w:rPr>
        <w:t>表5.2-</w:t>
      </w:r>
      <w:r>
        <w:rPr>
          <w:rFonts w:hint="eastAsia"/>
          <w:b/>
          <w:szCs w:val="24"/>
        </w:rPr>
        <w:t>1</w:t>
      </w:r>
      <w:r>
        <w:rPr>
          <w:b/>
          <w:szCs w:val="24"/>
        </w:rPr>
        <w:t>预测情景及因子</w:t>
      </w:r>
    </w:p>
    <w:tbl>
      <w:tblPr>
        <w:tblStyle w:val="39"/>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661"/>
        <w:gridCol w:w="1555"/>
        <w:gridCol w:w="2854"/>
        <w:gridCol w:w="1884"/>
        <w:gridCol w:w="1370"/>
      </w:tblGrid>
      <w:tr w14:paraId="262F6D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97" w:type="pct"/>
            <w:tcBorders>
              <w:tl2br w:val="nil"/>
              <w:tr2bl w:val="nil"/>
            </w:tcBorders>
            <w:vAlign w:val="center"/>
          </w:tcPr>
          <w:p w14:paraId="2317EE61">
            <w:pPr>
              <w:pStyle w:val="115"/>
              <w:rPr>
                <w:rFonts w:ascii="Times New Roman" w:hAnsi="Times New Roman" w:cs="Times New Roman"/>
                <w:szCs w:val="21"/>
              </w:rPr>
            </w:pPr>
            <w:r>
              <w:rPr>
                <w:rFonts w:hint="eastAsia" w:ascii="Times New Roman" w:hAnsi="Times New Roman" w:cs="Times New Roman"/>
                <w:szCs w:val="21"/>
              </w:rPr>
              <w:t>序号</w:t>
            </w:r>
          </w:p>
        </w:tc>
        <w:tc>
          <w:tcPr>
            <w:tcW w:w="934" w:type="pct"/>
            <w:tcBorders>
              <w:tl2br w:val="nil"/>
              <w:tr2bl w:val="nil"/>
            </w:tcBorders>
            <w:vAlign w:val="center"/>
          </w:tcPr>
          <w:p w14:paraId="6820BB67">
            <w:pPr>
              <w:pStyle w:val="115"/>
              <w:rPr>
                <w:rFonts w:ascii="Times New Roman" w:hAnsi="Times New Roman" w:cs="Times New Roman"/>
                <w:szCs w:val="21"/>
              </w:rPr>
            </w:pPr>
            <w:r>
              <w:rPr>
                <w:rFonts w:ascii="Times New Roman" w:hAnsi="Times New Roman" w:cs="Times New Roman"/>
                <w:szCs w:val="21"/>
              </w:rPr>
              <w:t>污染</w:t>
            </w:r>
            <w:r>
              <w:rPr>
                <w:rFonts w:hint="eastAsia" w:ascii="Times New Roman" w:hAnsi="Times New Roman" w:cs="Times New Roman"/>
                <w:szCs w:val="21"/>
              </w:rPr>
              <w:t>源类别</w:t>
            </w:r>
          </w:p>
        </w:tc>
        <w:tc>
          <w:tcPr>
            <w:tcW w:w="1714" w:type="pct"/>
            <w:tcBorders>
              <w:tl2br w:val="nil"/>
              <w:tr2bl w:val="nil"/>
            </w:tcBorders>
            <w:vAlign w:val="center"/>
          </w:tcPr>
          <w:p w14:paraId="4AC25926">
            <w:pPr>
              <w:pStyle w:val="115"/>
              <w:rPr>
                <w:rFonts w:ascii="Times New Roman" w:hAnsi="Times New Roman" w:cs="Times New Roman"/>
                <w:szCs w:val="21"/>
              </w:rPr>
            </w:pPr>
            <w:r>
              <w:rPr>
                <w:rFonts w:hint="eastAsia" w:ascii="Times New Roman" w:hAnsi="Times New Roman" w:cs="Times New Roman"/>
                <w:szCs w:val="21"/>
              </w:rPr>
              <w:t>预测因子</w:t>
            </w:r>
          </w:p>
        </w:tc>
        <w:tc>
          <w:tcPr>
            <w:tcW w:w="1131" w:type="pct"/>
            <w:tcBorders>
              <w:tl2br w:val="nil"/>
              <w:tr2bl w:val="nil"/>
            </w:tcBorders>
            <w:vAlign w:val="center"/>
          </w:tcPr>
          <w:p w14:paraId="1CE2F4E0">
            <w:pPr>
              <w:pStyle w:val="115"/>
              <w:rPr>
                <w:rFonts w:ascii="Times New Roman" w:hAnsi="Times New Roman" w:cs="Times New Roman"/>
                <w:szCs w:val="21"/>
                <w:lang w:val="en-US"/>
              </w:rPr>
            </w:pPr>
            <w:r>
              <w:rPr>
                <w:rFonts w:hint="eastAsia" w:ascii="Times New Roman" w:hAnsi="Times New Roman" w:cs="Times New Roman"/>
                <w:szCs w:val="21"/>
                <w:lang w:val="en-US"/>
              </w:rPr>
              <w:t>计算点</w:t>
            </w:r>
          </w:p>
        </w:tc>
        <w:tc>
          <w:tcPr>
            <w:tcW w:w="822" w:type="pct"/>
            <w:tcBorders>
              <w:tl2br w:val="nil"/>
              <w:tr2bl w:val="nil"/>
            </w:tcBorders>
            <w:vAlign w:val="center"/>
          </w:tcPr>
          <w:p w14:paraId="49D908B2">
            <w:pPr>
              <w:pStyle w:val="115"/>
              <w:rPr>
                <w:rFonts w:ascii="Times New Roman" w:hAnsi="Times New Roman" w:cs="Times New Roman"/>
                <w:szCs w:val="21"/>
              </w:rPr>
            </w:pPr>
            <w:r>
              <w:rPr>
                <w:rFonts w:hint="eastAsia" w:ascii="Times New Roman" w:hAnsi="Times New Roman" w:cs="Times New Roman"/>
                <w:szCs w:val="21"/>
              </w:rPr>
              <w:t>常规预测内容</w:t>
            </w:r>
          </w:p>
        </w:tc>
      </w:tr>
      <w:tr w14:paraId="4C9CA1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97" w:type="pct"/>
            <w:tcBorders>
              <w:tl2br w:val="nil"/>
              <w:tr2bl w:val="nil"/>
            </w:tcBorders>
            <w:vAlign w:val="center"/>
          </w:tcPr>
          <w:p w14:paraId="04981D93">
            <w:pPr>
              <w:pStyle w:val="115"/>
              <w:rPr>
                <w:rFonts w:ascii="Times New Roman" w:hAnsi="Times New Roman" w:cs="Times New Roman"/>
                <w:position w:val="2"/>
                <w:szCs w:val="21"/>
                <w:lang w:val="en-US"/>
              </w:rPr>
            </w:pPr>
            <w:r>
              <w:rPr>
                <w:rFonts w:hint="eastAsia" w:ascii="Times New Roman" w:hAnsi="Times New Roman" w:cs="Times New Roman"/>
                <w:position w:val="2"/>
                <w:szCs w:val="21"/>
                <w:lang w:val="en-US"/>
              </w:rPr>
              <w:t>1</w:t>
            </w:r>
          </w:p>
        </w:tc>
        <w:tc>
          <w:tcPr>
            <w:tcW w:w="934" w:type="pct"/>
            <w:tcBorders>
              <w:tl2br w:val="nil"/>
              <w:tr2bl w:val="nil"/>
            </w:tcBorders>
            <w:vAlign w:val="center"/>
          </w:tcPr>
          <w:p w14:paraId="5AB33E08">
            <w:pPr>
              <w:pStyle w:val="115"/>
              <w:rPr>
                <w:rFonts w:ascii="Times New Roman" w:hAnsi="Times New Roman" w:cs="Times New Roman"/>
                <w:szCs w:val="21"/>
                <w:lang w:val="en-US"/>
              </w:rPr>
            </w:pPr>
            <w:r>
              <w:rPr>
                <w:rFonts w:hint="eastAsia" w:ascii="Times New Roman" w:hAnsi="Times New Roman" w:cs="Times New Roman"/>
                <w:szCs w:val="21"/>
                <w:lang w:val="en-US"/>
              </w:rPr>
              <w:t>厂区</w:t>
            </w:r>
          </w:p>
        </w:tc>
        <w:tc>
          <w:tcPr>
            <w:tcW w:w="1714" w:type="pct"/>
            <w:tcBorders>
              <w:tl2br w:val="nil"/>
              <w:tr2bl w:val="nil"/>
            </w:tcBorders>
            <w:vAlign w:val="center"/>
          </w:tcPr>
          <w:p w14:paraId="295FAA80">
            <w:pPr>
              <w:pStyle w:val="115"/>
              <w:rPr>
                <w:rFonts w:ascii="Times New Roman" w:hAnsi="Times New Roman" w:cs="Times New Roman"/>
                <w:szCs w:val="21"/>
                <w:lang w:val="en-US"/>
              </w:rPr>
            </w:pPr>
            <w:r>
              <w:rPr>
                <w:rFonts w:ascii="Times New Roman" w:hAnsi="Times New Roman" w:cs="Times New Roman"/>
                <w:position w:val="2"/>
                <w:szCs w:val="21"/>
              </w:rPr>
              <w:t>H</w:t>
            </w:r>
            <w:r>
              <w:rPr>
                <w:rFonts w:ascii="Times New Roman" w:hAnsi="Times New Roman" w:cs="Times New Roman"/>
                <w:szCs w:val="21"/>
                <w:vertAlign w:val="subscript"/>
              </w:rPr>
              <w:t>2</w:t>
            </w:r>
            <w:r>
              <w:rPr>
                <w:rFonts w:ascii="Times New Roman" w:hAnsi="Times New Roman" w:cs="Times New Roman"/>
                <w:position w:val="2"/>
                <w:szCs w:val="21"/>
              </w:rPr>
              <w:t>S</w:t>
            </w:r>
            <w:r>
              <w:rPr>
                <w:rFonts w:hint="eastAsia" w:ascii="Times New Roman" w:hAnsi="Times New Roman" w:cs="Times New Roman"/>
                <w:position w:val="2"/>
                <w:szCs w:val="21"/>
              </w:rPr>
              <w:t>、</w:t>
            </w:r>
            <w:r>
              <w:rPr>
                <w:rFonts w:ascii="Times New Roman" w:hAnsi="Times New Roman" w:cs="Times New Roman"/>
                <w:position w:val="2"/>
                <w:szCs w:val="21"/>
              </w:rPr>
              <w:t>NH</w:t>
            </w:r>
            <w:r>
              <w:rPr>
                <w:rFonts w:ascii="Times New Roman" w:hAnsi="Times New Roman" w:cs="Times New Roman"/>
                <w:szCs w:val="21"/>
                <w:vertAlign w:val="subscript"/>
              </w:rPr>
              <w:t>3</w:t>
            </w:r>
          </w:p>
        </w:tc>
        <w:tc>
          <w:tcPr>
            <w:tcW w:w="1131" w:type="pct"/>
            <w:tcBorders>
              <w:tl2br w:val="nil"/>
              <w:tr2bl w:val="nil"/>
            </w:tcBorders>
            <w:vAlign w:val="center"/>
          </w:tcPr>
          <w:p w14:paraId="561CB210">
            <w:pPr>
              <w:pStyle w:val="115"/>
              <w:rPr>
                <w:rFonts w:ascii="Times New Roman" w:hAnsi="Times New Roman" w:cs="Times New Roman"/>
                <w:szCs w:val="21"/>
                <w:lang w:val="en-US"/>
              </w:rPr>
            </w:pPr>
            <w:r>
              <w:rPr>
                <w:rFonts w:ascii="Times New Roman" w:hAnsi="Times New Roman" w:cs="Times New Roman"/>
                <w:szCs w:val="21"/>
                <w:lang w:val="en-US"/>
              </w:rPr>
              <w:t>区域最大地面浓度点</w:t>
            </w:r>
          </w:p>
        </w:tc>
        <w:tc>
          <w:tcPr>
            <w:tcW w:w="822" w:type="pct"/>
            <w:tcBorders>
              <w:tl2br w:val="nil"/>
              <w:tr2bl w:val="nil"/>
            </w:tcBorders>
            <w:vAlign w:val="center"/>
          </w:tcPr>
          <w:p w14:paraId="25E7E72E">
            <w:pPr>
              <w:pStyle w:val="115"/>
              <w:rPr>
                <w:rFonts w:ascii="Times New Roman" w:hAnsi="Times New Roman" w:cs="Times New Roman"/>
                <w:szCs w:val="21"/>
                <w:lang w:val="en-US"/>
              </w:rPr>
            </w:pPr>
            <w:r>
              <w:rPr>
                <w:rFonts w:ascii="Times New Roman" w:hAnsi="Times New Roman" w:cs="Times New Roman"/>
                <w:szCs w:val="21"/>
                <w:lang w:val="en-US"/>
              </w:rPr>
              <w:t>小时浓度</w:t>
            </w:r>
          </w:p>
        </w:tc>
      </w:tr>
    </w:tbl>
    <w:p w14:paraId="2FF0A59B">
      <w:pPr>
        <w:spacing w:line="480" w:lineRule="exact"/>
        <w:ind w:firstLine="480"/>
        <w:rPr>
          <w:rFonts w:cs="宋体"/>
          <w:szCs w:val="24"/>
        </w:rPr>
      </w:pPr>
      <w:r>
        <w:rPr>
          <w:rFonts w:cs="宋体"/>
          <w:szCs w:val="24"/>
        </w:rPr>
        <w:t>2、大气环境影响估算</w:t>
      </w:r>
    </w:p>
    <w:p w14:paraId="3E0DED2C">
      <w:pPr>
        <w:spacing w:line="480" w:lineRule="exact"/>
        <w:ind w:firstLine="480"/>
        <w:rPr>
          <w:rFonts w:cs="宋体"/>
          <w:szCs w:val="24"/>
        </w:rPr>
      </w:pPr>
      <w:r>
        <w:rPr>
          <w:rFonts w:hint="eastAsia" w:cs="宋体"/>
          <w:szCs w:val="24"/>
        </w:rPr>
        <w:t>（</w:t>
      </w:r>
      <w:r>
        <w:rPr>
          <w:szCs w:val="24"/>
        </w:rPr>
        <w:t>1</w:t>
      </w:r>
      <w:r>
        <w:rPr>
          <w:rFonts w:hint="eastAsia" w:cs="宋体"/>
          <w:szCs w:val="24"/>
        </w:rPr>
        <w:t>）</w:t>
      </w:r>
      <w:r>
        <w:rPr>
          <w:rFonts w:cs="宋体"/>
          <w:szCs w:val="24"/>
        </w:rPr>
        <w:t>估算模型选取</w:t>
      </w:r>
    </w:p>
    <w:p w14:paraId="37507DDD">
      <w:pPr>
        <w:spacing w:line="480" w:lineRule="exact"/>
        <w:ind w:firstLine="480"/>
        <w:rPr>
          <w:rFonts w:cs="宋体"/>
          <w:szCs w:val="24"/>
        </w:rPr>
      </w:pPr>
      <w:r>
        <w:rPr>
          <w:rFonts w:cs="宋体"/>
          <w:szCs w:val="24"/>
        </w:rPr>
        <w:t>为了解本项目废气对周边环境的影响，本此评价根据《环境影响评价技术导则大气环境》</w:t>
      </w:r>
      <w:r>
        <w:rPr>
          <w:rFonts w:hint="eastAsia" w:cs="宋体"/>
          <w:szCs w:val="24"/>
        </w:rPr>
        <w:t>（</w:t>
      </w:r>
      <w:r>
        <w:rPr>
          <w:szCs w:val="24"/>
        </w:rPr>
        <w:t>HJ2.2-2018</w:t>
      </w:r>
      <w:r>
        <w:rPr>
          <w:rFonts w:hint="eastAsia" w:cs="宋体"/>
          <w:szCs w:val="24"/>
        </w:rPr>
        <w:t>）</w:t>
      </w:r>
      <w:r>
        <w:rPr>
          <w:rFonts w:cs="宋体"/>
          <w:szCs w:val="24"/>
        </w:rPr>
        <w:t>，采用估算模式</w:t>
      </w:r>
      <w:r>
        <w:rPr>
          <w:rFonts w:hint="eastAsia" w:cs="宋体"/>
          <w:szCs w:val="24"/>
        </w:rPr>
        <w:t>（</w:t>
      </w:r>
      <w:r>
        <w:rPr>
          <w:szCs w:val="24"/>
        </w:rPr>
        <w:t>AERSCREEN</w:t>
      </w:r>
      <w:r>
        <w:rPr>
          <w:rFonts w:hint="eastAsia" w:cs="宋体"/>
          <w:szCs w:val="24"/>
        </w:rPr>
        <w:t>）</w:t>
      </w:r>
      <w:r>
        <w:rPr>
          <w:rFonts w:cs="宋体"/>
          <w:szCs w:val="24"/>
        </w:rPr>
        <w:t>对项目排放的废气进行预测分析</w:t>
      </w:r>
      <w:r>
        <w:rPr>
          <w:rFonts w:hint="eastAsia" w:cs="宋体"/>
          <w:szCs w:val="24"/>
        </w:rPr>
        <w:t>。</w:t>
      </w:r>
      <w:r>
        <w:rPr>
          <w:rFonts w:cs="宋体"/>
          <w:szCs w:val="24"/>
        </w:rPr>
        <w:t>结合本项目特点，本评价选取</w:t>
      </w:r>
      <w:r>
        <w:rPr>
          <w:szCs w:val="24"/>
        </w:rPr>
        <w:t>NH</w:t>
      </w:r>
      <w:r>
        <w:rPr>
          <w:szCs w:val="15"/>
          <w:vertAlign w:val="subscript"/>
        </w:rPr>
        <w:t>3</w:t>
      </w:r>
      <w:r>
        <w:rPr>
          <w:rFonts w:cs="宋体"/>
          <w:szCs w:val="24"/>
        </w:rPr>
        <w:t>、</w:t>
      </w:r>
      <w:r>
        <w:rPr>
          <w:szCs w:val="24"/>
        </w:rPr>
        <w:t>H</w:t>
      </w:r>
      <w:r>
        <w:rPr>
          <w:szCs w:val="15"/>
          <w:vertAlign w:val="subscript"/>
        </w:rPr>
        <w:t>2</w:t>
      </w:r>
      <w:r>
        <w:rPr>
          <w:szCs w:val="24"/>
        </w:rPr>
        <w:t>S</w:t>
      </w:r>
      <w:r>
        <w:rPr>
          <w:rFonts w:cs="宋体"/>
          <w:szCs w:val="24"/>
        </w:rPr>
        <w:t>作为预测估算因子</w:t>
      </w:r>
      <w:r>
        <w:rPr>
          <w:rFonts w:hint="eastAsia" w:cs="宋体"/>
          <w:szCs w:val="24"/>
        </w:rPr>
        <w:t>。</w:t>
      </w:r>
    </w:p>
    <w:p w14:paraId="25F948B3">
      <w:pPr>
        <w:spacing w:line="480" w:lineRule="exact"/>
        <w:ind w:firstLine="480"/>
        <w:rPr>
          <w:rFonts w:cs="宋体"/>
          <w:szCs w:val="24"/>
        </w:rPr>
      </w:pPr>
      <w:r>
        <w:rPr>
          <w:rFonts w:hint="eastAsia" w:cs="宋体"/>
          <w:szCs w:val="24"/>
        </w:rPr>
        <w:t>（</w:t>
      </w:r>
      <w:r>
        <w:rPr>
          <w:szCs w:val="24"/>
        </w:rPr>
        <w:t>2</w:t>
      </w:r>
      <w:r>
        <w:rPr>
          <w:rFonts w:hint="eastAsia" w:cs="宋体"/>
          <w:szCs w:val="24"/>
        </w:rPr>
        <w:t>）</w:t>
      </w:r>
      <w:r>
        <w:rPr>
          <w:rFonts w:cs="宋体"/>
          <w:szCs w:val="24"/>
        </w:rPr>
        <w:t>评价标准</w:t>
      </w:r>
    </w:p>
    <w:p w14:paraId="6766C474">
      <w:pPr>
        <w:spacing w:line="480" w:lineRule="exact"/>
        <w:ind w:firstLine="480"/>
        <w:rPr>
          <w:rFonts w:cs="宋体"/>
          <w:szCs w:val="24"/>
        </w:rPr>
      </w:pPr>
      <w:r>
        <w:rPr>
          <w:rFonts w:cs="宋体"/>
          <w:szCs w:val="24"/>
        </w:rPr>
        <w:t>项目评价因子和和评价标准详见表</w:t>
      </w:r>
      <w:r>
        <w:rPr>
          <w:rFonts w:hint="eastAsia"/>
          <w:szCs w:val="24"/>
        </w:rPr>
        <w:t>5</w:t>
      </w:r>
      <w:r>
        <w:rPr>
          <w:szCs w:val="24"/>
        </w:rPr>
        <w:t>.2-2</w:t>
      </w:r>
      <w:r>
        <w:rPr>
          <w:rFonts w:hint="eastAsia" w:cs="宋体"/>
          <w:szCs w:val="24"/>
        </w:rPr>
        <w:t>。</w:t>
      </w:r>
    </w:p>
    <w:p w14:paraId="6C8B96A4">
      <w:pPr>
        <w:spacing w:line="480" w:lineRule="exact"/>
        <w:ind w:firstLine="0" w:firstLineChars="0"/>
        <w:jc w:val="center"/>
        <w:rPr>
          <w:rFonts w:cs="黑体"/>
          <w:b/>
          <w:bCs/>
          <w:szCs w:val="21"/>
        </w:rPr>
      </w:pPr>
      <w:r>
        <w:rPr>
          <w:rFonts w:cs="黑体"/>
          <w:b/>
          <w:bCs/>
          <w:szCs w:val="21"/>
        </w:rPr>
        <w:t>表</w:t>
      </w:r>
      <w:r>
        <w:rPr>
          <w:rFonts w:hint="eastAsia"/>
          <w:b/>
          <w:bCs/>
          <w:szCs w:val="21"/>
        </w:rPr>
        <w:t>5</w:t>
      </w:r>
      <w:r>
        <w:rPr>
          <w:b/>
          <w:bCs/>
          <w:szCs w:val="21"/>
        </w:rPr>
        <w:t>.2-2</w:t>
      </w:r>
      <w:r>
        <w:rPr>
          <w:rFonts w:cs="黑体"/>
          <w:b/>
          <w:bCs/>
          <w:szCs w:val="21"/>
        </w:rPr>
        <w:t>评价因子和评价标准一览表</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67"/>
        <w:gridCol w:w="1533"/>
        <w:gridCol w:w="1813"/>
        <w:gridCol w:w="3597"/>
      </w:tblGrid>
      <w:tr w14:paraId="0D007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822" w:type="pct"/>
            <w:vAlign w:val="center"/>
          </w:tcPr>
          <w:p w14:paraId="421EFF20">
            <w:pPr>
              <w:spacing w:line="360" w:lineRule="exact"/>
              <w:ind w:firstLine="0" w:firstLineChars="0"/>
              <w:jc w:val="center"/>
              <w:rPr>
                <w:rFonts w:cs="宋体"/>
                <w:sz w:val="21"/>
                <w:szCs w:val="21"/>
              </w:rPr>
            </w:pPr>
            <w:r>
              <w:rPr>
                <w:rFonts w:cs="宋体"/>
                <w:sz w:val="21"/>
                <w:szCs w:val="21"/>
              </w:rPr>
              <w:t>评价因子</w:t>
            </w:r>
          </w:p>
        </w:tc>
        <w:tc>
          <w:tcPr>
            <w:tcW w:w="922" w:type="pct"/>
            <w:vAlign w:val="center"/>
          </w:tcPr>
          <w:p w14:paraId="3A2E37AE">
            <w:pPr>
              <w:spacing w:line="360" w:lineRule="exact"/>
              <w:ind w:firstLine="0" w:firstLineChars="0"/>
              <w:jc w:val="center"/>
              <w:rPr>
                <w:rFonts w:cs="宋体"/>
                <w:sz w:val="21"/>
                <w:szCs w:val="21"/>
              </w:rPr>
            </w:pPr>
            <w:r>
              <w:rPr>
                <w:rFonts w:cs="宋体"/>
                <w:sz w:val="21"/>
                <w:szCs w:val="21"/>
              </w:rPr>
              <w:t>评价时段</w:t>
            </w:r>
          </w:p>
        </w:tc>
        <w:tc>
          <w:tcPr>
            <w:tcW w:w="1090" w:type="pct"/>
            <w:vAlign w:val="center"/>
          </w:tcPr>
          <w:p w14:paraId="1A1AEBE0">
            <w:pPr>
              <w:spacing w:line="360" w:lineRule="exact"/>
              <w:ind w:firstLine="0" w:firstLineChars="0"/>
              <w:jc w:val="center"/>
              <w:rPr>
                <w:rFonts w:cs="宋体"/>
                <w:sz w:val="21"/>
                <w:szCs w:val="21"/>
              </w:rPr>
            </w:pPr>
            <w:r>
              <w:rPr>
                <w:rFonts w:cs="宋体"/>
                <w:sz w:val="21"/>
                <w:szCs w:val="21"/>
              </w:rPr>
              <w:t>标准值</w:t>
            </w:r>
            <w:r>
              <w:rPr>
                <w:rFonts w:hint="eastAsia" w:cs="宋体"/>
                <w:sz w:val="21"/>
                <w:szCs w:val="21"/>
              </w:rPr>
              <w:t>（</w:t>
            </w:r>
            <w:r>
              <w:rPr>
                <w:sz w:val="21"/>
                <w:szCs w:val="21"/>
              </w:rPr>
              <w:t>μg/m</w:t>
            </w:r>
            <w:r>
              <w:rPr>
                <w:sz w:val="21"/>
                <w:szCs w:val="14"/>
                <w:vertAlign w:val="superscript"/>
              </w:rPr>
              <w:t>3</w:t>
            </w:r>
            <w:r>
              <w:rPr>
                <w:rFonts w:hint="eastAsia" w:cs="宋体"/>
                <w:sz w:val="21"/>
                <w:szCs w:val="21"/>
              </w:rPr>
              <w:t>）</w:t>
            </w:r>
          </w:p>
        </w:tc>
        <w:tc>
          <w:tcPr>
            <w:tcW w:w="2163" w:type="pct"/>
            <w:vAlign w:val="center"/>
          </w:tcPr>
          <w:p w14:paraId="15D7A5CD">
            <w:pPr>
              <w:spacing w:line="360" w:lineRule="exact"/>
              <w:ind w:firstLine="0" w:firstLineChars="0"/>
              <w:jc w:val="center"/>
              <w:rPr>
                <w:rFonts w:cs="宋体"/>
                <w:sz w:val="21"/>
                <w:szCs w:val="21"/>
              </w:rPr>
            </w:pPr>
            <w:r>
              <w:rPr>
                <w:rFonts w:cs="宋体"/>
                <w:sz w:val="21"/>
                <w:szCs w:val="21"/>
              </w:rPr>
              <w:t>标准来源</w:t>
            </w:r>
          </w:p>
        </w:tc>
      </w:tr>
      <w:tr w14:paraId="26C87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22" w:type="pct"/>
            <w:vAlign w:val="center"/>
          </w:tcPr>
          <w:p w14:paraId="64E8E631">
            <w:pPr>
              <w:spacing w:line="360" w:lineRule="exact"/>
              <w:ind w:firstLine="0" w:firstLineChars="0"/>
              <w:jc w:val="center"/>
              <w:rPr>
                <w:sz w:val="21"/>
                <w:szCs w:val="14"/>
              </w:rPr>
            </w:pPr>
            <w:r>
              <w:rPr>
                <w:sz w:val="21"/>
                <w:szCs w:val="21"/>
              </w:rPr>
              <w:t>NH</w:t>
            </w:r>
            <w:r>
              <w:rPr>
                <w:sz w:val="21"/>
                <w:szCs w:val="14"/>
                <w:vertAlign w:val="superscript"/>
              </w:rPr>
              <w:t>3</w:t>
            </w:r>
          </w:p>
        </w:tc>
        <w:tc>
          <w:tcPr>
            <w:tcW w:w="922" w:type="pct"/>
            <w:vAlign w:val="center"/>
          </w:tcPr>
          <w:p w14:paraId="55D3E421">
            <w:pPr>
              <w:spacing w:line="360" w:lineRule="exact"/>
              <w:ind w:firstLine="0" w:firstLineChars="0"/>
              <w:jc w:val="center"/>
              <w:rPr>
                <w:rFonts w:cs="宋体"/>
                <w:sz w:val="21"/>
                <w:szCs w:val="21"/>
              </w:rPr>
            </w:pPr>
            <w:r>
              <w:rPr>
                <w:sz w:val="21"/>
                <w:szCs w:val="21"/>
              </w:rPr>
              <w:t>1</w:t>
            </w:r>
            <w:r>
              <w:rPr>
                <w:rFonts w:cs="宋体"/>
                <w:sz w:val="21"/>
                <w:szCs w:val="21"/>
              </w:rPr>
              <w:t>小时</w:t>
            </w:r>
          </w:p>
        </w:tc>
        <w:tc>
          <w:tcPr>
            <w:tcW w:w="1090" w:type="pct"/>
            <w:vAlign w:val="center"/>
          </w:tcPr>
          <w:p w14:paraId="3CE3A945">
            <w:pPr>
              <w:spacing w:line="360" w:lineRule="exact"/>
              <w:ind w:firstLine="0" w:firstLineChars="0"/>
              <w:jc w:val="center"/>
              <w:rPr>
                <w:sz w:val="21"/>
                <w:szCs w:val="21"/>
              </w:rPr>
            </w:pPr>
            <w:r>
              <w:rPr>
                <w:sz w:val="21"/>
                <w:szCs w:val="21"/>
              </w:rPr>
              <w:t>200</w:t>
            </w:r>
          </w:p>
        </w:tc>
        <w:tc>
          <w:tcPr>
            <w:tcW w:w="2163" w:type="pct"/>
            <w:vMerge w:val="restart"/>
            <w:tcBorders>
              <w:bottom w:val="nil"/>
            </w:tcBorders>
            <w:vAlign w:val="center"/>
          </w:tcPr>
          <w:p w14:paraId="04E18965">
            <w:pPr>
              <w:spacing w:line="360" w:lineRule="exact"/>
              <w:ind w:firstLine="0" w:firstLineChars="0"/>
              <w:jc w:val="center"/>
              <w:rPr>
                <w:rFonts w:cs="宋体"/>
                <w:sz w:val="21"/>
                <w:szCs w:val="21"/>
              </w:rPr>
            </w:pPr>
            <w:r>
              <w:rPr>
                <w:rFonts w:cs="宋体"/>
                <w:sz w:val="21"/>
                <w:szCs w:val="21"/>
              </w:rPr>
              <w:t>《环境影响评价技术导则大气环境》</w:t>
            </w:r>
            <w:r>
              <w:rPr>
                <w:rFonts w:hint="eastAsia" w:cs="宋体"/>
                <w:sz w:val="21"/>
                <w:szCs w:val="21"/>
              </w:rPr>
              <w:t>（</w:t>
            </w:r>
            <w:r>
              <w:rPr>
                <w:sz w:val="21"/>
                <w:szCs w:val="21"/>
              </w:rPr>
              <w:t>0HJ2.2-2018</w:t>
            </w:r>
            <w:r>
              <w:rPr>
                <w:rFonts w:hint="eastAsia" w:cs="宋体"/>
                <w:sz w:val="21"/>
                <w:szCs w:val="21"/>
              </w:rPr>
              <w:t>）</w:t>
            </w:r>
            <w:r>
              <w:rPr>
                <w:rFonts w:cs="宋体"/>
                <w:sz w:val="21"/>
                <w:szCs w:val="21"/>
              </w:rPr>
              <w:t>附录</w:t>
            </w:r>
            <w:r>
              <w:rPr>
                <w:sz w:val="21"/>
                <w:szCs w:val="21"/>
              </w:rPr>
              <w:t>D</w:t>
            </w:r>
            <w:r>
              <w:rPr>
                <w:rFonts w:cs="宋体"/>
                <w:sz w:val="21"/>
                <w:szCs w:val="21"/>
              </w:rPr>
              <w:t>浓度限</w:t>
            </w:r>
          </w:p>
          <w:p w14:paraId="5B60AC8D">
            <w:pPr>
              <w:spacing w:line="360" w:lineRule="exact"/>
              <w:ind w:firstLine="0" w:firstLineChars="0"/>
              <w:jc w:val="center"/>
              <w:rPr>
                <w:rFonts w:cs="宋体"/>
                <w:sz w:val="21"/>
                <w:szCs w:val="21"/>
              </w:rPr>
            </w:pPr>
            <w:r>
              <w:rPr>
                <w:rFonts w:cs="宋体"/>
                <w:sz w:val="21"/>
                <w:szCs w:val="21"/>
              </w:rPr>
              <w:t>值</w:t>
            </w:r>
          </w:p>
        </w:tc>
      </w:tr>
      <w:tr w14:paraId="027D2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822" w:type="pct"/>
            <w:vAlign w:val="center"/>
          </w:tcPr>
          <w:p w14:paraId="73221744">
            <w:pPr>
              <w:spacing w:line="360" w:lineRule="exact"/>
              <w:ind w:firstLine="0" w:firstLineChars="0"/>
              <w:jc w:val="center"/>
              <w:rPr>
                <w:sz w:val="21"/>
                <w:szCs w:val="21"/>
              </w:rPr>
            </w:pPr>
            <w:r>
              <w:rPr>
                <w:sz w:val="21"/>
                <w:szCs w:val="21"/>
              </w:rPr>
              <w:t>H</w:t>
            </w:r>
            <w:r>
              <w:rPr>
                <w:sz w:val="21"/>
                <w:szCs w:val="14"/>
                <w:vertAlign w:val="subscript"/>
              </w:rPr>
              <w:t>2</w:t>
            </w:r>
            <w:r>
              <w:rPr>
                <w:sz w:val="21"/>
                <w:szCs w:val="21"/>
              </w:rPr>
              <w:t>S</w:t>
            </w:r>
          </w:p>
        </w:tc>
        <w:tc>
          <w:tcPr>
            <w:tcW w:w="922" w:type="pct"/>
            <w:vAlign w:val="center"/>
          </w:tcPr>
          <w:p w14:paraId="7DE38A7A">
            <w:pPr>
              <w:spacing w:line="360" w:lineRule="exact"/>
              <w:ind w:firstLine="0" w:firstLineChars="0"/>
              <w:jc w:val="center"/>
              <w:rPr>
                <w:rFonts w:cs="宋体"/>
                <w:sz w:val="21"/>
                <w:szCs w:val="21"/>
              </w:rPr>
            </w:pPr>
            <w:r>
              <w:rPr>
                <w:sz w:val="21"/>
                <w:szCs w:val="21"/>
              </w:rPr>
              <w:t>1</w:t>
            </w:r>
            <w:r>
              <w:rPr>
                <w:rFonts w:cs="宋体"/>
                <w:sz w:val="21"/>
                <w:szCs w:val="21"/>
              </w:rPr>
              <w:t>小时</w:t>
            </w:r>
          </w:p>
        </w:tc>
        <w:tc>
          <w:tcPr>
            <w:tcW w:w="1090" w:type="pct"/>
            <w:vAlign w:val="center"/>
          </w:tcPr>
          <w:p w14:paraId="1D44776A">
            <w:pPr>
              <w:spacing w:line="360" w:lineRule="exact"/>
              <w:ind w:firstLine="0" w:firstLineChars="0"/>
              <w:jc w:val="center"/>
              <w:rPr>
                <w:sz w:val="21"/>
                <w:szCs w:val="21"/>
              </w:rPr>
            </w:pPr>
            <w:r>
              <w:rPr>
                <w:sz w:val="21"/>
                <w:szCs w:val="21"/>
              </w:rPr>
              <w:t>10</w:t>
            </w:r>
          </w:p>
        </w:tc>
        <w:tc>
          <w:tcPr>
            <w:tcW w:w="2163" w:type="pct"/>
            <w:vMerge w:val="continue"/>
            <w:tcBorders>
              <w:top w:val="nil"/>
            </w:tcBorders>
            <w:vAlign w:val="center"/>
          </w:tcPr>
          <w:p w14:paraId="66A5D22E">
            <w:pPr>
              <w:spacing w:line="360" w:lineRule="exact"/>
              <w:ind w:firstLine="0" w:firstLineChars="0"/>
              <w:jc w:val="center"/>
              <w:rPr>
                <w:sz w:val="21"/>
              </w:rPr>
            </w:pPr>
          </w:p>
        </w:tc>
      </w:tr>
    </w:tbl>
    <w:p w14:paraId="15BA4CFD">
      <w:pPr>
        <w:ind w:firstLine="480"/>
        <w:rPr>
          <w:rFonts w:cs="宋体"/>
          <w:szCs w:val="24"/>
        </w:rPr>
      </w:pPr>
      <w:r>
        <w:rPr>
          <w:rFonts w:hint="eastAsia" w:cs="宋体"/>
          <w:szCs w:val="24"/>
        </w:rPr>
        <w:t>（</w:t>
      </w:r>
      <w:r>
        <w:rPr>
          <w:szCs w:val="24"/>
        </w:rPr>
        <w:t>3</w:t>
      </w:r>
      <w:r>
        <w:rPr>
          <w:rFonts w:hint="eastAsia" w:cs="宋体"/>
          <w:szCs w:val="24"/>
        </w:rPr>
        <w:t>）</w:t>
      </w:r>
      <w:r>
        <w:rPr>
          <w:rFonts w:cs="宋体"/>
          <w:szCs w:val="24"/>
        </w:rPr>
        <w:t>污染源强</w:t>
      </w:r>
    </w:p>
    <w:p w14:paraId="272833C5">
      <w:pPr>
        <w:ind w:firstLine="480"/>
        <w:rPr>
          <w:rFonts w:cs="宋体"/>
          <w:szCs w:val="24"/>
        </w:rPr>
      </w:pPr>
      <w:r>
        <w:rPr>
          <w:rFonts w:cs="宋体"/>
          <w:szCs w:val="24"/>
        </w:rPr>
        <w:t>根据工程分析，项目工程污染源具体见表</w:t>
      </w:r>
      <w:r>
        <w:rPr>
          <w:rFonts w:hint="eastAsia"/>
          <w:szCs w:val="24"/>
        </w:rPr>
        <w:t>5</w:t>
      </w:r>
      <w:r>
        <w:rPr>
          <w:szCs w:val="24"/>
        </w:rPr>
        <w:t>.2-3</w:t>
      </w:r>
      <w:r>
        <w:rPr>
          <w:rFonts w:hint="eastAsia" w:cs="宋体"/>
          <w:szCs w:val="24"/>
        </w:rPr>
        <w:t>。</w:t>
      </w:r>
    </w:p>
    <w:p w14:paraId="4C56DD57">
      <w:pPr>
        <w:ind w:firstLine="0" w:firstLineChars="0"/>
        <w:jc w:val="center"/>
        <w:rPr>
          <w:rFonts w:cs="黑体"/>
          <w:b/>
          <w:bCs/>
          <w:szCs w:val="21"/>
        </w:rPr>
      </w:pPr>
      <w:r>
        <w:rPr>
          <w:rFonts w:cs="黑体"/>
          <w:b/>
          <w:bCs/>
          <w:szCs w:val="21"/>
        </w:rPr>
        <w:t>表</w:t>
      </w:r>
      <w:r>
        <w:rPr>
          <w:rFonts w:hint="eastAsia"/>
          <w:b/>
          <w:bCs/>
          <w:szCs w:val="21"/>
        </w:rPr>
        <w:t>5</w:t>
      </w:r>
      <w:r>
        <w:rPr>
          <w:b/>
          <w:bCs/>
          <w:szCs w:val="21"/>
        </w:rPr>
        <w:t>.2-3</w:t>
      </w:r>
      <w:r>
        <w:rPr>
          <w:rFonts w:cs="黑体"/>
          <w:b/>
          <w:bCs/>
          <w:szCs w:val="21"/>
        </w:rPr>
        <w:t>圈舍无组织废气污染源一览表</w:t>
      </w:r>
      <w:r>
        <w:rPr>
          <w:rFonts w:hint="eastAsia" w:cs="黑体"/>
          <w:b/>
          <w:bCs/>
          <w:szCs w:val="21"/>
        </w:rPr>
        <w:t>（</w:t>
      </w:r>
      <w:r>
        <w:rPr>
          <w:rFonts w:cs="黑体"/>
          <w:b/>
          <w:bCs/>
          <w:szCs w:val="21"/>
        </w:rPr>
        <w:t>面源</w:t>
      </w:r>
      <w:r>
        <w:rPr>
          <w:rFonts w:hint="eastAsia" w:cs="黑体"/>
          <w:b/>
          <w:bCs/>
          <w:szCs w:val="21"/>
        </w:rPr>
        <w:t>）</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55"/>
        <w:gridCol w:w="1430"/>
        <w:gridCol w:w="1430"/>
        <w:gridCol w:w="1642"/>
        <w:gridCol w:w="1110"/>
        <w:gridCol w:w="1217"/>
      </w:tblGrid>
      <w:tr w14:paraId="2C4F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restart"/>
            <w:vAlign w:val="center"/>
          </w:tcPr>
          <w:p w14:paraId="3B76251A">
            <w:pPr>
              <w:ind w:firstLine="0" w:firstLineChars="0"/>
              <w:jc w:val="center"/>
              <w:rPr>
                <w:rFonts w:cs="黑体"/>
                <w:bCs/>
                <w:sz w:val="21"/>
                <w:szCs w:val="21"/>
              </w:rPr>
            </w:pPr>
            <w:r>
              <w:rPr>
                <w:rFonts w:hint="eastAsia" w:cs="黑体"/>
                <w:bCs/>
                <w:sz w:val="21"/>
                <w:szCs w:val="21"/>
              </w:rPr>
              <w:t>编号</w:t>
            </w:r>
          </w:p>
        </w:tc>
        <w:tc>
          <w:tcPr>
            <w:tcW w:w="619" w:type="pct"/>
            <w:vMerge w:val="restart"/>
            <w:vAlign w:val="center"/>
          </w:tcPr>
          <w:p w14:paraId="3E7A2FC3">
            <w:pPr>
              <w:ind w:firstLine="0" w:firstLineChars="0"/>
              <w:jc w:val="center"/>
              <w:rPr>
                <w:rFonts w:cs="黑体"/>
                <w:bCs/>
                <w:sz w:val="21"/>
                <w:szCs w:val="21"/>
              </w:rPr>
            </w:pPr>
            <w:r>
              <w:rPr>
                <w:rFonts w:hint="eastAsia" w:cs="黑体"/>
                <w:bCs/>
                <w:sz w:val="21"/>
                <w:szCs w:val="21"/>
              </w:rPr>
              <w:t>名称</w:t>
            </w:r>
          </w:p>
        </w:tc>
        <w:tc>
          <w:tcPr>
            <w:tcW w:w="839" w:type="pct"/>
            <w:vMerge w:val="restart"/>
            <w:vAlign w:val="center"/>
          </w:tcPr>
          <w:p w14:paraId="70871318">
            <w:pPr>
              <w:ind w:firstLine="0" w:firstLineChars="0"/>
              <w:jc w:val="center"/>
              <w:rPr>
                <w:rFonts w:cs="黑体"/>
                <w:bCs/>
                <w:sz w:val="21"/>
                <w:szCs w:val="21"/>
              </w:rPr>
            </w:pPr>
            <w:r>
              <w:rPr>
                <w:rFonts w:hint="eastAsia" w:cs="黑体"/>
                <w:bCs/>
                <w:sz w:val="21"/>
                <w:szCs w:val="21"/>
              </w:rPr>
              <w:t>面源长（m）</w:t>
            </w:r>
          </w:p>
        </w:tc>
        <w:tc>
          <w:tcPr>
            <w:tcW w:w="839" w:type="pct"/>
            <w:vMerge w:val="restart"/>
            <w:vAlign w:val="center"/>
          </w:tcPr>
          <w:p w14:paraId="08F475F6">
            <w:pPr>
              <w:ind w:firstLine="0" w:firstLineChars="0"/>
              <w:jc w:val="center"/>
              <w:rPr>
                <w:rFonts w:cs="黑体"/>
                <w:bCs/>
                <w:sz w:val="21"/>
                <w:szCs w:val="21"/>
              </w:rPr>
            </w:pPr>
            <w:r>
              <w:rPr>
                <w:rFonts w:hint="eastAsia" w:cs="黑体"/>
                <w:bCs/>
                <w:sz w:val="21"/>
                <w:szCs w:val="21"/>
              </w:rPr>
              <w:t>面源宽（m）</w:t>
            </w:r>
          </w:p>
        </w:tc>
        <w:tc>
          <w:tcPr>
            <w:tcW w:w="963" w:type="pct"/>
            <w:vMerge w:val="restart"/>
            <w:vAlign w:val="center"/>
          </w:tcPr>
          <w:p w14:paraId="255E03C2">
            <w:pPr>
              <w:ind w:firstLine="0" w:firstLineChars="0"/>
              <w:jc w:val="center"/>
              <w:rPr>
                <w:rFonts w:cs="黑体"/>
                <w:bCs/>
                <w:sz w:val="21"/>
                <w:szCs w:val="21"/>
              </w:rPr>
            </w:pPr>
            <w:r>
              <w:rPr>
                <w:rFonts w:hint="eastAsia" w:cs="黑体"/>
                <w:bCs/>
                <w:sz w:val="21"/>
                <w:szCs w:val="21"/>
              </w:rPr>
              <w:t>排放高度（m）</w:t>
            </w:r>
          </w:p>
        </w:tc>
        <w:tc>
          <w:tcPr>
            <w:tcW w:w="1364" w:type="pct"/>
            <w:gridSpan w:val="2"/>
            <w:vAlign w:val="center"/>
          </w:tcPr>
          <w:p w14:paraId="22C2F575">
            <w:pPr>
              <w:ind w:firstLine="0" w:firstLineChars="0"/>
              <w:jc w:val="center"/>
              <w:rPr>
                <w:rFonts w:cs="黑体"/>
                <w:bCs/>
                <w:sz w:val="21"/>
                <w:szCs w:val="21"/>
              </w:rPr>
            </w:pPr>
            <w:r>
              <w:rPr>
                <w:rFonts w:hint="eastAsia" w:cs="黑体"/>
                <w:bCs/>
                <w:sz w:val="21"/>
                <w:szCs w:val="21"/>
              </w:rPr>
              <w:t>评价因子源强（kg/h）</w:t>
            </w:r>
          </w:p>
        </w:tc>
      </w:tr>
      <w:tr w14:paraId="7A19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vAlign w:val="center"/>
          </w:tcPr>
          <w:p w14:paraId="77F16EB2">
            <w:pPr>
              <w:ind w:firstLine="0" w:firstLineChars="0"/>
              <w:jc w:val="center"/>
              <w:rPr>
                <w:rFonts w:cs="黑体"/>
                <w:bCs/>
                <w:sz w:val="21"/>
                <w:szCs w:val="21"/>
              </w:rPr>
            </w:pPr>
          </w:p>
        </w:tc>
        <w:tc>
          <w:tcPr>
            <w:tcW w:w="619" w:type="pct"/>
            <w:vMerge w:val="continue"/>
            <w:vAlign w:val="center"/>
          </w:tcPr>
          <w:p w14:paraId="04309EAD">
            <w:pPr>
              <w:ind w:firstLine="0" w:firstLineChars="0"/>
              <w:jc w:val="center"/>
              <w:rPr>
                <w:rFonts w:cs="黑体"/>
                <w:bCs/>
                <w:sz w:val="21"/>
                <w:szCs w:val="21"/>
              </w:rPr>
            </w:pPr>
          </w:p>
        </w:tc>
        <w:tc>
          <w:tcPr>
            <w:tcW w:w="839" w:type="pct"/>
            <w:vMerge w:val="continue"/>
            <w:vAlign w:val="center"/>
          </w:tcPr>
          <w:p w14:paraId="5843F7A3">
            <w:pPr>
              <w:ind w:firstLine="0" w:firstLineChars="0"/>
              <w:jc w:val="center"/>
              <w:rPr>
                <w:rFonts w:cs="黑体"/>
                <w:bCs/>
                <w:sz w:val="21"/>
                <w:szCs w:val="21"/>
              </w:rPr>
            </w:pPr>
          </w:p>
        </w:tc>
        <w:tc>
          <w:tcPr>
            <w:tcW w:w="839" w:type="pct"/>
            <w:vMerge w:val="continue"/>
            <w:vAlign w:val="center"/>
          </w:tcPr>
          <w:p w14:paraId="4280092C">
            <w:pPr>
              <w:ind w:firstLine="0" w:firstLineChars="0"/>
              <w:jc w:val="center"/>
              <w:rPr>
                <w:rFonts w:cs="黑体"/>
                <w:bCs/>
                <w:sz w:val="21"/>
                <w:szCs w:val="21"/>
              </w:rPr>
            </w:pPr>
          </w:p>
        </w:tc>
        <w:tc>
          <w:tcPr>
            <w:tcW w:w="963" w:type="pct"/>
            <w:vMerge w:val="continue"/>
            <w:vAlign w:val="center"/>
          </w:tcPr>
          <w:p w14:paraId="44ECB879">
            <w:pPr>
              <w:ind w:firstLine="0" w:firstLineChars="0"/>
              <w:jc w:val="center"/>
              <w:rPr>
                <w:rFonts w:cs="黑体"/>
                <w:bCs/>
                <w:sz w:val="21"/>
                <w:szCs w:val="21"/>
              </w:rPr>
            </w:pPr>
          </w:p>
        </w:tc>
        <w:tc>
          <w:tcPr>
            <w:tcW w:w="651" w:type="pct"/>
            <w:vAlign w:val="center"/>
          </w:tcPr>
          <w:p w14:paraId="486DCB7B">
            <w:pPr>
              <w:ind w:firstLine="0" w:firstLineChars="0"/>
              <w:jc w:val="center"/>
              <w:rPr>
                <w:rFonts w:cs="黑体"/>
                <w:bCs/>
                <w:sz w:val="21"/>
                <w:szCs w:val="21"/>
              </w:rPr>
            </w:pPr>
            <w:r>
              <w:rPr>
                <w:rFonts w:hint="eastAsia" w:cs="黑体"/>
                <w:bCs/>
                <w:sz w:val="21"/>
                <w:szCs w:val="21"/>
              </w:rPr>
              <w:t>氨</w:t>
            </w:r>
          </w:p>
        </w:tc>
        <w:tc>
          <w:tcPr>
            <w:tcW w:w="713" w:type="pct"/>
            <w:vAlign w:val="center"/>
          </w:tcPr>
          <w:p w14:paraId="3723F923">
            <w:pPr>
              <w:ind w:firstLine="0" w:firstLineChars="0"/>
              <w:jc w:val="center"/>
              <w:rPr>
                <w:rFonts w:cs="黑体"/>
                <w:bCs/>
                <w:sz w:val="21"/>
                <w:szCs w:val="21"/>
              </w:rPr>
            </w:pPr>
            <w:r>
              <w:rPr>
                <w:rFonts w:hint="eastAsia" w:cs="黑体"/>
                <w:bCs/>
                <w:sz w:val="21"/>
                <w:szCs w:val="21"/>
              </w:rPr>
              <w:t>硫化氢</w:t>
            </w:r>
          </w:p>
        </w:tc>
      </w:tr>
      <w:tr w14:paraId="65F7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40D6F814">
            <w:pPr>
              <w:ind w:firstLine="0" w:firstLineChars="0"/>
              <w:jc w:val="center"/>
              <w:rPr>
                <w:rFonts w:cs="黑体"/>
                <w:bCs/>
                <w:sz w:val="21"/>
                <w:szCs w:val="21"/>
              </w:rPr>
            </w:pPr>
            <w:r>
              <w:rPr>
                <w:rFonts w:hint="eastAsia" w:cs="黑体"/>
                <w:bCs/>
                <w:sz w:val="21"/>
                <w:szCs w:val="21"/>
              </w:rPr>
              <w:t>1</w:t>
            </w:r>
          </w:p>
        </w:tc>
        <w:tc>
          <w:tcPr>
            <w:tcW w:w="619" w:type="pct"/>
            <w:vAlign w:val="center"/>
          </w:tcPr>
          <w:p w14:paraId="11F7EA5D">
            <w:pPr>
              <w:ind w:firstLine="0" w:firstLineChars="0"/>
              <w:jc w:val="center"/>
              <w:rPr>
                <w:rFonts w:cs="黑体"/>
                <w:bCs/>
                <w:sz w:val="21"/>
                <w:szCs w:val="21"/>
              </w:rPr>
            </w:pPr>
            <w:r>
              <w:rPr>
                <w:rFonts w:hint="eastAsia" w:cs="黑体"/>
                <w:bCs/>
                <w:sz w:val="21"/>
                <w:szCs w:val="21"/>
              </w:rPr>
              <w:t>骆驼圈舍</w:t>
            </w:r>
          </w:p>
        </w:tc>
        <w:tc>
          <w:tcPr>
            <w:tcW w:w="839" w:type="pct"/>
            <w:vAlign w:val="center"/>
          </w:tcPr>
          <w:p w14:paraId="6EE6B61E">
            <w:pPr>
              <w:ind w:firstLine="0" w:firstLineChars="0"/>
              <w:jc w:val="center"/>
              <w:rPr>
                <w:rFonts w:cs="黑体"/>
                <w:bCs/>
                <w:sz w:val="21"/>
                <w:szCs w:val="21"/>
              </w:rPr>
            </w:pPr>
            <w:r>
              <w:rPr>
                <w:rFonts w:hint="eastAsia" w:cs="黑体"/>
                <w:bCs/>
                <w:sz w:val="21"/>
                <w:szCs w:val="21"/>
              </w:rPr>
              <w:t>204</w:t>
            </w:r>
          </w:p>
        </w:tc>
        <w:tc>
          <w:tcPr>
            <w:tcW w:w="839" w:type="pct"/>
            <w:vAlign w:val="center"/>
          </w:tcPr>
          <w:p w14:paraId="23E58FEA">
            <w:pPr>
              <w:ind w:firstLine="0" w:firstLineChars="0"/>
              <w:jc w:val="center"/>
              <w:rPr>
                <w:rFonts w:cs="黑体"/>
                <w:bCs/>
                <w:sz w:val="21"/>
                <w:szCs w:val="21"/>
              </w:rPr>
            </w:pPr>
            <w:r>
              <w:rPr>
                <w:rFonts w:hint="eastAsia" w:cs="黑体"/>
                <w:bCs/>
                <w:sz w:val="21"/>
                <w:szCs w:val="21"/>
              </w:rPr>
              <w:t>176</w:t>
            </w:r>
          </w:p>
        </w:tc>
        <w:tc>
          <w:tcPr>
            <w:tcW w:w="963" w:type="pct"/>
            <w:vAlign w:val="center"/>
          </w:tcPr>
          <w:p w14:paraId="38CED6F4">
            <w:pPr>
              <w:ind w:firstLine="0" w:firstLineChars="0"/>
              <w:jc w:val="center"/>
              <w:rPr>
                <w:rFonts w:cs="黑体"/>
                <w:bCs/>
                <w:sz w:val="21"/>
                <w:szCs w:val="21"/>
              </w:rPr>
            </w:pPr>
            <w:r>
              <w:rPr>
                <w:rFonts w:hint="eastAsia" w:cs="黑体"/>
                <w:bCs/>
                <w:sz w:val="21"/>
                <w:szCs w:val="21"/>
              </w:rPr>
              <w:t>10</w:t>
            </w:r>
          </w:p>
        </w:tc>
        <w:tc>
          <w:tcPr>
            <w:tcW w:w="651" w:type="pct"/>
            <w:vAlign w:val="center"/>
          </w:tcPr>
          <w:p w14:paraId="72192B66">
            <w:pPr>
              <w:ind w:firstLine="0" w:firstLineChars="0"/>
              <w:jc w:val="center"/>
              <w:rPr>
                <w:rFonts w:cs="黑体"/>
                <w:bCs/>
                <w:sz w:val="21"/>
                <w:szCs w:val="21"/>
              </w:rPr>
            </w:pPr>
            <w:r>
              <w:rPr>
                <w:rFonts w:hint="eastAsia" w:cs="黑体"/>
                <w:bCs/>
                <w:sz w:val="21"/>
                <w:szCs w:val="21"/>
              </w:rPr>
              <w:t>0.028</w:t>
            </w:r>
          </w:p>
        </w:tc>
        <w:tc>
          <w:tcPr>
            <w:tcW w:w="713" w:type="pct"/>
            <w:vAlign w:val="center"/>
          </w:tcPr>
          <w:p w14:paraId="4AA2E350">
            <w:pPr>
              <w:ind w:firstLine="0" w:firstLineChars="0"/>
              <w:jc w:val="center"/>
              <w:rPr>
                <w:rFonts w:cs="黑体"/>
                <w:bCs/>
                <w:sz w:val="21"/>
                <w:szCs w:val="21"/>
              </w:rPr>
            </w:pPr>
            <w:r>
              <w:rPr>
                <w:rFonts w:hint="eastAsia" w:cs="黑体"/>
                <w:bCs/>
                <w:sz w:val="21"/>
                <w:szCs w:val="21"/>
              </w:rPr>
              <w:t>0.0028</w:t>
            </w:r>
          </w:p>
        </w:tc>
      </w:tr>
      <w:tr w14:paraId="1199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5A4F35C8">
            <w:pPr>
              <w:ind w:firstLine="0" w:firstLineChars="0"/>
              <w:jc w:val="center"/>
              <w:rPr>
                <w:rFonts w:cs="黑体"/>
                <w:bCs/>
                <w:sz w:val="21"/>
                <w:szCs w:val="21"/>
              </w:rPr>
            </w:pPr>
            <w:r>
              <w:rPr>
                <w:rFonts w:hint="eastAsia" w:cs="黑体"/>
                <w:bCs/>
                <w:sz w:val="21"/>
                <w:szCs w:val="21"/>
              </w:rPr>
              <w:t>2</w:t>
            </w:r>
          </w:p>
        </w:tc>
        <w:tc>
          <w:tcPr>
            <w:tcW w:w="619" w:type="pct"/>
            <w:vAlign w:val="center"/>
          </w:tcPr>
          <w:p w14:paraId="2BCF1166">
            <w:pPr>
              <w:ind w:firstLine="0" w:firstLineChars="0"/>
              <w:jc w:val="center"/>
              <w:rPr>
                <w:rFonts w:cs="黑体"/>
                <w:bCs/>
                <w:sz w:val="21"/>
                <w:szCs w:val="21"/>
              </w:rPr>
            </w:pPr>
            <w:r>
              <w:rPr>
                <w:rFonts w:hint="eastAsia" w:cs="黑体"/>
                <w:bCs/>
                <w:sz w:val="21"/>
                <w:szCs w:val="21"/>
              </w:rPr>
              <w:t>堆肥场</w:t>
            </w:r>
          </w:p>
        </w:tc>
        <w:tc>
          <w:tcPr>
            <w:tcW w:w="839" w:type="pct"/>
            <w:vAlign w:val="center"/>
          </w:tcPr>
          <w:p w14:paraId="41DB446E">
            <w:pPr>
              <w:ind w:firstLine="0" w:firstLineChars="0"/>
              <w:jc w:val="center"/>
              <w:rPr>
                <w:rFonts w:cs="黑体"/>
                <w:bCs/>
                <w:sz w:val="21"/>
                <w:szCs w:val="21"/>
              </w:rPr>
            </w:pPr>
            <w:r>
              <w:rPr>
                <w:rFonts w:hint="eastAsia" w:cs="黑体"/>
                <w:bCs/>
                <w:sz w:val="21"/>
                <w:szCs w:val="21"/>
              </w:rPr>
              <w:t>51</w:t>
            </w:r>
          </w:p>
        </w:tc>
        <w:tc>
          <w:tcPr>
            <w:tcW w:w="839" w:type="pct"/>
            <w:vAlign w:val="center"/>
          </w:tcPr>
          <w:p w14:paraId="13DD09A7">
            <w:pPr>
              <w:ind w:firstLine="0" w:firstLineChars="0"/>
              <w:jc w:val="center"/>
              <w:rPr>
                <w:rFonts w:cs="黑体"/>
                <w:bCs/>
                <w:sz w:val="21"/>
                <w:szCs w:val="21"/>
              </w:rPr>
            </w:pPr>
            <w:r>
              <w:rPr>
                <w:rFonts w:hint="eastAsia" w:cs="黑体"/>
                <w:bCs/>
                <w:sz w:val="21"/>
                <w:szCs w:val="21"/>
              </w:rPr>
              <w:t>44</w:t>
            </w:r>
          </w:p>
        </w:tc>
        <w:tc>
          <w:tcPr>
            <w:tcW w:w="963" w:type="pct"/>
            <w:vAlign w:val="center"/>
          </w:tcPr>
          <w:p w14:paraId="21C80F68">
            <w:pPr>
              <w:ind w:firstLine="0" w:firstLineChars="0"/>
              <w:jc w:val="center"/>
              <w:rPr>
                <w:rFonts w:cs="黑体"/>
                <w:bCs/>
                <w:sz w:val="21"/>
                <w:szCs w:val="21"/>
              </w:rPr>
            </w:pPr>
            <w:r>
              <w:rPr>
                <w:rFonts w:hint="eastAsia" w:cs="黑体"/>
                <w:bCs/>
                <w:sz w:val="21"/>
                <w:szCs w:val="21"/>
              </w:rPr>
              <w:t>10</w:t>
            </w:r>
          </w:p>
        </w:tc>
        <w:tc>
          <w:tcPr>
            <w:tcW w:w="651" w:type="pct"/>
            <w:vAlign w:val="center"/>
          </w:tcPr>
          <w:p w14:paraId="1303C40D">
            <w:pPr>
              <w:ind w:firstLine="0" w:firstLineChars="0"/>
              <w:jc w:val="center"/>
              <w:rPr>
                <w:rFonts w:cs="黑体"/>
                <w:bCs/>
                <w:sz w:val="21"/>
                <w:szCs w:val="21"/>
              </w:rPr>
            </w:pPr>
            <w:r>
              <w:rPr>
                <w:rFonts w:hint="eastAsia" w:cs="黑体"/>
                <w:bCs/>
                <w:sz w:val="21"/>
                <w:szCs w:val="21"/>
              </w:rPr>
              <w:t>0.000986</w:t>
            </w:r>
          </w:p>
        </w:tc>
        <w:tc>
          <w:tcPr>
            <w:tcW w:w="713" w:type="pct"/>
            <w:vAlign w:val="center"/>
          </w:tcPr>
          <w:p w14:paraId="1284F434">
            <w:pPr>
              <w:ind w:firstLine="0" w:firstLineChars="0"/>
              <w:jc w:val="center"/>
              <w:rPr>
                <w:rFonts w:cs="黑体"/>
                <w:bCs/>
                <w:sz w:val="21"/>
                <w:szCs w:val="21"/>
              </w:rPr>
            </w:pPr>
            <w:r>
              <w:rPr>
                <w:rFonts w:hint="eastAsia" w:cs="黑体"/>
                <w:bCs/>
                <w:sz w:val="21"/>
                <w:szCs w:val="21"/>
              </w:rPr>
              <w:t>0.0000196</w:t>
            </w:r>
          </w:p>
        </w:tc>
      </w:tr>
    </w:tbl>
    <w:p w14:paraId="39BA0DFA">
      <w:pPr>
        <w:ind w:firstLine="0" w:firstLineChars="0"/>
        <w:jc w:val="center"/>
        <w:rPr>
          <w:rFonts w:cs="黑体"/>
          <w:b/>
          <w:bCs/>
          <w:szCs w:val="21"/>
        </w:rPr>
      </w:pPr>
    </w:p>
    <w:p w14:paraId="31B70CF5">
      <w:pPr>
        <w:ind w:firstLine="480"/>
        <w:rPr>
          <w:rFonts w:cs="宋体"/>
          <w:szCs w:val="24"/>
        </w:rPr>
      </w:pPr>
      <w:r>
        <w:rPr>
          <w:rFonts w:hint="eastAsia" w:cs="宋体"/>
          <w:szCs w:val="24"/>
        </w:rPr>
        <w:t>（</w:t>
      </w:r>
      <w:r>
        <w:rPr>
          <w:szCs w:val="24"/>
        </w:rPr>
        <w:t>4</w:t>
      </w:r>
      <w:r>
        <w:rPr>
          <w:rFonts w:hint="eastAsia" w:cs="宋体"/>
          <w:szCs w:val="24"/>
        </w:rPr>
        <w:t>）</w:t>
      </w:r>
      <w:r>
        <w:rPr>
          <w:rFonts w:cs="宋体"/>
          <w:szCs w:val="24"/>
        </w:rPr>
        <w:t>估算模型参数</w:t>
      </w:r>
    </w:p>
    <w:p w14:paraId="5678E460">
      <w:pPr>
        <w:ind w:firstLine="480"/>
        <w:rPr>
          <w:rFonts w:cs="宋体"/>
          <w:szCs w:val="24"/>
        </w:rPr>
      </w:pPr>
      <w:r>
        <w:rPr>
          <w:rFonts w:cs="宋体"/>
          <w:szCs w:val="24"/>
        </w:rPr>
        <w:t>本次评价选用《环境影响评价技术导则大气环境》</w:t>
      </w:r>
      <w:r>
        <w:rPr>
          <w:rFonts w:hint="eastAsia" w:cs="宋体"/>
          <w:szCs w:val="24"/>
        </w:rPr>
        <w:t>（</w:t>
      </w:r>
      <w:r>
        <w:rPr>
          <w:szCs w:val="24"/>
        </w:rPr>
        <w:t>HJ2.2-2018</w:t>
      </w:r>
      <w:r>
        <w:rPr>
          <w:rFonts w:hint="eastAsia" w:cs="宋体"/>
          <w:szCs w:val="24"/>
        </w:rPr>
        <w:t>）</w:t>
      </w:r>
      <w:r>
        <w:rPr>
          <w:rFonts w:cs="宋体"/>
          <w:szCs w:val="24"/>
        </w:rPr>
        <w:t>推荐的</w:t>
      </w:r>
      <w:r>
        <w:rPr>
          <w:szCs w:val="24"/>
        </w:rPr>
        <w:t>AERSCREEN</w:t>
      </w:r>
      <w:r>
        <w:rPr>
          <w:rFonts w:cs="宋体"/>
          <w:szCs w:val="24"/>
        </w:rPr>
        <w:t>模型，估算模型参数详见表</w:t>
      </w:r>
      <w:r>
        <w:rPr>
          <w:rFonts w:hint="eastAsia"/>
          <w:szCs w:val="24"/>
        </w:rPr>
        <w:t>5</w:t>
      </w:r>
      <w:r>
        <w:rPr>
          <w:szCs w:val="24"/>
        </w:rPr>
        <w:t>.2-4</w:t>
      </w:r>
      <w:r>
        <w:rPr>
          <w:rFonts w:hint="eastAsia" w:cs="宋体"/>
          <w:szCs w:val="24"/>
        </w:rPr>
        <w:t>。</w:t>
      </w:r>
    </w:p>
    <w:p w14:paraId="76DE1AC0">
      <w:pPr>
        <w:ind w:firstLine="0" w:firstLineChars="0"/>
        <w:jc w:val="center"/>
        <w:rPr>
          <w:rFonts w:cs="黑体"/>
          <w:b/>
          <w:bCs/>
          <w:szCs w:val="21"/>
        </w:rPr>
      </w:pPr>
      <w:r>
        <w:rPr>
          <w:rFonts w:cs="黑体"/>
          <w:b/>
          <w:bCs/>
          <w:szCs w:val="21"/>
        </w:rPr>
        <w:t>表</w:t>
      </w:r>
      <w:r>
        <w:rPr>
          <w:rFonts w:hint="eastAsia"/>
          <w:b/>
          <w:bCs/>
          <w:szCs w:val="21"/>
        </w:rPr>
        <w:t>5</w:t>
      </w:r>
      <w:r>
        <w:rPr>
          <w:b/>
          <w:bCs/>
          <w:szCs w:val="21"/>
        </w:rPr>
        <w:t>.2-4</w:t>
      </w:r>
      <w:r>
        <w:rPr>
          <w:rFonts w:cs="黑体"/>
          <w:b/>
          <w:bCs/>
          <w:szCs w:val="21"/>
        </w:rPr>
        <w:t>估算模型参数表</w:t>
      </w:r>
    </w:p>
    <w:tbl>
      <w:tblPr>
        <w:tblStyle w:val="183"/>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80"/>
        <w:gridCol w:w="3350"/>
        <w:gridCol w:w="2281"/>
      </w:tblGrid>
      <w:tr w14:paraId="3A598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3627" w:type="pct"/>
            <w:gridSpan w:val="2"/>
            <w:vAlign w:val="center"/>
          </w:tcPr>
          <w:p w14:paraId="41B53CD3">
            <w:pPr>
              <w:ind w:firstLine="0" w:firstLineChars="0"/>
              <w:jc w:val="center"/>
              <w:rPr>
                <w:rFonts w:cs="宋体"/>
                <w:sz w:val="21"/>
                <w:szCs w:val="21"/>
              </w:rPr>
            </w:pPr>
            <w:r>
              <w:rPr>
                <w:rFonts w:cs="宋体"/>
                <w:sz w:val="21"/>
                <w:szCs w:val="21"/>
              </w:rPr>
              <w:t>参数</w:t>
            </w:r>
          </w:p>
        </w:tc>
        <w:tc>
          <w:tcPr>
            <w:tcW w:w="1372" w:type="pct"/>
            <w:vAlign w:val="center"/>
          </w:tcPr>
          <w:p w14:paraId="60EB34E8">
            <w:pPr>
              <w:ind w:firstLine="0" w:firstLineChars="0"/>
              <w:jc w:val="center"/>
              <w:rPr>
                <w:rFonts w:cs="宋体"/>
                <w:sz w:val="21"/>
                <w:szCs w:val="21"/>
              </w:rPr>
            </w:pPr>
            <w:r>
              <w:rPr>
                <w:rFonts w:cs="宋体"/>
                <w:sz w:val="21"/>
                <w:szCs w:val="21"/>
              </w:rPr>
              <w:t>取值</w:t>
            </w:r>
          </w:p>
        </w:tc>
      </w:tr>
      <w:tr w14:paraId="16048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restart"/>
            <w:tcBorders>
              <w:bottom w:val="nil"/>
            </w:tcBorders>
            <w:vAlign w:val="center"/>
          </w:tcPr>
          <w:p w14:paraId="16EA508C">
            <w:pPr>
              <w:ind w:firstLine="0" w:firstLineChars="0"/>
              <w:jc w:val="center"/>
              <w:rPr>
                <w:rFonts w:cs="宋体"/>
                <w:sz w:val="21"/>
                <w:szCs w:val="21"/>
              </w:rPr>
            </w:pPr>
            <w:r>
              <w:rPr>
                <w:rFonts w:cs="宋体"/>
                <w:sz w:val="21"/>
                <w:szCs w:val="21"/>
              </w:rPr>
              <w:t>城市</w:t>
            </w:r>
            <w:r>
              <w:rPr>
                <w:sz w:val="21"/>
                <w:szCs w:val="21"/>
              </w:rPr>
              <w:t>/</w:t>
            </w:r>
            <w:r>
              <w:rPr>
                <w:rFonts w:cs="宋体"/>
                <w:sz w:val="21"/>
                <w:szCs w:val="21"/>
              </w:rPr>
              <w:t>农村选项</w:t>
            </w:r>
          </w:p>
        </w:tc>
        <w:tc>
          <w:tcPr>
            <w:tcW w:w="2015" w:type="pct"/>
            <w:vAlign w:val="center"/>
          </w:tcPr>
          <w:p w14:paraId="3620D7E3">
            <w:pPr>
              <w:ind w:firstLine="0" w:firstLineChars="0"/>
              <w:jc w:val="center"/>
              <w:rPr>
                <w:rFonts w:cs="宋体"/>
                <w:sz w:val="21"/>
                <w:szCs w:val="21"/>
              </w:rPr>
            </w:pPr>
            <w:r>
              <w:rPr>
                <w:rFonts w:cs="宋体"/>
                <w:sz w:val="21"/>
                <w:szCs w:val="21"/>
              </w:rPr>
              <w:t>城市</w:t>
            </w:r>
            <w:r>
              <w:rPr>
                <w:sz w:val="21"/>
                <w:szCs w:val="21"/>
              </w:rPr>
              <w:t>/</w:t>
            </w:r>
            <w:r>
              <w:rPr>
                <w:rFonts w:cs="宋体"/>
                <w:sz w:val="21"/>
                <w:szCs w:val="21"/>
              </w:rPr>
              <w:t>农村</w:t>
            </w:r>
          </w:p>
        </w:tc>
        <w:tc>
          <w:tcPr>
            <w:tcW w:w="1372" w:type="pct"/>
            <w:vAlign w:val="center"/>
          </w:tcPr>
          <w:p w14:paraId="2506EED1">
            <w:pPr>
              <w:ind w:firstLine="0" w:firstLineChars="0"/>
              <w:jc w:val="center"/>
              <w:rPr>
                <w:rFonts w:cs="宋体"/>
                <w:sz w:val="21"/>
                <w:szCs w:val="21"/>
              </w:rPr>
            </w:pPr>
            <w:r>
              <w:rPr>
                <w:rFonts w:cs="宋体"/>
                <w:sz w:val="21"/>
                <w:szCs w:val="21"/>
              </w:rPr>
              <w:t>农村</w:t>
            </w:r>
          </w:p>
        </w:tc>
      </w:tr>
      <w:tr w14:paraId="6CFD7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continue"/>
            <w:tcBorders>
              <w:top w:val="nil"/>
            </w:tcBorders>
            <w:vAlign w:val="center"/>
          </w:tcPr>
          <w:p w14:paraId="470CF86C">
            <w:pPr>
              <w:ind w:firstLine="0" w:firstLineChars="0"/>
              <w:jc w:val="center"/>
              <w:rPr>
                <w:sz w:val="21"/>
              </w:rPr>
            </w:pPr>
          </w:p>
        </w:tc>
        <w:tc>
          <w:tcPr>
            <w:tcW w:w="2015" w:type="pct"/>
            <w:vAlign w:val="center"/>
          </w:tcPr>
          <w:p w14:paraId="57A32DBC">
            <w:pPr>
              <w:ind w:firstLine="0" w:firstLineChars="0"/>
              <w:jc w:val="center"/>
              <w:rPr>
                <w:rFonts w:cs="宋体"/>
                <w:sz w:val="21"/>
                <w:szCs w:val="21"/>
              </w:rPr>
            </w:pPr>
            <w:r>
              <w:rPr>
                <w:rFonts w:cs="宋体"/>
                <w:sz w:val="21"/>
                <w:szCs w:val="21"/>
              </w:rPr>
              <w:t>人口数</w:t>
            </w:r>
            <w:r>
              <w:rPr>
                <w:rFonts w:hint="eastAsia" w:cs="宋体"/>
                <w:sz w:val="21"/>
                <w:szCs w:val="21"/>
              </w:rPr>
              <w:t>（</w:t>
            </w:r>
            <w:r>
              <w:rPr>
                <w:rFonts w:cs="宋体"/>
                <w:sz w:val="21"/>
                <w:szCs w:val="21"/>
              </w:rPr>
              <w:t>城市选项时</w:t>
            </w:r>
            <w:r>
              <w:rPr>
                <w:rFonts w:hint="eastAsia" w:cs="宋体"/>
                <w:sz w:val="21"/>
                <w:szCs w:val="21"/>
              </w:rPr>
              <w:t>）</w:t>
            </w:r>
          </w:p>
        </w:tc>
        <w:tc>
          <w:tcPr>
            <w:tcW w:w="1372" w:type="pct"/>
            <w:vAlign w:val="center"/>
          </w:tcPr>
          <w:p w14:paraId="2A1E71B8">
            <w:pPr>
              <w:ind w:firstLine="0" w:firstLineChars="0"/>
              <w:jc w:val="center"/>
              <w:rPr>
                <w:sz w:val="21"/>
              </w:rPr>
            </w:pPr>
          </w:p>
        </w:tc>
      </w:tr>
      <w:tr w14:paraId="651A9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14:paraId="523DAB3D">
            <w:pPr>
              <w:ind w:firstLine="0" w:firstLineChars="0"/>
              <w:jc w:val="center"/>
              <w:rPr>
                <w:rFonts w:cs="宋体"/>
                <w:sz w:val="21"/>
                <w:szCs w:val="21"/>
              </w:rPr>
            </w:pPr>
            <w:r>
              <w:rPr>
                <w:rFonts w:cs="宋体"/>
                <w:sz w:val="21"/>
                <w:szCs w:val="21"/>
              </w:rPr>
              <w:t>最高环境温度</w:t>
            </w:r>
            <w:r>
              <w:rPr>
                <w:sz w:val="21"/>
                <w:szCs w:val="21"/>
              </w:rPr>
              <w:t>/</w:t>
            </w:r>
            <w:r>
              <w:rPr>
                <w:rFonts w:cs="宋体"/>
                <w:sz w:val="21"/>
                <w:szCs w:val="21"/>
              </w:rPr>
              <w:t>℃</w:t>
            </w:r>
          </w:p>
        </w:tc>
        <w:tc>
          <w:tcPr>
            <w:tcW w:w="1372" w:type="pct"/>
            <w:vAlign w:val="center"/>
          </w:tcPr>
          <w:p w14:paraId="22DF21A6">
            <w:pPr>
              <w:ind w:firstLine="0" w:firstLineChars="0"/>
              <w:jc w:val="center"/>
              <w:rPr>
                <w:sz w:val="21"/>
                <w:szCs w:val="21"/>
              </w:rPr>
            </w:pPr>
            <w:r>
              <w:rPr>
                <w:rFonts w:hint="eastAsia"/>
                <w:sz w:val="21"/>
                <w:szCs w:val="21"/>
              </w:rPr>
              <w:t>36.5</w:t>
            </w:r>
          </w:p>
        </w:tc>
      </w:tr>
      <w:tr w14:paraId="181A2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14:paraId="4778F718">
            <w:pPr>
              <w:ind w:firstLine="0" w:firstLineChars="0"/>
              <w:jc w:val="center"/>
              <w:rPr>
                <w:rFonts w:cs="宋体"/>
                <w:sz w:val="21"/>
                <w:szCs w:val="21"/>
              </w:rPr>
            </w:pPr>
            <w:r>
              <w:rPr>
                <w:rFonts w:cs="宋体"/>
                <w:sz w:val="21"/>
                <w:szCs w:val="21"/>
              </w:rPr>
              <w:t>最低环境温度</w:t>
            </w:r>
            <w:r>
              <w:rPr>
                <w:sz w:val="21"/>
                <w:szCs w:val="21"/>
              </w:rPr>
              <w:t>/</w:t>
            </w:r>
            <w:r>
              <w:rPr>
                <w:rFonts w:cs="宋体"/>
                <w:sz w:val="21"/>
                <w:szCs w:val="21"/>
              </w:rPr>
              <w:t>℃</w:t>
            </w:r>
          </w:p>
        </w:tc>
        <w:tc>
          <w:tcPr>
            <w:tcW w:w="1372" w:type="pct"/>
            <w:vAlign w:val="center"/>
          </w:tcPr>
          <w:p w14:paraId="06AC392D">
            <w:pPr>
              <w:ind w:firstLine="0" w:firstLineChars="0"/>
              <w:jc w:val="center"/>
              <w:rPr>
                <w:sz w:val="21"/>
                <w:szCs w:val="21"/>
              </w:rPr>
            </w:pPr>
            <w:r>
              <w:rPr>
                <w:sz w:val="21"/>
                <w:szCs w:val="21"/>
              </w:rPr>
              <w:t>-</w:t>
            </w:r>
            <w:r>
              <w:rPr>
                <w:rFonts w:hint="eastAsia"/>
                <w:sz w:val="21"/>
                <w:szCs w:val="21"/>
              </w:rPr>
              <w:t>31</w:t>
            </w:r>
          </w:p>
        </w:tc>
      </w:tr>
      <w:tr w14:paraId="3DFC6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3627" w:type="pct"/>
            <w:gridSpan w:val="2"/>
            <w:vAlign w:val="center"/>
          </w:tcPr>
          <w:p w14:paraId="3DFA0234">
            <w:pPr>
              <w:ind w:firstLine="0" w:firstLineChars="0"/>
              <w:jc w:val="center"/>
              <w:rPr>
                <w:rFonts w:cs="宋体"/>
                <w:sz w:val="21"/>
                <w:szCs w:val="21"/>
              </w:rPr>
            </w:pPr>
            <w:r>
              <w:rPr>
                <w:rFonts w:cs="宋体"/>
                <w:sz w:val="21"/>
                <w:szCs w:val="21"/>
              </w:rPr>
              <w:t>土地利用类型</w:t>
            </w:r>
          </w:p>
        </w:tc>
        <w:tc>
          <w:tcPr>
            <w:tcW w:w="1372" w:type="pct"/>
            <w:vAlign w:val="center"/>
          </w:tcPr>
          <w:p w14:paraId="3B3366D3">
            <w:pPr>
              <w:ind w:firstLine="0" w:firstLineChars="0"/>
              <w:jc w:val="center"/>
              <w:rPr>
                <w:rFonts w:cs="宋体"/>
                <w:sz w:val="21"/>
                <w:szCs w:val="21"/>
              </w:rPr>
            </w:pPr>
            <w:r>
              <w:rPr>
                <w:rFonts w:cs="宋体"/>
                <w:sz w:val="21"/>
                <w:szCs w:val="21"/>
              </w:rPr>
              <w:t>农作地</w:t>
            </w:r>
          </w:p>
        </w:tc>
      </w:tr>
      <w:tr w14:paraId="291CB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3627" w:type="pct"/>
            <w:gridSpan w:val="2"/>
            <w:vAlign w:val="center"/>
          </w:tcPr>
          <w:p w14:paraId="1853A8E4">
            <w:pPr>
              <w:ind w:firstLine="0" w:firstLineChars="0"/>
              <w:jc w:val="center"/>
              <w:rPr>
                <w:rFonts w:cs="宋体"/>
                <w:sz w:val="21"/>
                <w:szCs w:val="21"/>
              </w:rPr>
            </w:pPr>
            <w:r>
              <w:rPr>
                <w:rFonts w:cs="宋体"/>
                <w:sz w:val="21"/>
                <w:szCs w:val="21"/>
              </w:rPr>
              <w:t>区域湿度条件</w:t>
            </w:r>
          </w:p>
        </w:tc>
        <w:tc>
          <w:tcPr>
            <w:tcW w:w="1372" w:type="pct"/>
            <w:vAlign w:val="center"/>
          </w:tcPr>
          <w:p w14:paraId="5C830326">
            <w:pPr>
              <w:ind w:firstLine="0" w:firstLineChars="0"/>
              <w:jc w:val="center"/>
              <w:rPr>
                <w:rFonts w:cs="宋体"/>
                <w:sz w:val="21"/>
                <w:szCs w:val="21"/>
              </w:rPr>
            </w:pPr>
            <w:r>
              <w:rPr>
                <w:rFonts w:cs="宋体"/>
                <w:sz w:val="21"/>
                <w:szCs w:val="21"/>
              </w:rPr>
              <w:t>干燥</w:t>
            </w:r>
          </w:p>
        </w:tc>
      </w:tr>
      <w:tr w14:paraId="5C7B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restart"/>
            <w:tcBorders>
              <w:bottom w:val="nil"/>
            </w:tcBorders>
            <w:vAlign w:val="center"/>
          </w:tcPr>
          <w:p w14:paraId="4EBA3605">
            <w:pPr>
              <w:ind w:firstLine="0" w:firstLineChars="0"/>
              <w:jc w:val="center"/>
              <w:rPr>
                <w:rFonts w:cs="宋体"/>
                <w:sz w:val="21"/>
                <w:szCs w:val="21"/>
              </w:rPr>
            </w:pPr>
            <w:r>
              <w:rPr>
                <w:rFonts w:cs="宋体"/>
                <w:sz w:val="21"/>
                <w:szCs w:val="21"/>
              </w:rPr>
              <w:t>是否考虑地形</w:t>
            </w:r>
          </w:p>
        </w:tc>
        <w:tc>
          <w:tcPr>
            <w:tcW w:w="2015" w:type="pct"/>
            <w:vAlign w:val="center"/>
          </w:tcPr>
          <w:p w14:paraId="58B74930">
            <w:pPr>
              <w:ind w:firstLine="0" w:firstLineChars="0"/>
              <w:jc w:val="center"/>
              <w:rPr>
                <w:rFonts w:cs="宋体"/>
                <w:sz w:val="21"/>
                <w:szCs w:val="21"/>
              </w:rPr>
            </w:pPr>
            <w:r>
              <w:rPr>
                <w:rFonts w:cs="宋体"/>
                <w:sz w:val="21"/>
                <w:szCs w:val="21"/>
              </w:rPr>
              <w:t>考虑地形</w:t>
            </w:r>
          </w:p>
        </w:tc>
        <w:tc>
          <w:tcPr>
            <w:tcW w:w="1372" w:type="pct"/>
            <w:vAlign w:val="center"/>
          </w:tcPr>
          <w:p w14:paraId="0A7F9B72">
            <w:pPr>
              <w:ind w:firstLine="0" w:firstLineChars="0"/>
              <w:jc w:val="center"/>
              <w:rPr>
                <w:rFonts w:cs="宋体"/>
                <w:sz w:val="21"/>
                <w:szCs w:val="21"/>
              </w:rPr>
            </w:pPr>
            <w:r>
              <w:rPr>
                <w:rFonts w:cs="宋体"/>
                <w:sz w:val="21"/>
                <w:szCs w:val="21"/>
              </w:rPr>
              <w:drawing>
                <wp:inline distT="0" distB="0" distL="0" distR="0">
                  <wp:extent cx="114300" cy="1333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6"/>
                          <a:stretch>
                            <a:fillRect/>
                          </a:stretch>
                        </pic:blipFill>
                        <pic:spPr>
                          <a:xfrm>
                            <a:off x="0" y="0"/>
                            <a:ext cx="114547" cy="133350"/>
                          </a:xfrm>
                          <a:prstGeom prst="rect">
                            <a:avLst/>
                          </a:prstGeom>
                        </pic:spPr>
                      </pic:pic>
                    </a:graphicData>
                  </a:graphic>
                </wp:inline>
              </w:drawing>
            </w:r>
            <w:r>
              <w:rPr>
                <w:rFonts w:cs="宋体"/>
                <w:sz w:val="21"/>
                <w:szCs w:val="21"/>
              </w:rPr>
              <w:t>是□否</w:t>
            </w:r>
          </w:p>
        </w:tc>
      </w:tr>
      <w:tr w14:paraId="7E327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continue"/>
            <w:tcBorders>
              <w:top w:val="nil"/>
            </w:tcBorders>
            <w:vAlign w:val="center"/>
          </w:tcPr>
          <w:p w14:paraId="7875E153">
            <w:pPr>
              <w:ind w:firstLine="0" w:firstLineChars="0"/>
              <w:jc w:val="center"/>
              <w:rPr>
                <w:sz w:val="21"/>
              </w:rPr>
            </w:pPr>
          </w:p>
        </w:tc>
        <w:tc>
          <w:tcPr>
            <w:tcW w:w="2015" w:type="pct"/>
            <w:vAlign w:val="center"/>
          </w:tcPr>
          <w:p w14:paraId="5D523333">
            <w:pPr>
              <w:ind w:firstLine="0" w:firstLineChars="0"/>
              <w:jc w:val="center"/>
              <w:rPr>
                <w:sz w:val="21"/>
                <w:szCs w:val="21"/>
              </w:rPr>
            </w:pPr>
            <w:r>
              <w:rPr>
                <w:rFonts w:cs="宋体"/>
                <w:sz w:val="21"/>
                <w:szCs w:val="21"/>
              </w:rPr>
              <w:t>地形数据分辨率</w:t>
            </w:r>
            <w:r>
              <w:rPr>
                <w:sz w:val="21"/>
                <w:szCs w:val="21"/>
              </w:rPr>
              <w:t>/m</w:t>
            </w:r>
          </w:p>
        </w:tc>
        <w:tc>
          <w:tcPr>
            <w:tcW w:w="1372" w:type="pct"/>
            <w:vAlign w:val="center"/>
          </w:tcPr>
          <w:p w14:paraId="358303B8">
            <w:pPr>
              <w:ind w:firstLine="0" w:firstLineChars="0"/>
              <w:jc w:val="center"/>
              <w:rPr>
                <w:sz w:val="21"/>
                <w:szCs w:val="21"/>
              </w:rPr>
            </w:pPr>
            <w:r>
              <w:rPr>
                <w:sz w:val="21"/>
                <w:szCs w:val="21"/>
              </w:rPr>
              <w:t>90</w:t>
            </w:r>
          </w:p>
        </w:tc>
      </w:tr>
      <w:tr w14:paraId="58FC7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12" w:type="pct"/>
            <w:vMerge w:val="restart"/>
            <w:tcBorders>
              <w:bottom w:val="nil"/>
            </w:tcBorders>
            <w:vAlign w:val="center"/>
          </w:tcPr>
          <w:p w14:paraId="71BF1015">
            <w:pPr>
              <w:ind w:firstLine="0" w:firstLineChars="0"/>
              <w:jc w:val="center"/>
              <w:rPr>
                <w:rFonts w:cs="宋体"/>
                <w:sz w:val="21"/>
                <w:szCs w:val="21"/>
              </w:rPr>
            </w:pPr>
            <w:r>
              <w:rPr>
                <w:rFonts w:cs="宋体"/>
                <w:sz w:val="21"/>
                <w:szCs w:val="21"/>
              </w:rPr>
              <w:t>是否考虑岸线熏烟</w:t>
            </w:r>
          </w:p>
        </w:tc>
        <w:tc>
          <w:tcPr>
            <w:tcW w:w="2015" w:type="pct"/>
            <w:vAlign w:val="center"/>
          </w:tcPr>
          <w:p w14:paraId="49D8E20D">
            <w:pPr>
              <w:ind w:firstLine="0" w:firstLineChars="0"/>
              <w:jc w:val="center"/>
              <w:rPr>
                <w:rFonts w:cs="宋体"/>
                <w:sz w:val="21"/>
                <w:szCs w:val="21"/>
              </w:rPr>
            </w:pPr>
            <w:r>
              <w:rPr>
                <w:rFonts w:cs="宋体"/>
                <w:sz w:val="21"/>
                <w:szCs w:val="21"/>
              </w:rPr>
              <w:t>考虑岸线熏烟</w:t>
            </w:r>
          </w:p>
        </w:tc>
        <w:tc>
          <w:tcPr>
            <w:tcW w:w="1372" w:type="pct"/>
            <w:vAlign w:val="center"/>
          </w:tcPr>
          <w:p w14:paraId="2064E045">
            <w:pPr>
              <w:ind w:firstLine="0" w:firstLineChars="0"/>
              <w:jc w:val="center"/>
              <w:rPr>
                <w:rFonts w:cs="宋体"/>
                <w:sz w:val="21"/>
                <w:szCs w:val="21"/>
              </w:rPr>
            </w:pPr>
            <w:r>
              <w:rPr>
                <w:rFonts w:cs="宋体"/>
                <w:sz w:val="21"/>
                <w:szCs w:val="21"/>
              </w:rPr>
              <w:t>□是</w:t>
            </w:r>
            <w:r>
              <w:rPr>
                <w:sz w:val="21"/>
                <w:szCs w:val="21"/>
              </w:rPr>
              <w:drawing>
                <wp:inline distT="0" distB="0" distL="0" distR="0">
                  <wp:extent cx="114300" cy="133350"/>
                  <wp:effectExtent l="0" t="0" r="0" b="0"/>
                  <wp:docPr id="50" name="IM 33"/>
                  <wp:cNvGraphicFramePr/>
                  <a:graphic xmlns:a="http://schemas.openxmlformats.org/drawingml/2006/main">
                    <a:graphicData uri="http://schemas.openxmlformats.org/drawingml/2006/picture">
                      <pic:pic xmlns:pic="http://schemas.openxmlformats.org/drawingml/2006/picture">
                        <pic:nvPicPr>
                          <pic:cNvPr id="50" name="IM 33"/>
                          <pic:cNvPicPr/>
                        </pic:nvPicPr>
                        <pic:blipFill>
                          <a:blip r:embed="rId36"/>
                          <a:stretch>
                            <a:fillRect/>
                          </a:stretch>
                        </pic:blipFill>
                        <pic:spPr>
                          <a:xfrm>
                            <a:off x="0" y="0"/>
                            <a:ext cx="114547" cy="133350"/>
                          </a:xfrm>
                          <a:prstGeom prst="rect">
                            <a:avLst/>
                          </a:prstGeom>
                        </pic:spPr>
                      </pic:pic>
                    </a:graphicData>
                  </a:graphic>
                </wp:inline>
              </w:drawing>
            </w:r>
            <w:r>
              <w:rPr>
                <w:rFonts w:cs="宋体"/>
                <w:sz w:val="21"/>
                <w:szCs w:val="21"/>
              </w:rPr>
              <w:t>否</w:t>
            </w:r>
          </w:p>
        </w:tc>
      </w:tr>
      <w:tr w14:paraId="78693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12" w:type="pct"/>
            <w:vMerge w:val="continue"/>
            <w:tcBorders>
              <w:top w:val="nil"/>
            </w:tcBorders>
            <w:vAlign w:val="center"/>
          </w:tcPr>
          <w:p w14:paraId="699B251E">
            <w:pPr>
              <w:ind w:firstLine="0" w:firstLineChars="0"/>
              <w:jc w:val="center"/>
              <w:rPr>
                <w:sz w:val="21"/>
              </w:rPr>
            </w:pPr>
          </w:p>
        </w:tc>
        <w:tc>
          <w:tcPr>
            <w:tcW w:w="2015" w:type="pct"/>
            <w:vAlign w:val="center"/>
          </w:tcPr>
          <w:p w14:paraId="7FEBEB60">
            <w:pPr>
              <w:ind w:firstLine="0" w:firstLineChars="0"/>
              <w:jc w:val="center"/>
              <w:rPr>
                <w:sz w:val="21"/>
                <w:szCs w:val="21"/>
              </w:rPr>
            </w:pPr>
            <w:r>
              <w:rPr>
                <w:rFonts w:cs="宋体"/>
                <w:sz w:val="21"/>
                <w:szCs w:val="21"/>
              </w:rPr>
              <w:t>岸线距离</w:t>
            </w:r>
            <w:r>
              <w:rPr>
                <w:sz w:val="21"/>
                <w:szCs w:val="21"/>
              </w:rPr>
              <w:t>/km</w:t>
            </w:r>
          </w:p>
        </w:tc>
        <w:tc>
          <w:tcPr>
            <w:tcW w:w="1372" w:type="pct"/>
            <w:vAlign w:val="center"/>
          </w:tcPr>
          <w:p w14:paraId="18B1CF44">
            <w:pPr>
              <w:ind w:firstLine="0" w:firstLineChars="0"/>
              <w:jc w:val="center"/>
              <w:rPr>
                <w:sz w:val="21"/>
                <w:szCs w:val="21"/>
              </w:rPr>
            </w:pPr>
            <w:r>
              <w:rPr>
                <w:sz w:val="21"/>
                <w:szCs w:val="21"/>
              </w:rPr>
              <w:t>/</w:t>
            </w:r>
          </w:p>
        </w:tc>
      </w:tr>
    </w:tbl>
    <w:p w14:paraId="77065F34">
      <w:pPr>
        <w:ind w:firstLine="480"/>
        <w:rPr>
          <w:rFonts w:cs="宋体"/>
          <w:szCs w:val="24"/>
        </w:rPr>
      </w:pPr>
      <w:r>
        <w:rPr>
          <w:rFonts w:hint="eastAsia" w:cs="宋体"/>
          <w:szCs w:val="24"/>
        </w:rPr>
        <w:t>（</w:t>
      </w:r>
      <w:r>
        <w:rPr>
          <w:rFonts w:cs="宋体"/>
          <w:szCs w:val="24"/>
        </w:rPr>
        <w:t>5</w:t>
      </w:r>
      <w:r>
        <w:rPr>
          <w:rFonts w:hint="eastAsia" w:cs="宋体"/>
          <w:szCs w:val="24"/>
        </w:rPr>
        <w:t>）</w:t>
      </w:r>
      <w:r>
        <w:rPr>
          <w:rFonts w:cs="宋体"/>
          <w:szCs w:val="24"/>
        </w:rPr>
        <w:t>主要污染源估算模型计算结果</w:t>
      </w:r>
    </w:p>
    <w:p w14:paraId="4A7F33B8">
      <w:pPr>
        <w:ind w:firstLine="480"/>
        <w:rPr>
          <w:rFonts w:cs="宋体"/>
          <w:szCs w:val="24"/>
        </w:rPr>
      </w:pPr>
      <w:r>
        <w:rPr>
          <w:rFonts w:cs="宋体"/>
          <w:szCs w:val="24"/>
        </w:rPr>
        <w:t>主要污染源估算模型计算结果详见表</w:t>
      </w:r>
      <w:r>
        <w:rPr>
          <w:rFonts w:hint="eastAsia"/>
          <w:szCs w:val="24"/>
        </w:rPr>
        <w:t>5</w:t>
      </w:r>
      <w:r>
        <w:rPr>
          <w:szCs w:val="24"/>
        </w:rPr>
        <w:t>.2-5</w:t>
      </w:r>
      <w:r>
        <w:rPr>
          <w:rFonts w:hint="eastAsia" w:cs="宋体"/>
          <w:szCs w:val="24"/>
        </w:rPr>
        <w:t>。</w:t>
      </w:r>
    </w:p>
    <w:p w14:paraId="0CEFEDFE">
      <w:pPr>
        <w:ind w:firstLine="0" w:firstLineChars="0"/>
        <w:jc w:val="center"/>
        <w:rPr>
          <w:rFonts w:cs="黑体"/>
          <w:b/>
          <w:bCs/>
          <w:szCs w:val="21"/>
        </w:rPr>
      </w:pPr>
      <w:r>
        <w:rPr>
          <w:rFonts w:cs="黑体"/>
          <w:b/>
          <w:bCs/>
          <w:szCs w:val="21"/>
        </w:rPr>
        <w:t>表</w:t>
      </w:r>
      <w:r>
        <w:rPr>
          <w:rFonts w:hint="eastAsia"/>
          <w:b/>
          <w:bCs/>
          <w:szCs w:val="21"/>
        </w:rPr>
        <w:t>5</w:t>
      </w:r>
      <w:r>
        <w:rPr>
          <w:b/>
          <w:bCs/>
          <w:szCs w:val="21"/>
        </w:rPr>
        <w:t>.2-5</w:t>
      </w:r>
      <w:r>
        <w:rPr>
          <w:rFonts w:hint="eastAsia" w:cs="黑体"/>
          <w:b/>
          <w:bCs/>
          <w:szCs w:val="21"/>
        </w:rPr>
        <w:t>骆驼圈舍</w:t>
      </w:r>
      <w:r>
        <w:rPr>
          <w:rFonts w:cs="黑体"/>
          <w:b/>
          <w:bCs/>
          <w:szCs w:val="21"/>
        </w:rPr>
        <w:t>硫化氢、氨气估算模式计算结果表</w:t>
      </w:r>
    </w:p>
    <w:tbl>
      <w:tblPr>
        <w:tblStyle w:val="183"/>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6"/>
        <w:gridCol w:w="1268"/>
        <w:gridCol w:w="1688"/>
        <w:gridCol w:w="1549"/>
        <w:gridCol w:w="1690"/>
        <w:gridCol w:w="1414"/>
      </w:tblGrid>
      <w:tr w14:paraId="0E519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vMerge w:val="restart"/>
            <w:tcBorders>
              <w:tl2br w:val="nil"/>
              <w:tr2bl w:val="nil"/>
            </w:tcBorders>
            <w:vAlign w:val="center"/>
          </w:tcPr>
          <w:p w14:paraId="6B89DC13">
            <w:pPr>
              <w:ind w:firstLine="0" w:firstLineChars="0"/>
              <w:jc w:val="center"/>
              <w:rPr>
                <w:rFonts w:cs="宋体"/>
                <w:sz w:val="21"/>
                <w:szCs w:val="21"/>
              </w:rPr>
            </w:pPr>
            <w:r>
              <w:rPr>
                <w:rFonts w:cs="宋体"/>
                <w:sz w:val="21"/>
                <w:szCs w:val="21"/>
              </w:rPr>
              <w:t>序号</w:t>
            </w:r>
          </w:p>
        </w:tc>
        <w:tc>
          <w:tcPr>
            <w:tcW w:w="761" w:type="pct"/>
            <w:vMerge w:val="restart"/>
            <w:tcBorders>
              <w:tl2br w:val="nil"/>
              <w:tr2bl w:val="nil"/>
            </w:tcBorders>
            <w:vAlign w:val="center"/>
          </w:tcPr>
          <w:p w14:paraId="22CCA496">
            <w:pPr>
              <w:tabs>
                <w:tab w:val="left" w:pos="459"/>
              </w:tabs>
              <w:ind w:firstLine="0" w:firstLineChars="0"/>
              <w:jc w:val="center"/>
              <w:rPr>
                <w:rFonts w:cs="宋体"/>
                <w:sz w:val="21"/>
                <w:szCs w:val="21"/>
              </w:rPr>
            </w:pPr>
            <w:r>
              <w:rPr>
                <w:rFonts w:cs="宋体"/>
                <w:sz w:val="21"/>
                <w:szCs w:val="21"/>
              </w:rPr>
              <w:t>源距下风向距离</w:t>
            </w:r>
            <w:r>
              <w:rPr>
                <w:sz w:val="21"/>
                <w:szCs w:val="21"/>
              </w:rPr>
              <w:t>D</w:t>
            </w:r>
            <w:r>
              <w:rPr>
                <w:rFonts w:hint="eastAsia" w:cs="宋体"/>
                <w:sz w:val="21"/>
                <w:szCs w:val="21"/>
              </w:rPr>
              <w:t>（</w:t>
            </w:r>
            <w:r>
              <w:rPr>
                <w:sz w:val="21"/>
                <w:szCs w:val="21"/>
              </w:rPr>
              <w:t>m</w:t>
            </w:r>
            <w:r>
              <w:rPr>
                <w:rFonts w:hint="eastAsia" w:cs="宋体"/>
                <w:sz w:val="21"/>
                <w:szCs w:val="21"/>
              </w:rPr>
              <w:t>）</w:t>
            </w:r>
          </w:p>
        </w:tc>
        <w:tc>
          <w:tcPr>
            <w:tcW w:w="1946" w:type="pct"/>
            <w:gridSpan w:val="2"/>
            <w:tcBorders>
              <w:tl2br w:val="nil"/>
              <w:tr2bl w:val="nil"/>
            </w:tcBorders>
            <w:vAlign w:val="center"/>
          </w:tcPr>
          <w:p w14:paraId="1FD2E6AF">
            <w:pPr>
              <w:ind w:firstLine="0" w:firstLineChars="0"/>
              <w:jc w:val="center"/>
              <w:rPr>
                <w:rFonts w:cs="宋体"/>
                <w:sz w:val="21"/>
                <w:szCs w:val="21"/>
              </w:rPr>
            </w:pPr>
            <w:r>
              <w:rPr>
                <w:rFonts w:cs="宋体"/>
                <w:sz w:val="21"/>
                <w:szCs w:val="21"/>
              </w:rPr>
              <w:t>氨</w:t>
            </w:r>
          </w:p>
        </w:tc>
        <w:tc>
          <w:tcPr>
            <w:tcW w:w="1866" w:type="pct"/>
            <w:gridSpan w:val="2"/>
            <w:tcBorders>
              <w:tl2br w:val="nil"/>
              <w:tr2bl w:val="nil"/>
            </w:tcBorders>
            <w:vAlign w:val="center"/>
          </w:tcPr>
          <w:p w14:paraId="78E89965">
            <w:pPr>
              <w:ind w:firstLine="0" w:firstLineChars="0"/>
              <w:jc w:val="center"/>
              <w:rPr>
                <w:rFonts w:cs="宋体"/>
                <w:sz w:val="21"/>
                <w:szCs w:val="21"/>
              </w:rPr>
            </w:pPr>
            <w:r>
              <w:rPr>
                <w:rFonts w:cs="宋体"/>
                <w:sz w:val="21"/>
                <w:szCs w:val="21"/>
              </w:rPr>
              <w:t>硫化氢</w:t>
            </w:r>
          </w:p>
        </w:tc>
      </w:tr>
      <w:tr w14:paraId="0DE61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25" w:type="pct"/>
            <w:vMerge w:val="continue"/>
            <w:tcBorders>
              <w:tl2br w:val="nil"/>
              <w:tr2bl w:val="nil"/>
            </w:tcBorders>
            <w:vAlign w:val="center"/>
          </w:tcPr>
          <w:p w14:paraId="6C4E48DF">
            <w:pPr>
              <w:ind w:firstLine="0" w:firstLineChars="0"/>
              <w:jc w:val="center"/>
              <w:rPr>
                <w:sz w:val="21"/>
              </w:rPr>
            </w:pPr>
          </w:p>
        </w:tc>
        <w:tc>
          <w:tcPr>
            <w:tcW w:w="761" w:type="pct"/>
            <w:vMerge w:val="continue"/>
            <w:tcBorders>
              <w:tl2br w:val="nil"/>
              <w:tr2bl w:val="nil"/>
            </w:tcBorders>
            <w:vAlign w:val="center"/>
          </w:tcPr>
          <w:p w14:paraId="124E8CD9">
            <w:pPr>
              <w:ind w:firstLine="0" w:firstLineChars="0"/>
              <w:jc w:val="center"/>
              <w:rPr>
                <w:sz w:val="21"/>
              </w:rPr>
            </w:pPr>
          </w:p>
        </w:tc>
        <w:tc>
          <w:tcPr>
            <w:tcW w:w="1015" w:type="pct"/>
            <w:tcBorders>
              <w:tl2br w:val="nil"/>
              <w:tr2bl w:val="nil"/>
            </w:tcBorders>
            <w:vAlign w:val="center"/>
          </w:tcPr>
          <w:p w14:paraId="6A7E21CB">
            <w:pPr>
              <w:ind w:firstLine="0" w:firstLineChars="0"/>
              <w:jc w:val="center"/>
              <w:rPr>
                <w:rFonts w:cs="宋体"/>
                <w:sz w:val="21"/>
                <w:szCs w:val="21"/>
              </w:rPr>
            </w:pPr>
            <w:r>
              <w:rPr>
                <w:rFonts w:cs="宋体"/>
                <w:sz w:val="21"/>
                <w:szCs w:val="21"/>
              </w:rPr>
              <w:t>下风向预测浓度</w:t>
            </w:r>
            <w:r>
              <w:rPr>
                <w:rFonts w:hint="eastAsia" w:cs="宋体"/>
                <w:sz w:val="21"/>
                <w:szCs w:val="21"/>
              </w:rPr>
              <w:t>（</w:t>
            </w:r>
            <w:r>
              <w:rPr>
                <w:rFonts w:hint="eastAsia"/>
                <w:sz w:val="21"/>
                <w:szCs w:val="21"/>
              </w:rPr>
              <w:t>u</w:t>
            </w:r>
            <w:r>
              <w:rPr>
                <w:sz w:val="21"/>
                <w:szCs w:val="21"/>
              </w:rPr>
              <w:t>g/m</w:t>
            </w:r>
            <w:r>
              <w:rPr>
                <w:rFonts w:hint="eastAsia"/>
                <w:sz w:val="21"/>
                <w:szCs w:val="21"/>
                <w:vertAlign w:val="superscript"/>
              </w:rPr>
              <w:t>3</w:t>
            </w:r>
            <w:r>
              <w:rPr>
                <w:rFonts w:hint="eastAsia" w:cs="宋体"/>
                <w:sz w:val="21"/>
                <w:szCs w:val="21"/>
              </w:rPr>
              <w:t>）</w:t>
            </w:r>
          </w:p>
        </w:tc>
        <w:tc>
          <w:tcPr>
            <w:tcW w:w="931" w:type="pct"/>
            <w:tcBorders>
              <w:tl2br w:val="nil"/>
              <w:tr2bl w:val="nil"/>
            </w:tcBorders>
            <w:vAlign w:val="center"/>
          </w:tcPr>
          <w:p w14:paraId="03E35519">
            <w:pPr>
              <w:ind w:firstLine="0" w:firstLineChars="0"/>
              <w:jc w:val="center"/>
              <w:rPr>
                <w:rFonts w:cs="宋体"/>
                <w:sz w:val="21"/>
                <w:szCs w:val="21"/>
              </w:rPr>
            </w:pPr>
            <w:r>
              <w:rPr>
                <w:rFonts w:cs="宋体"/>
                <w:sz w:val="21"/>
                <w:szCs w:val="21"/>
              </w:rPr>
              <w:t>占标率</w:t>
            </w:r>
            <w:r>
              <w:rPr>
                <w:rFonts w:hint="eastAsia" w:cs="宋体"/>
                <w:sz w:val="21"/>
                <w:szCs w:val="21"/>
              </w:rPr>
              <w:t>（</w:t>
            </w:r>
            <w:r>
              <w:rPr>
                <w:sz w:val="21"/>
                <w:szCs w:val="21"/>
              </w:rPr>
              <w:t>%</w:t>
            </w:r>
            <w:r>
              <w:rPr>
                <w:rFonts w:hint="eastAsia" w:cs="宋体"/>
                <w:sz w:val="21"/>
                <w:szCs w:val="21"/>
              </w:rPr>
              <w:t>）</w:t>
            </w:r>
          </w:p>
        </w:tc>
        <w:tc>
          <w:tcPr>
            <w:tcW w:w="1016" w:type="pct"/>
            <w:tcBorders>
              <w:tl2br w:val="nil"/>
              <w:tr2bl w:val="nil"/>
            </w:tcBorders>
            <w:vAlign w:val="center"/>
          </w:tcPr>
          <w:p w14:paraId="43444638">
            <w:pPr>
              <w:ind w:firstLine="0" w:firstLineChars="0"/>
              <w:jc w:val="center"/>
              <w:rPr>
                <w:rFonts w:cs="宋体"/>
                <w:sz w:val="21"/>
                <w:szCs w:val="21"/>
              </w:rPr>
            </w:pPr>
            <w:r>
              <w:rPr>
                <w:rFonts w:cs="宋体"/>
                <w:sz w:val="21"/>
                <w:szCs w:val="21"/>
              </w:rPr>
              <w:t>下风向预测浓度</w:t>
            </w:r>
            <w:r>
              <w:rPr>
                <w:rFonts w:hint="eastAsia" w:cs="宋体"/>
                <w:sz w:val="21"/>
                <w:szCs w:val="21"/>
              </w:rPr>
              <w:t>（</w:t>
            </w:r>
            <w:r>
              <w:rPr>
                <w:rFonts w:hint="eastAsia"/>
                <w:sz w:val="21"/>
                <w:szCs w:val="21"/>
              </w:rPr>
              <w:t>u</w:t>
            </w:r>
            <w:r>
              <w:rPr>
                <w:sz w:val="21"/>
                <w:szCs w:val="21"/>
              </w:rPr>
              <w:t>g/m</w:t>
            </w:r>
            <w:r>
              <w:rPr>
                <w:sz w:val="21"/>
                <w:szCs w:val="14"/>
                <w:vertAlign w:val="superscript"/>
              </w:rPr>
              <w:t>3</w:t>
            </w:r>
            <w:r>
              <w:rPr>
                <w:rFonts w:hint="eastAsia" w:cs="宋体"/>
                <w:sz w:val="21"/>
                <w:szCs w:val="21"/>
              </w:rPr>
              <w:t>）</w:t>
            </w:r>
          </w:p>
        </w:tc>
        <w:tc>
          <w:tcPr>
            <w:tcW w:w="849" w:type="pct"/>
            <w:tcBorders>
              <w:tl2br w:val="nil"/>
              <w:tr2bl w:val="nil"/>
            </w:tcBorders>
            <w:vAlign w:val="center"/>
          </w:tcPr>
          <w:p w14:paraId="2D46BDA4">
            <w:pPr>
              <w:ind w:firstLine="0" w:firstLineChars="0"/>
              <w:jc w:val="center"/>
              <w:rPr>
                <w:rFonts w:cs="宋体"/>
                <w:sz w:val="21"/>
                <w:szCs w:val="21"/>
              </w:rPr>
            </w:pPr>
            <w:r>
              <w:rPr>
                <w:rFonts w:cs="宋体"/>
                <w:sz w:val="21"/>
                <w:szCs w:val="21"/>
              </w:rPr>
              <w:t>占标率</w:t>
            </w:r>
            <w:r>
              <w:rPr>
                <w:rFonts w:hint="eastAsia" w:cs="宋体"/>
                <w:sz w:val="21"/>
                <w:szCs w:val="21"/>
              </w:rPr>
              <w:t>（</w:t>
            </w:r>
            <w:r>
              <w:rPr>
                <w:sz w:val="21"/>
                <w:szCs w:val="21"/>
              </w:rPr>
              <w:t>%</w:t>
            </w:r>
            <w:r>
              <w:rPr>
                <w:rFonts w:hint="eastAsia" w:cs="宋体"/>
                <w:sz w:val="21"/>
                <w:szCs w:val="21"/>
              </w:rPr>
              <w:t>）</w:t>
            </w:r>
          </w:p>
        </w:tc>
      </w:tr>
      <w:tr w14:paraId="42A8D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4F97D14D">
            <w:pPr>
              <w:ind w:firstLine="0" w:firstLineChars="0"/>
              <w:jc w:val="center"/>
              <w:rPr>
                <w:sz w:val="21"/>
                <w:szCs w:val="21"/>
              </w:rPr>
            </w:pPr>
            <w:r>
              <w:rPr>
                <w:sz w:val="21"/>
                <w:szCs w:val="21"/>
              </w:rPr>
              <w:t>1</w:t>
            </w:r>
          </w:p>
        </w:tc>
        <w:tc>
          <w:tcPr>
            <w:tcW w:w="1268" w:type="dxa"/>
            <w:tcBorders>
              <w:tl2br w:val="nil"/>
              <w:tr2bl w:val="nil"/>
            </w:tcBorders>
            <w:vAlign w:val="center"/>
          </w:tcPr>
          <w:p w14:paraId="0E454FC4">
            <w:pPr>
              <w:widowControl/>
              <w:ind w:firstLine="0" w:firstLineChars="0"/>
              <w:jc w:val="center"/>
              <w:textAlignment w:val="center"/>
              <w:rPr>
                <w:sz w:val="21"/>
                <w:szCs w:val="21"/>
              </w:rPr>
            </w:pPr>
            <w:r>
              <w:rPr>
                <w:rFonts w:hint="eastAsia" w:cs="宋体"/>
                <w:sz w:val="21"/>
                <w:szCs w:val="22"/>
                <w:lang w:bidi="ar"/>
              </w:rPr>
              <w:t>50</w:t>
            </w:r>
          </w:p>
        </w:tc>
        <w:tc>
          <w:tcPr>
            <w:tcW w:w="1934" w:type="dxa"/>
            <w:tcBorders>
              <w:tl2br w:val="nil"/>
              <w:tr2bl w:val="nil"/>
            </w:tcBorders>
            <w:vAlign w:val="center"/>
          </w:tcPr>
          <w:p w14:paraId="1411CF0C">
            <w:pPr>
              <w:widowControl/>
              <w:ind w:firstLine="0" w:firstLineChars="0"/>
              <w:jc w:val="center"/>
              <w:textAlignment w:val="center"/>
              <w:rPr>
                <w:sz w:val="21"/>
                <w:szCs w:val="21"/>
              </w:rPr>
            </w:pPr>
            <w:r>
              <w:rPr>
                <w:rFonts w:hint="eastAsia" w:cs="宋体"/>
                <w:sz w:val="21"/>
                <w:szCs w:val="22"/>
                <w:lang w:bidi="ar"/>
              </w:rPr>
              <w:t>3.64</w:t>
            </w:r>
          </w:p>
        </w:tc>
        <w:tc>
          <w:tcPr>
            <w:tcW w:w="1774" w:type="dxa"/>
            <w:tcBorders>
              <w:tl2br w:val="nil"/>
              <w:tr2bl w:val="nil"/>
            </w:tcBorders>
            <w:vAlign w:val="center"/>
          </w:tcPr>
          <w:p w14:paraId="0A40C5B8">
            <w:pPr>
              <w:widowControl/>
              <w:ind w:firstLine="0" w:firstLineChars="0"/>
              <w:jc w:val="center"/>
              <w:textAlignment w:val="center"/>
              <w:rPr>
                <w:sz w:val="21"/>
                <w:szCs w:val="21"/>
              </w:rPr>
            </w:pPr>
            <w:r>
              <w:rPr>
                <w:rFonts w:hint="eastAsia" w:cs="宋体"/>
                <w:sz w:val="21"/>
                <w:szCs w:val="22"/>
                <w:lang w:bidi="ar"/>
              </w:rPr>
              <w:t>1.82</w:t>
            </w:r>
          </w:p>
        </w:tc>
        <w:tc>
          <w:tcPr>
            <w:tcW w:w="1936" w:type="dxa"/>
            <w:tcBorders>
              <w:tl2br w:val="nil"/>
              <w:tr2bl w:val="nil"/>
            </w:tcBorders>
            <w:vAlign w:val="center"/>
          </w:tcPr>
          <w:p w14:paraId="71EDECD2">
            <w:pPr>
              <w:widowControl/>
              <w:ind w:firstLine="0" w:firstLineChars="0"/>
              <w:jc w:val="center"/>
              <w:textAlignment w:val="center"/>
              <w:rPr>
                <w:sz w:val="21"/>
                <w:szCs w:val="21"/>
              </w:rPr>
            </w:pPr>
            <w:r>
              <w:rPr>
                <w:rFonts w:hint="eastAsia" w:cs="宋体"/>
                <w:sz w:val="21"/>
                <w:szCs w:val="22"/>
                <w:lang w:bidi="ar"/>
              </w:rPr>
              <w:t>0.367</w:t>
            </w:r>
          </w:p>
        </w:tc>
        <w:tc>
          <w:tcPr>
            <w:tcW w:w="1619" w:type="dxa"/>
            <w:tcBorders>
              <w:tl2br w:val="nil"/>
              <w:tr2bl w:val="nil"/>
            </w:tcBorders>
            <w:vAlign w:val="center"/>
          </w:tcPr>
          <w:p w14:paraId="4FA33158">
            <w:pPr>
              <w:widowControl/>
              <w:ind w:firstLine="0" w:firstLineChars="0"/>
              <w:jc w:val="center"/>
              <w:textAlignment w:val="center"/>
              <w:rPr>
                <w:sz w:val="21"/>
                <w:szCs w:val="21"/>
              </w:rPr>
            </w:pPr>
            <w:r>
              <w:rPr>
                <w:rFonts w:hint="eastAsia" w:cs="宋体"/>
                <w:sz w:val="21"/>
                <w:szCs w:val="22"/>
                <w:lang w:bidi="ar"/>
              </w:rPr>
              <w:t>3.67</w:t>
            </w:r>
          </w:p>
        </w:tc>
      </w:tr>
      <w:tr w14:paraId="0C31B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63314A44">
            <w:pPr>
              <w:ind w:firstLine="0" w:firstLineChars="0"/>
              <w:jc w:val="center"/>
              <w:rPr>
                <w:sz w:val="21"/>
                <w:szCs w:val="21"/>
              </w:rPr>
            </w:pPr>
            <w:r>
              <w:rPr>
                <w:sz w:val="21"/>
                <w:szCs w:val="21"/>
              </w:rPr>
              <w:t>2</w:t>
            </w:r>
          </w:p>
        </w:tc>
        <w:tc>
          <w:tcPr>
            <w:tcW w:w="1268" w:type="dxa"/>
            <w:tcBorders>
              <w:tl2br w:val="nil"/>
              <w:tr2bl w:val="nil"/>
            </w:tcBorders>
            <w:vAlign w:val="center"/>
          </w:tcPr>
          <w:p w14:paraId="74FAF36F">
            <w:pPr>
              <w:widowControl/>
              <w:ind w:firstLine="0" w:firstLineChars="0"/>
              <w:jc w:val="center"/>
              <w:textAlignment w:val="center"/>
              <w:rPr>
                <w:sz w:val="21"/>
                <w:szCs w:val="21"/>
              </w:rPr>
            </w:pPr>
            <w:r>
              <w:rPr>
                <w:rFonts w:hint="eastAsia" w:cs="宋体"/>
                <w:sz w:val="21"/>
                <w:szCs w:val="22"/>
                <w:lang w:bidi="ar"/>
              </w:rPr>
              <w:t>100</w:t>
            </w:r>
          </w:p>
        </w:tc>
        <w:tc>
          <w:tcPr>
            <w:tcW w:w="1934" w:type="dxa"/>
            <w:tcBorders>
              <w:tl2br w:val="nil"/>
              <w:tr2bl w:val="nil"/>
            </w:tcBorders>
            <w:vAlign w:val="center"/>
          </w:tcPr>
          <w:p w14:paraId="5A59D645">
            <w:pPr>
              <w:widowControl/>
              <w:ind w:firstLine="0" w:firstLineChars="0"/>
              <w:jc w:val="center"/>
              <w:textAlignment w:val="center"/>
              <w:rPr>
                <w:sz w:val="21"/>
                <w:szCs w:val="21"/>
              </w:rPr>
            </w:pPr>
            <w:r>
              <w:rPr>
                <w:rFonts w:hint="eastAsia" w:cs="宋体"/>
                <w:sz w:val="21"/>
                <w:szCs w:val="22"/>
                <w:lang w:bidi="ar"/>
              </w:rPr>
              <w:t>4.812</w:t>
            </w:r>
          </w:p>
        </w:tc>
        <w:tc>
          <w:tcPr>
            <w:tcW w:w="1774" w:type="dxa"/>
            <w:tcBorders>
              <w:tl2br w:val="nil"/>
              <w:tr2bl w:val="nil"/>
            </w:tcBorders>
            <w:vAlign w:val="center"/>
          </w:tcPr>
          <w:p w14:paraId="437DF31A">
            <w:pPr>
              <w:widowControl/>
              <w:ind w:firstLine="0" w:firstLineChars="0"/>
              <w:jc w:val="center"/>
              <w:textAlignment w:val="center"/>
              <w:rPr>
                <w:sz w:val="21"/>
                <w:szCs w:val="21"/>
              </w:rPr>
            </w:pPr>
            <w:r>
              <w:rPr>
                <w:rFonts w:hint="eastAsia" w:cs="宋体"/>
                <w:sz w:val="21"/>
                <w:szCs w:val="22"/>
                <w:lang w:bidi="ar"/>
              </w:rPr>
              <w:t>2.406</w:t>
            </w:r>
          </w:p>
        </w:tc>
        <w:tc>
          <w:tcPr>
            <w:tcW w:w="1936" w:type="dxa"/>
            <w:tcBorders>
              <w:tl2br w:val="nil"/>
              <w:tr2bl w:val="nil"/>
            </w:tcBorders>
            <w:vAlign w:val="center"/>
          </w:tcPr>
          <w:p w14:paraId="51E404B6">
            <w:pPr>
              <w:widowControl/>
              <w:ind w:firstLine="0" w:firstLineChars="0"/>
              <w:jc w:val="center"/>
              <w:textAlignment w:val="center"/>
              <w:rPr>
                <w:sz w:val="21"/>
                <w:szCs w:val="21"/>
              </w:rPr>
            </w:pPr>
            <w:r>
              <w:rPr>
                <w:rFonts w:hint="eastAsia" w:cs="宋体"/>
                <w:sz w:val="21"/>
                <w:szCs w:val="22"/>
                <w:lang w:bidi="ar"/>
              </w:rPr>
              <w:t>0.4855</w:t>
            </w:r>
          </w:p>
        </w:tc>
        <w:tc>
          <w:tcPr>
            <w:tcW w:w="1619" w:type="dxa"/>
            <w:tcBorders>
              <w:tl2br w:val="nil"/>
              <w:tr2bl w:val="nil"/>
            </w:tcBorders>
            <w:vAlign w:val="center"/>
          </w:tcPr>
          <w:p w14:paraId="339592E9">
            <w:pPr>
              <w:widowControl/>
              <w:ind w:firstLine="0" w:firstLineChars="0"/>
              <w:jc w:val="center"/>
              <w:textAlignment w:val="center"/>
              <w:rPr>
                <w:sz w:val="21"/>
                <w:szCs w:val="21"/>
              </w:rPr>
            </w:pPr>
            <w:r>
              <w:rPr>
                <w:rFonts w:hint="eastAsia" w:cs="宋体"/>
                <w:sz w:val="21"/>
                <w:szCs w:val="22"/>
                <w:lang w:bidi="ar"/>
              </w:rPr>
              <w:t>4.855</w:t>
            </w:r>
          </w:p>
        </w:tc>
      </w:tr>
      <w:tr w14:paraId="5F802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6972CEC4">
            <w:pPr>
              <w:ind w:firstLine="0" w:firstLineChars="0"/>
              <w:jc w:val="center"/>
              <w:rPr>
                <w:sz w:val="21"/>
                <w:szCs w:val="21"/>
              </w:rPr>
            </w:pPr>
            <w:r>
              <w:rPr>
                <w:sz w:val="21"/>
                <w:szCs w:val="21"/>
              </w:rPr>
              <w:t>3</w:t>
            </w:r>
          </w:p>
        </w:tc>
        <w:tc>
          <w:tcPr>
            <w:tcW w:w="1268" w:type="dxa"/>
            <w:tcBorders>
              <w:tl2br w:val="nil"/>
              <w:tr2bl w:val="nil"/>
            </w:tcBorders>
            <w:vAlign w:val="center"/>
          </w:tcPr>
          <w:p w14:paraId="7473248B">
            <w:pPr>
              <w:widowControl/>
              <w:ind w:firstLine="0" w:firstLineChars="0"/>
              <w:jc w:val="center"/>
              <w:textAlignment w:val="center"/>
              <w:rPr>
                <w:sz w:val="21"/>
                <w:szCs w:val="21"/>
              </w:rPr>
            </w:pPr>
            <w:r>
              <w:rPr>
                <w:rFonts w:hint="eastAsia" w:cs="宋体"/>
                <w:sz w:val="21"/>
                <w:szCs w:val="22"/>
                <w:lang w:bidi="ar"/>
              </w:rPr>
              <w:t>167</w:t>
            </w:r>
          </w:p>
        </w:tc>
        <w:tc>
          <w:tcPr>
            <w:tcW w:w="1934" w:type="dxa"/>
            <w:tcBorders>
              <w:tl2br w:val="nil"/>
              <w:tr2bl w:val="nil"/>
            </w:tcBorders>
            <w:vAlign w:val="center"/>
          </w:tcPr>
          <w:p w14:paraId="004DE58E">
            <w:pPr>
              <w:widowControl/>
              <w:ind w:firstLine="0" w:firstLineChars="0"/>
              <w:jc w:val="center"/>
              <w:textAlignment w:val="center"/>
              <w:rPr>
                <w:sz w:val="21"/>
                <w:szCs w:val="21"/>
              </w:rPr>
            </w:pPr>
            <w:r>
              <w:rPr>
                <w:rFonts w:hint="eastAsia" w:cs="宋体"/>
                <w:sz w:val="21"/>
                <w:szCs w:val="22"/>
                <w:lang w:bidi="ar"/>
              </w:rPr>
              <w:t>5.969</w:t>
            </w:r>
          </w:p>
        </w:tc>
        <w:tc>
          <w:tcPr>
            <w:tcW w:w="1774" w:type="dxa"/>
            <w:tcBorders>
              <w:tl2br w:val="nil"/>
              <w:tr2bl w:val="nil"/>
            </w:tcBorders>
            <w:vAlign w:val="center"/>
          </w:tcPr>
          <w:p w14:paraId="476C3235">
            <w:pPr>
              <w:widowControl/>
              <w:ind w:firstLine="0" w:firstLineChars="0"/>
              <w:jc w:val="center"/>
              <w:textAlignment w:val="center"/>
              <w:rPr>
                <w:sz w:val="21"/>
                <w:szCs w:val="21"/>
              </w:rPr>
            </w:pPr>
            <w:r>
              <w:rPr>
                <w:rFonts w:hint="eastAsia" w:cs="宋体"/>
                <w:sz w:val="21"/>
                <w:szCs w:val="22"/>
                <w:lang w:bidi="ar"/>
              </w:rPr>
              <w:t>2.9844999</w:t>
            </w:r>
          </w:p>
        </w:tc>
        <w:tc>
          <w:tcPr>
            <w:tcW w:w="1936" w:type="dxa"/>
            <w:tcBorders>
              <w:tl2br w:val="nil"/>
              <w:tr2bl w:val="nil"/>
            </w:tcBorders>
            <w:vAlign w:val="center"/>
          </w:tcPr>
          <w:p w14:paraId="1CCEE8E2">
            <w:pPr>
              <w:widowControl/>
              <w:ind w:firstLine="0" w:firstLineChars="0"/>
              <w:jc w:val="center"/>
              <w:textAlignment w:val="center"/>
              <w:rPr>
                <w:sz w:val="21"/>
                <w:szCs w:val="21"/>
              </w:rPr>
            </w:pPr>
            <w:r>
              <w:rPr>
                <w:rFonts w:hint="eastAsia" w:cs="宋体"/>
                <w:sz w:val="21"/>
                <w:szCs w:val="22"/>
                <w:lang w:bidi="ar"/>
              </w:rPr>
              <w:t>0.6006</w:t>
            </w:r>
          </w:p>
        </w:tc>
        <w:tc>
          <w:tcPr>
            <w:tcW w:w="1619" w:type="dxa"/>
            <w:tcBorders>
              <w:tl2br w:val="nil"/>
              <w:tr2bl w:val="nil"/>
            </w:tcBorders>
            <w:vAlign w:val="center"/>
          </w:tcPr>
          <w:p w14:paraId="48C8EEDB">
            <w:pPr>
              <w:widowControl/>
              <w:ind w:firstLine="0" w:firstLineChars="0"/>
              <w:jc w:val="center"/>
              <w:textAlignment w:val="center"/>
              <w:rPr>
                <w:sz w:val="21"/>
                <w:szCs w:val="21"/>
              </w:rPr>
            </w:pPr>
            <w:r>
              <w:rPr>
                <w:rFonts w:hint="eastAsia" w:cs="宋体"/>
                <w:sz w:val="21"/>
                <w:szCs w:val="22"/>
                <w:lang w:bidi="ar"/>
              </w:rPr>
              <w:t>6.006</w:t>
            </w:r>
          </w:p>
        </w:tc>
      </w:tr>
      <w:tr w14:paraId="43736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53B31F06">
            <w:pPr>
              <w:ind w:firstLine="0" w:firstLineChars="0"/>
              <w:jc w:val="center"/>
              <w:rPr>
                <w:sz w:val="21"/>
                <w:szCs w:val="21"/>
              </w:rPr>
            </w:pPr>
            <w:r>
              <w:rPr>
                <w:sz w:val="21"/>
                <w:szCs w:val="21"/>
              </w:rPr>
              <w:t>4</w:t>
            </w:r>
          </w:p>
        </w:tc>
        <w:tc>
          <w:tcPr>
            <w:tcW w:w="1268" w:type="dxa"/>
            <w:tcBorders>
              <w:tl2br w:val="nil"/>
              <w:tr2bl w:val="nil"/>
            </w:tcBorders>
            <w:vAlign w:val="center"/>
          </w:tcPr>
          <w:p w14:paraId="19BA1514">
            <w:pPr>
              <w:widowControl/>
              <w:ind w:firstLine="0" w:firstLineChars="0"/>
              <w:jc w:val="center"/>
              <w:textAlignment w:val="center"/>
              <w:rPr>
                <w:sz w:val="21"/>
                <w:szCs w:val="21"/>
              </w:rPr>
            </w:pPr>
            <w:r>
              <w:rPr>
                <w:rFonts w:hint="eastAsia" w:cs="宋体"/>
                <w:sz w:val="21"/>
                <w:szCs w:val="22"/>
                <w:lang w:bidi="ar"/>
              </w:rPr>
              <w:t>200</w:t>
            </w:r>
          </w:p>
        </w:tc>
        <w:tc>
          <w:tcPr>
            <w:tcW w:w="1934" w:type="dxa"/>
            <w:tcBorders>
              <w:tl2br w:val="nil"/>
              <w:tr2bl w:val="nil"/>
            </w:tcBorders>
            <w:vAlign w:val="center"/>
          </w:tcPr>
          <w:p w14:paraId="12C76953">
            <w:pPr>
              <w:widowControl/>
              <w:ind w:firstLine="0" w:firstLineChars="0"/>
              <w:jc w:val="center"/>
              <w:textAlignment w:val="center"/>
              <w:rPr>
                <w:sz w:val="21"/>
                <w:szCs w:val="21"/>
              </w:rPr>
            </w:pPr>
            <w:r>
              <w:rPr>
                <w:rFonts w:hint="eastAsia" w:cs="宋体"/>
                <w:sz w:val="21"/>
                <w:szCs w:val="22"/>
                <w:lang w:bidi="ar"/>
              </w:rPr>
              <w:t>5.798</w:t>
            </w:r>
          </w:p>
        </w:tc>
        <w:tc>
          <w:tcPr>
            <w:tcW w:w="1774" w:type="dxa"/>
            <w:tcBorders>
              <w:tl2br w:val="nil"/>
              <w:tr2bl w:val="nil"/>
            </w:tcBorders>
            <w:vAlign w:val="center"/>
          </w:tcPr>
          <w:p w14:paraId="07204C74">
            <w:pPr>
              <w:widowControl/>
              <w:ind w:firstLine="0" w:firstLineChars="0"/>
              <w:jc w:val="center"/>
              <w:textAlignment w:val="center"/>
              <w:rPr>
                <w:sz w:val="21"/>
                <w:szCs w:val="21"/>
              </w:rPr>
            </w:pPr>
            <w:r>
              <w:rPr>
                <w:rFonts w:hint="eastAsia" w:cs="宋体"/>
                <w:sz w:val="21"/>
                <w:szCs w:val="22"/>
                <w:lang w:bidi="ar"/>
              </w:rPr>
              <w:t>2.899</w:t>
            </w:r>
          </w:p>
        </w:tc>
        <w:tc>
          <w:tcPr>
            <w:tcW w:w="1936" w:type="dxa"/>
            <w:tcBorders>
              <w:tl2br w:val="nil"/>
              <w:tr2bl w:val="nil"/>
            </w:tcBorders>
            <w:vAlign w:val="center"/>
          </w:tcPr>
          <w:p w14:paraId="7D21B390">
            <w:pPr>
              <w:widowControl/>
              <w:ind w:firstLine="0" w:firstLineChars="0"/>
              <w:jc w:val="center"/>
              <w:textAlignment w:val="center"/>
              <w:rPr>
                <w:sz w:val="21"/>
                <w:szCs w:val="21"/>
              </w:rPr>
            </w:pPr>
            <w:r>
              <w:rPr>
                <w:rFonts w:hint="eastAsia" w:cs="宋体"/>
                <w:sz w:val="21"/>
                <w:szCs w:val="22"/>
                <w:lang w:bidi="ar"/>
              </w:rPr>
              <w:t>0.5823</w:t>
            </w:r>
          </w:p>
        </w:tc>
        <w:tc>
          <w:tcPr>
            <w:tcW w:w="1619" w:type="dxa"/>
            <w:tcBorders>
              <w:tl2br w:val="nil"/>
              <w:tr2bl w:val="nil"/>
            </w:tcBorders>
            <w:vAlign w:val="center"/>
          </w:tcPr>
          <w:p w14:paraId="10F288B6">
            <w:pPr>
              <w:widowControl/>
              <w:ind w:firstLine="0" w:firstLineChars="0"/>
              <w:jc w:val="center"/>
              <w:textAlignment w:val="center"/>
              <w:rPr>
                <w:sz w:val="21"/>
                <w:szCs w:val="21"/>
              </w:rPr>
            </w:pPr>
            <w:r>
              <w:rPr>
                <w:rFonts w:hint="eastAsia" w:cs="宋体"/>
                <w:sz w:val="21"/>
                <w:szCs w:val="22"/>
                <w:lang w:bidi="ar"/>
              </w:rPr>
              <w:t>5.823</w:t>
            </w:r>
          </w:p>
        </w:tc>
      </w:tr>
      <w:tr w14:paraId="73AA6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3D9348F5">
            <w:pPr>
              <w:ind w:firstLine="0" w:firstLineChars="0"/>
              <w:jc w:val="center"/>
              <w:rPr>
                <w:sz w:val="21"/>
                <w:szCs w:val="21"/>
              </w:rPr>
            </w:pPr>
            <w:r>
              <w:rPr>
                <w:sz w:val="21"/>
                <w:szCs w:val="21"/>
              </w:rPr>
              <w:t>5</w:t>
            </w:r>
          </w:p>
        </w:tc>
        <w:tc>
          <w:tcPr>
            <w:tcW w:w="1268" w:type="dxa"/>
            <w:tcBorders>
              <w:tl2br w:val="nil"/>
              <w:tr2bl w:val="nil"/>
            </w:tcBorders>
            <w:vAlign w:val="center"/>
          </w:tcPr>
          <w:p w14:paraId="5662C248">
            <w:pPr>
              <w:widowControl/>
              <w:ind w:firstLine="0" w:firstLineChars="0"/>
              <w:jc w:val="center"/>
              <w:textAlignment w:val="center"/>
              <w:rPr>
                <w:sz w:val="21"/>
                <w:szCs w:val="21"/>
              </w:rPr>
            </w:pPr>
            <w:r>
              <w:rPr>
                <w:rFonts w:hint="eastAsia" w:cs="宋体"/>
                <w:sz w:val="21"/>
                <w:szCs w:val="22"/>
                <w:lang w:bidi="ar"/>
              </w:rPr>
              <w:t>300</w:t>
            </w:r>
          </w:p>
        </w:tc>
        <w:tc>
          <w:tcPr>
            <w:tcW w:w="1934" w:type="dxa"/>
            <w:tcBorders>
              <w:tl2br w:val="nil"/>
              <w:tr2bl w:val="nil"/>
            </w:tcBorders>
            <w:vAlign w:val="center"/>
          </w:tcPr>
          <w:p w14:paraId="25C437D9">
            <w:pPr>
              <w:widowControl/>
              <w:ind w:firstLine="0" w:firstLineChars="0"/>
              <w:jc w:val="center"/>
              <w:textAlignment w:val="center"/>
              <w:rPr>
                <w:sz w:val="21"/>
                <w:szCs w:val="21"/>
              </w:rPr>
            </w:pPr>
            <w:r>
              <w:rPr>
                <w:rFonts w:hint="eastAsia" w:cs="宋体"/>
                <w:sz w:val="21"/>
                <w:szCs w:val="22"/>
                <w:lang w:bidi="ar"/>
              </w:rPr>
              <w:t>5.066</w:t>
            </w:r>
          </w:p>
        </w:tc>
        <w:tc>
          <w:tcPr>
            <w:tcW w:w="1774" w:type="dxa"/>
            <w:tcBorders>
              <w:tl2br w:val="nil"/>
              <w:tr2bl w:val="nil"/>
            </w:tcBorders>
            <w:vAlign w:val="center"/>
          </w:tcPr>
          <w:p w14:paraId="739F44B0">
            <w:pPr>
              <w:widowControl/>
              <w:ind w:firstLine="0" w:firstLineChars="0"/>
              <w:jc w:val="center"/>
              <w:textAlignment w:val="center"/>
              <w:rPr>
                <w:sz w:val="21"/>
                <w:szCs w:val="21"/>
              </w:rPr>
            </w:pPr>
            <w:r>
              <w:rPr>
                <w:rFonts w:hint="eastAsia" w:cs="宋体"/>
                <w:sz w:val="21"/>
                <w:szCs w:val="22"/>
                <w:lang w:bidi="ar"/>
              </w:rPr>
              <w:t>2.533</w:t>
            </w:r>
          </w:p>
        </w:tc>
        <w:tc>
          <w:tcPr>
            <w:tcW w:w="1936" w:type="dxa"/>
            <w:tcBorders>
              <w:tl2br w:val="nil"/>
              <w:tr2bl w:val="nil"/>
            </w:tcBorders>
            <w:vAlign w:val="center"/>
          </w:tcPr>
          <w:p w14:paraId="401B115E">
            <w:pPr>
              <w:widowControl/>
              <w:ind w:firstLine="0" w:firstLineChars="0"/>
              <w:jc w:val="center"/>
              <w:textAlignment w:val="center"/>
              <w:rPr>
                <w:sz w:val="21"/>
                <w:szCs w:val="21"/>
              </w:rPr>
            </w:pPr>
            <w:r>
              <w:rPr>
                <w:rFonts w:hint="eastAsia" w:cs="宋体"/>
                <w:sz w:val="21"/>
                <w:szCs w:val="22"/>
                <w:lang w:bidi="ar"/>
              </w:rPr>
              <w:t>0.5091</w:t>
            </w:r>
          </w:p>
        </w:tc>
        <w:tc>
          <w:tcPr>
            <w:tcW w:w="1619" w:type="dxa"/>
            <w:tcBorders>
              <w:tl2br w:val="nil"/>
              <w:tr2bl w:val="nil"/>
            </w:tcBorders>
            <w:vAlign w:val="center"/>
          </w:tcPr>
          <w:p w14:paraId="69761FAF">
            <w:pPr>
              <w:widowControl/>
              <w:ind w:firstLine="0" w:firstLineChars="0"/>
              <w:jc w:val="center"/>
              <w:textAlignment w:val="center"/>
              <w:rPr>
                <w:sz w:val="21"/>
                <w:szCs w:val="21"/>
              </w:rPr>
            </w:pPr>
            <w:r>
              <w:rPr>
                <w:rFonts w:hint="eastAsia" w:cs="宋体"/>
                <w:sz w:val="21"/>
                <w:szCs w:val="22"/>
                <w:lang w:bidi="ar"/>
              </w:rPr>
              <w:t>5.091</w:t>
            </w:r>
          </w:p>
        </w:tc>
      </w:tr>
      <w:tr w14:paraId="56340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6AA1FC94">
            <w:pPr>
              <w:ind w:firstLine="0" w:firstLineChars="0"/>
              <w:jc w:val="center"/>
              <w:rPr>
                <w:sz w:val="21"/>
                <w:szCs w:val="21"/>
              </w:rPr>
            </w:pPr>
            <w:r>
              <w:rPr>
                <w:sz w:val="21"/>
                <w:szCs w:val="21"/>
              </w:rPr>
              <w:t>6</w:t>
            </w:r>
          </w:p>
        </w:tc>
        <w:tc>
          <w:tcPr>
            <w:tcW w:w="1268" w:type="dxa"/>
            <w:tcBorders>
              <w:tl2br w:val="nil"/>
              <w:tr2bl w:val="nil"/>
            </w:tcBorders>
            <w:vAlign w:val="center"/>
          </w:tcPr>
          <w:p w14:paraId="6363BBEA">
            <w:pPr>
              <w:widowControl/>
              <w:ind w:firstLine="0" w:firstLineChars="0"/>
              <w:jc w:val="center"/>
              <w:textAlignment w:val="center"/>
              <w:rPr>
                <w:sz w:val="21"/>
                <w:szCs w:val="21"/>
              </w:rPr>
            </w:pPr>
            <w:r>
              <w:rPr>
                <w:rFonts w:hint="eastAsia" w:cs="宋体"/>
                <w:sz w:val="21"/>
                <w:szCs w:val="22"/>
                <w:lang w:bidi="ar"/>
              </w:rPr>
              <w:t>400</w:t>
            </w:r>
          </w:p>
        </w:tc>
        <w:tc>
          <w:tcPr>
            <w:tcW w:w="1934" w:type="dxa"/>
            <w:tcBorders>
              <w:tl2br w:val="nil"/>
              <w:tr2bl w:val="nil"/>
            </w:tcBorders>
            <w:vAlign w:val="center"/>
          </w:tcPr>
          <w:p w14:paraId="042CED68">
            <w:pPr>
              <w:widowControl/>
              <w:ind w:firstLine="0" w:firstLineChars="0"/>
              <w:jc w:val="center"/>
              <w:textAlignment w:val="center"/>
              <w:rPr>
                <w:sz w:val="21"/>
                <w:szCs w:val="21"/>
              </w:rPr>
            </w:pPr>
            <w:r>
              <w:rPr>
                <w:rFonts w:hint="eastAsia" w:cs="宋体"/>
                <w:sz w:val="21"/>
                <w:szCs w:val="22"/>
                <w:lang w:bidi="ar"/>
              </w:rPr>
              <w:t>4.604</w:t>
            </w:r>
          </w:p>
        </w:tc>
        <w:tc>
          <w:tcPr>
            <w:tcW w:w="1774" w:type="dxa"/>
            <w:tcBorders>
              <w:tl2br w:val="nil"/>
              <w:tr2bl w:val="nil"/>
            </w:tcBorders>
            <w:vAlign w:val="center"/>
          </w:tcPr>
          <w:p w14:paraId="4A9C69C0">
            <w:pPr>
              <w:widowControl/>
              <w:ind w:firstLine="0" w:firstLineChars="0"/>
              <w:jc w:val="center"/>
              <w:textAlignment w:val="center"/>
              <w:rPr>
                <w:sz w:val="21"/>
                <w:szCs w:val="21"/>
              </w:rPr>
            </w:pPr>
            <w:r>
              <w:rPr>
                <w:rFonts w:hint="eastAsia" w:cs="宋体"/>
                <w:sz w:val="21"/>
                <w:szCs w:val="22"/>
                <w:lang w:bidi="ar"/>
              </w:rPr>
              <w:t>2.302</w:t>
            </w:r>
          </w:p>
        </w:tc>
        <w:tc>
          <w:tcPr>
            <w:tcW w:w="1936" w:type="dxa"/>
            <w:tcBorders>
              <w:tl2br w:val="nil"/>
              <w:tr2bl w:val="nil"/>
            </w:tcBorders>
            <w:vAlign w:val="center"/>
          </w:tcPr>
          <w:p w14:paraId="6D91C2B7">
            <w:pPr>
              <w:widowControl/>
              <w:ind w:firstLine="0" w:firstLineChars="0"/>
              <w:jc w:val="center"/>
              <w:textAlignment w:val="center"/>
              <w:rPr>
                <w:sz w:val="21"/>
                <w:szCs w:val="21"/>
              </w:rPr>
            </w:pPr>
            <w:r>
              <w:rPr>
                <w:rFonts w:hint="eastAsia" w:cs="宋体"/>
                <w:sz w:val="21"/>
                <w:szCs w:val="22"/>
                <w:lang w:bidi="ar"/>
              </w:rPr>
              <w:t>0.4625</w:t>
            </w:r>
          </w:p>
        </w:tc>
        <w:tc>
          <w:tcPr>
            <w:tcW w:w="1619" w:type="dxa"/>
            <w:tcBorders>
              <w:tl2br w:val="nil"/>
              <w:tr2bl w:val="nil"/>
            </w:tcBorders>
            <w:vAlign w:val="center"/>
          </w:tcPr>
          <w:p w14:paraId="0BE7C9C4">
            <w:pPr>
              <w:widowControl/>
              <w:ind w:firstLine="0" w:firstLineChars="0"/>
              <w:jc w:val="center"/>
              <w:textAlignment w:val="center"/>
              <w:rPr>
                <w:sz w:val="21"/>
                <w:szCs w:val="21"/>
              </w:rPr>
            </w:pPr>
            <w:r>
              <w:rPr>
                <w:rFonts w:hint="eastAsia" w:cs="宋体"/>
                <w:sz w:val="21"/>
                <w:szCs w:val="22"/>
                <w:lang w:bidi="ar"/>
              </w:rPr>
              <w:t>4.625</w:t>
            </w:r>
          </w:p>
        </w:tc>
      </w:tr>
      <w:tr w14:paraId="085AA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25A0155A">
            <w:pPr>
              <w:ind w:firstLine="0" w:firstLineChars="0"/>
              <w:jc w:val="center"/>
              <w:rPr>
                <w:sz w:val="21"/>
                <w:szCs w:val="21"/>
              </w:rPr>
            </w:pPr>
            <w:r>
              <w:rPr>
                <w:bCs/>
                <w:sz w:val="21"/>
                <w:szCs w:val="21"/>
              </w:rPr>
              <w:t>7</w:t>
            </w:r>
          </w:p>
        </w:tc>
        <w:tc>
          <w:tcPr>
            <w:tcW w:w="1268" w:type="dxa"/>
            <w:tcBorders>
              <w:tl2br w:val="nil"/>
              <w:tr2bl w:val="nil"/>
            </w:tcBorders>
            <w:vAlign w:val="center"/>
          </w:tcPr>
          <w:p w14:paraId="095FF0A5">
            <w:pPr>
              <w:widowControl/>
              <w:ind w:firstLine="0" w:firstLineChars="0"/>
              <w:jc w:val="center"/>
              <w:textAlignment w:val="center"/>
              <w:rPr>
                <w:sz w:val="21"/>
                <w:szCs w:val="21"/>
              </w:rPr>
            </w:pPr>
            <w:r>
              <w:rPr>
                <w:rFonts w:hint="eastAsia" w:cs="宋体"/>
                <w:sz w:val="21"/>
                <w:szCs w:val="22"/>
                <w:lang w:bidi="ar"/>
              </w:rPr>
              <w:t>500</w:t>
            </w:r>
          </w:p>
        </w:tc>
        <w:tc>
          <w:tcPr>
            <w:tcW w:w="1934" w:type="dxa"/>
            <w:tcBorders>
              <w:tl2br w:val="nil"/>
              <w:tr2bl w:val="nil"/>
            </w:tcBorders>
            <w:vAlign w:val="center"/>
          </w:tcPr>
          <w:p w14:paraId="409FA057">
            <w:pPr>
              <w:widowControl/>
              <w:ind w:firstLine="0" w:firstLineChars="0"/>
              <w:jc w:val="center"/>
              <w:textAlignment w:val="center"/>
              <w:rPr>
                <w:sz w:val="21"/>
                <w:szCs w:val="21"/>
              </w:rPr>
            </w:pPr>
            <w:r>
              <w:rPr>
                <w:rFonts w:hint="eastAsia" w:cs="宋体"/>
                <w:sz w:val="21"/>
                <w:szCs w:val="22"/>
                <w:lang w:bidi="ar"/>
              </w:rPr>
              <w:t>4.229</w:t>
            </w:r>
          </w:p>
        </w:tc>
        <w:tc>
          <w:tcPr>
            <w:tcW w:w="1774" w:type="dxa"/>
            <w:tcBorders>
              <w:tl2br w:val="nil"/>
              <w:tr2bl w:val="nil"/>
            </w:tcBorders>
            <w:vAlign w:val="center"/>
          </w:tcPr>
          <w:p w14:paraId="46D6FE80">
            <w:pPr>
              <w:widowControl/>
              <w:ind w:firstLine="0" w:firstLineChars="0"/>
              <w:jc w:val="center"/>
              <w:textAlignment w:val="center"/>
              <w:rPr>
                <w:sz w:val="21"/>
                <w:szCs w:val="21"/>
              </w:rPr>
            </w:pPr>
            <w:r>
              <w:rPr>
                <w:rFonts w:hint="eastAsia" w:cs="宋体"/>
                <w:sz w:val="21"/>
                <w:szCs w:val="22"/>
                <w:lang w:bidi="ar"/>
              </w:rPr>
              <w:t>2.1145</w:t>
            </w:r>
          </w:p>
        </w:tc>
        <w:tc>
          <w:tcPr>
            <w:tcW w:w="1936" w:type="dxa"/>
            <w:tcBorders>
              <w:tl2br w:val="nil"/>
              <w:tr2bl w:val="nil"/>
            </w:tcBorders>
            <w:vAlign w:val="center"/>
          </w:tcPr>
          <w:p w14:paraId="40EE469F">
            <w:pPr>
              <w:widowControl/>
              <w:ind w:firstLine="0" w:firstLineChars="0"/>
              <w:jc w:val="center"/>
              <w:textAlignment w:val="center"/>
              <w:rPr>
                <w:sz w:val="21"/>
                <w:szCs w:val="21"/>
              </w:rPr>
            </w:pPr>
            <w:r>
              <w:rPr>
                <w:rFonts w:hint="eastAsia" w:cs="宋体"/>
                <w:sz w:val="21"/>
                <w:szCs w:val="22"/>
                <w:lang w:bidi="ar"/>
              </w:rPr>
              <w:t>0.425</w:t>
            </w:r>
          </w:p>
        </w:tc>
        <w:tc>
          <w:tcPr>
            <w:tcW w:w="1619" w:type="dxa"/>
            <w:tcBorders>
              <w:tl2br w:val="nil"/>
              <w:tr2bl w:val="nil"/>
            </w:tcBorders>
            <w:vAlign w:val="center"/>
          </w:tcPr>
          <w:p w14:paraId="10181E9A">
            <w:pPr>
              <w:widowControl/>
              <w:ind w:firstLine="0" w:firstLineChars="0"/>
              <w:jc w:val="center"/>
              <w:textAlignment w:val="center"/>
              <w:rPr>
                <w:sz w:val="21"/>
                <w:szCs w:val="21"/>
              </w:rPr>
            </w:pPr>
            <w:r>
              <w:rPr>
                <w:rFonts w:hint="eastAsia" w:cs="宋体"/>
                <w:sz w:val="21"/>
                <w:szCs w:val="22"/>
                <w:lang w:bidi="ar"/>
              </w:rPr>
              <w:t>4.25</w:t>
            </w:r>
          </w:p>
        </w:tc>
      </w:tr>
      <w:tr w14:paraId="74D84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1A09766B">
            <w:pPr>
              <w:ind w:firstLine="0" w:firstLineChars="0"/>
              <w:jc w:val="center"/>
              <w:rPr>
                <w:sz w:val="21"/>
                <w:szCs w:val="21"/>
              </w:rPr>
            </w:pPr>
            <w:r>
              <w:rPr>
                <w:sz w:val="21"/>
                <w:szCs w:val="21"/>
              </w:rPr>
              <w:t>8</w:t>
            </w:r>
          </w:p>
        </w:tc>
        <w:tc>
          <w:tcPr>
            <w:tcW w:w="1268" w:type="dxa"/>
            <w:tcBorders>
              <w:tl2br w:val="nil"/>
              <w:tr2bl w:val="nil"/>
            </w:tcBorders>
            <w:vAlign w:val="center"/>
          </w:tcPr>
          <w:p w14:paraId="78109DB7">
            <w:pPr>
              <w:widowControl/>
              <w:ind w:firstLine="0" w:firstLineChars="0"/>
              <w:jc w:val="center"/>
              <w:textAlignment w:val="center"/>
              <w:rPr>
                <w:sz w:val="21"/>
                <w:szCs w:val="21"/>
              </w:rPr>
            </w:pPr>
            <w:r>
              <w:rPr>
                <w:rFonts w:hint="eastAsia" w:cs="宋体"/>
                <w:sz w:val="21"/>
                <w:szCs w:val="22"/>
                <w:lang w:bidi="ar"/>
              </w:rPr>
              <w:t>600</w:t>
            </w:r>
          </w:p>
        </w:tc>
        <w:tc>
          <w:tcPr>
            <w:tcW w:w="1934" w:type="dxa"/>
            <w:tcBorders>
              <w:tl2br w:val="nil"/>
              <w:tr2bl w:val="nil"/>
            </w:tcBorders>
            <w:vAlign w:val="center"/>
          </w:tcPr>
          <w:p w14:paraId="307F742F">
            <w:pPr>
              <w:widowControl/>
              <w:ind w:firstLine="0" w:firstLineChars="0"/>
              <w:jc w:val="center"/>
              <w:textAlignment w:val="center"/>
              <w:rPr>
                <w:sz w:val="21"/>
                <w:szCs w:val="21"/>
              </w:rPr>
            </w:pPr>
            <w:r>
              <w:rPr>
                <w:rFonts w:hint="eastAsia" w:cs="宋体"/>
                <w:sz w:val="21"/>
                <w:szCs w:val="22"/>
                <w:lang w:bidi="ar"/>
              </w:rPr>
              <w:t>3.911</w:t>
            </w:r>
          </w:p>
        </w:tc>
        <w:tc>
          <w:tcPr>
            <w:tcW w:w="1774" w:type="dxa"/>
            <w:tcBorders>
              <w:tl2br w:val="nil"/>
              <w:tr2bl w:val="nil"/>
            </w:tcBorders>
            <w:vAlign w:val="center"/>
          </w:tcPr>
          <w:p w14:paraId="24990EE9">
            <w:pPr>
              <w:widowControl/>
              <w:ind w:firstLine="0" w:firstLineChars="0"/>
              <w:jc w:val="center"/>
              <w:textAlignment w:val="center"/>
              <w:rPr>
                <w:sz w:val="21"/>
                <w:szCs w:val="21"/>
              </w:rPr>
            </w:pPr>
            <w:r>
              <w:rPr>
                <w:rFonts w:hint="eastAsia" w:cs="宋体"/>
                <w:sz w:val="21"/>
                <w:szCs w:val="22"/>
                <w:lang w:bidi="ar"/>
              </w:rPr>
              <w:t>1.9555</w:t>
            </w:r>
          </w:p>
        </w:tc>
        <w:tc>
          <w:tcPr>
            <w:tcW w:w="1936" w:type="dxa"/>
            <w:tcBorders>
              <w:tl2br w:val="nil"/>
              <w:tr2bl w:val="nil"/>
            </w:tcBorders>
            <w:vAlign w:val="center"/>
          </w:tcPr>
          <w:p w14:paraId="1EDDC056">
            <w:pPr>
              <w:widowControl/>
              <w:ind w:firstLine="0" w:firstLineChars="0"/>
              <w:jc w:val="center"/>
              <w:textAlignment w:val="center"/>
              <w:rPr>
                <w:sz w:val="21"/>
                <w:szCs w:val="21"/>
              </w:rPr>
            </w:pPr>
            <w:r>
              <w:rPr>
                <w:rFonts w:hint="eastAsia" w:cs="宋体"/>
                <w:sz w:val="21"/>
                <w:szCs w:val="22"/>
                <w:lang w:bidi="ar"/>
              </w:rPr>
              <w:t>0.3927</w:t>
            </w:r>
          </w:p>
        </w:tc>
        <w:tc>
          <w:tcPr>
            <w:tcW w:w="1619" w:type="dxa"/>
            <w:tcBorders>
              <w:tl2br w:val="nil"/>
              <w:tr2bl w:val="nil"/>
            </w:tcBorders>
            <w:vAlign w:val="center"/>
          </w:tcPr>
          <w:p w14:paraId="3C2865DB">
            <w:pPr>
              <w:widowControl/>
              <w:ind w:firstLine="0" w:firstLineChars="0"/>
              <w:jc w:val="center"/>
              <w:textAlignment w:val="center"/>
              <w:rPr>
                <w:sz w:val="21"/>
                <w:szCs w:val="21"/>
              </w:rPr>
            </w:pPr>
            <w:r>
              <w:rPr>
                <w:rFonts w:hint="eastAsia" w:cs="宋体"/>
                <w:sz w:val="21"/>
                <w:szCs w:val="22"/>
                <w:lang w:bidi="ar"/>
              </w:rPr>
              <w:t>3.927</w:t>
            </w:r>
          </w:p>
        </w:tc>
      </w:tr>
      <w:tr w14:paraId="3C402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285E0942">
            <w:pPr>
              <w:ind w:firstLine="0" w:firstLineChars="0"/>
              <w:jc w:val="center"/>
              <w:rPr>
                <w:sz w:val="21"/>
                <w:szCs w:val="21"/>
              </w:rPr>
            </w:pPr>
            <w:r>
              <w:rPr>
                <w:sz w:val="21"/>
                <w:szCs w:val="21"/>
              </w:rPr>
              <w:t>9</w:t>
            </w:r>
          </w:p>
        </w:tc>
        <w:tc>
          <w:tcPr>
            <w:tcW w:w="1268" w:type="dxa"/>
            <w:tcBorders>
              <w:tl2br w:val="nil"/>
              <w:tr2bl w:val="nil"/>
            </w:tcBorders>
            <w:vAlign w:val="center"/>
          </w:tcPr>
          <w:p w14:paraId="3A95F63A">
            <w:pPr>
              <w:widowControl/>
              <w:ind w:firstLine="0" w:firstLineChars="0"/>
              <w:jc w:val="center"/>
              <w:textAlignment w:val="center"/>
              <w:rPr>
                <w:sz w:val="21"/>
                <w:szCs w:val="21"/>
              </w:rPr>
            </w:pPr>
            <w:r>
              <w:rPr>
                <w:rFonts w:hint="eastAsia" w:cs="宋体"/>
                <w:sz w:val="21"/>
                <w:szCs w:val="22"/>
                <w:lang w:bidi="ar"/>
              </w:rPr>
              <w:t>700</w:t>
            </w:r>
          </w:p>
        </w:tc>
        <w:tc>
          <w:tcPr>
            <w:tcW w:w="1934" w:type="dxa"/>
            <w:tcBorders>
              <w:tl2br w:val="nil"/>
              <w:tr2bl w:val="nil"/>
            </w:tcBorders>
            <w:vAlign w:val="center"/>
          </w:tcPr>
          <w:p w14:paraId="2613F354">
            <w:pPr>
              <w:widowControl/>
              <w:ind w:firstLine="0" w:firstLineChars="0"/>
              <w:jc w:val="center"/>
              <w:textAlignment w:val="center"/>
              <w:rPr>
                <w:sz w:val="21"/>
                <w:szCs w:val="21"/>
              </w:rPr>
            </w:pPr>
            <w:r>
              <w:rPr>
                <w:rFonts w:hint="eastAsia" w:cs="宋体"/>
                <w:sz w:val="21"/>
                <w:szCs w:val="22"/>
                <w:lang w:bidi="ar"/>
              </w:rPr>
              <w:t>3.632</w:t>
            </w:r>
          </w:p>
        </w:tc>
        <w:tc>
          <w:tcPr>
            <w:tcW w:w="1774" w:type="dxa"/>
            <w:tcBorders>
              <w:tl2br w:val="nil"/>
              <w:tr2bl w:val="nil"/>
            </w:tcBorders>
            <w:vAlign w:val="center"/>
          </w:tcPr>
          <w:p w14:paraId="666A9257">
            <w:pPr>
              <w:widowControl/>
              <w:ind w:firstLine="0" w:firstLineChars="0"/>
              <w:jc w:val="center"/>
              <w:textAlignment w:val="center"/>
              <w:rPr>
                <w:sz w:val="21"/>
                <w:szCs w:val="21"/>
              </w:rPr>
            </w:pPr>
            <w:r>
              <w:rPr>
                <w:rFonts w:hint="eastAsia" w:cs="宋体"/>
                <w:sz w:val="21"/>
                <w:szCs w:val="22"/>
                <w:lang w:bidi="ar"/>
              </w:rPr>
              <w:t>1.816</w:t>
            </w:r>
          </w:p>
        </w:tc>
        <w:tc>
          <w:tcPr>
            <w:tcW w:w="1936" w:type="dxa"/>
            <w:tcBorders>
              <w:tl2br w:val="nil"/>
              <w:tr2bl w:val="nil"/>
            </w:tcBorders>
            <w:vAlign w:val="center"/>
          </w:tcPr>
          <w:p w14:paraId="217CEF9F">
            <w:pPr>
              <w:widowControl/>
              <w:ind w:firstLine="0" w:firstLineChars="0"/>
              <w:jc w:val="center"/>
              <w:textAlignment w:val="center"/>
              <w:rPr>
                <w:sz w:val="21"/>
                <w:szCs w:val="21"/>
              </w:rPr>
            </w:pPr>
            <w:r>
              <w:rPr>
                <w:rFonts w:hint="eastAsia" w:cs="宋体"/>
                <w:sz w:val="21"/>
                <w:szCs w:val="22"/>
                <w:lang w:bidi="ar"/>
              </w:rPr>
              <w:t>0.3646</w:t>
            </w:r>
          </w:p>
        </w:tc>
        <w:tc>
          <w:tcPr>
            <w:tcW w:w="1619" w:type="dxa"/>
            <w:tcBorders>
              <w:tl2br w:val="nil"/>
              <w:tr2bl w:val="nil"/>
            </w:tcBorders>
            <w:vAlign w:val="center"/>
          </w:tcPr>
          <w:p w14:paraId="51015C56">
            <w:pPr>
              <w:widowControl/>
              <w:ind w:firstLine="0" w:firstLineChars="0"/>
              <w:jc w:val="center"/>
              <w:textAlignment w:val="center"/>
              <w:rPr>
                <w:sz w:val="21"/>
                <w:szCs w:val="21"/>
              </w:rPr>
            </w:pPr>
            <w:r>
              <w:rPr>
                <w:rFonts w:hint="eastAsia" w:cs="宋体"/>
                <w:sz w:val="21"/>
                <w:szCs w:val="22"/>
                <w:lang w:bidi="ar"/>
              </w:rPr>
              <w:t>3.646</w:t>
            </w:r>
          </w:p>
        </w:tc>
      </w:tr>
      <w:tr w14:paraId="70661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03BA04B6">
            <w:pPr>
              <w:ind w:firstLine="0" w:firstLineChars="0"/>
              <w:jc w:val="center"/>
              <w:rPr>
                <w:sz w:val="21"/>
                <w:szCs w:val="21"/>
              </w:rPr>
            </w:pPr>
            <w:r>
              <w:rPr>
                <w:sz w:val="21"/>
                <w:szCs w:val="21"/>
              </w:rPr>
              <w:t>10</w:t>
            </w:r>
          </w:p>
        </w:tc>
        <w:tc>
          <w:tcPr>
            <w:tcW w:w="1268" w:type="dxa"/>
            <w:tcBorders>
              <w:tl2br w:val="nil"/>
              <w:tr2bl w:val="nil"/>
            </w:tcBorders>
            <w:vAlign w:val="center"/>
          </w:tcPr>
          <w:p w14:paraId="12536C79">
            <w:pPr>
              <w:widowControl/>
              <w:ind w:firstLine="0" w:firstLineChars="0"/>
              <w:jc w:val="center"/>
              <w:textAlignment w:val="center"/>
              <w:rPr>
                <w:sz w:val="21"/>
                <w:szCs w:val="21"/>
              </w:rPr>
            </w:pPr>
            <w:r>
              <w:rPr>
                <w:rFonts w:hint="eastAsia" w:cs="宋体"/>
                <w:sz w:val="21"/>
                <w:szCs w:val="22"/>
                <w:lang w:bidi="ar"/>
              </w:rPr>
              <w:t>800</w:t>
            </w:r>
          </w:p>
        </w:tc>
        <w:tc>
          <w:tcPr>
            <w:tcW w:w="1934" w:type="dxa"/>
            <w:tcBorders>
              <w:tl2br w:val="nil"/>
              <w:tr2bl w:val="nil"/>
            </w:tcBorders>
            <w:vAlign w:val="center"/>
          </w:tcPr>
          <w:p w14:paraId="257513D5">
            <w:pPr>
              <w:widowControl/>
              <w:ind w:firstLine="0" w:firstLineChars="0"/>
              <w:jc w:val="center"/>
              <w:textAlignment w:val="center"/>
              <w:rPr>
                <w:sz w:val="21"/>
                <w:szCs w:val="21"/>
              </w:rPr>
            </w:pPr>
            <w:r>
              <w:rPr>
                <w:rFonts w:hint="eastAsia" w:cs="宋体"/>
                <w:sz w:val="21"/>
                <w:szCs w:val="22"/>
                <w:lang w:bidi="ar"/>
              </w:rPr>
              <w:t>3.391</w:t>
            </w:r>
          </w:p>
        </w:tc>
        <w:tc>
          <w:tcPr>
            <w:tcW w:w="1774" w:type="dxa"/>
            <w:tcBorders>
              <w:tl2br w:val="nil"/>
              <w:tr2bl w:val="nil"/>
            </w:tcBorders>
            <w:vAlign w:val="center"/>
          </w:tcPr>
          <w:p w14:paraId="17869CDC">
            <w:pPr>
              <w:widowControl/>
              <w:ind w:firstLine="0" w:firstLineChars="0"/>
              <w:jc w:val="center"/>
              <w:textAlignment w:val="center"/>
              <w:rPr>
                <w:sz w:val="21"/>
                <w:szCs w:val="21"/>
              </w:rPr>
            </w:pPr>
            <w:r>
              <w:rPr>
                <w:rFonts w:hint="eastAsia" w:cs="宋体"/>
                <w:sz w:val="21"/>
                <w:szCs w:val="22"/>
                <w:lang w:bidi="ar"/>
              </w:rPr>
              <w:t>1.6955</w:t>
            </w:r>
          </w:p>
        </w:tc>
        <w:tc>
          <w:tcPr>
            <w:tcW w:w="1936" w:type="dxa"/>
            <w:tcBorders>
              <w:tl2br w:val="nil"/>
              <w:tr2bl w:val="nil"/>
            </w:tcBorders>
            <w:vAlign w:val="center"/>
          </w:tcPr>
          <w:p w14:paraId="223C6C88">
            <w:pPr>
              <w:widowControl/>
              <w:ind w:firstLine="0" w:firstLineChars="0"/>
              <w:jc w:val="center"/>
              <w:textAlignment w:val="center"/>
              <w:rPr>
                <w:sz w:val="21"/>
                <w:szCs w:val="21"/>
              </w:rPr>
            </w:pPr>
            <w:r>
              <w:rPr>
                <w:rFonts w:hint="eastAsia" w:cs="宋体"/>
                <w:sz w:val="21"/>
                <w:szCs w:val="22"/>
                <w:lang w:bidi="ar"/>
              </w:rPr>
              <w:t>0.3402</w:t>
            </w:r>
          </w:p>
        </w:tc>
        <w:tc>
          <w:tcPr>
            <w:tcW w:w="1619" w:type="dxa"/>
            <w:tcBorders>
              <w:tl2br w:val="nil"/>
              <w:tr2bl w:val="nil"/>
            </w:tcBorders>
            <w:vAlign w:val="center"/>
          </w:tcPr>
          <w:p w14:paraId="031C5143">
            <w:pPr>
              <w:widowControl/>
              <w:ind w:firstLine="0" w:firstLineChars="0"/>
              <w:jc w:val="center"/>
              <w:textAlignment w:val="center"/>
              <w:rPr>
                <w:sz w:val="21"/>
                <w:szCs w:val="21"/>
              </w:rPr>
            </w:pPr>
            <w:r>
              <w:rPr>
                <w:rFonts w:hint="eastAsia" w:cs="宋体"/>
                <w:sz w:val="21"/>
                <w:szCs w:val="22"/>
                <w:lang w:bidi="ar"/>
              </w:rPr>
              <w:t>3.402</w:t>
            </w:r>
          </w:p>
        </w:tc>
      </w:tr>
      <w:tr w14:paraId="46CC9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18C4F9C7">
            <w:pPr>
              <w:ind w:firstLine="0" w:firstLineChars="0"/>
              <w:jc w:val="center"/>
              <w:rPr>
                <w:sz w:val="21"/>
                <w:szCs w:val="21"/>
              </w:rPr>
            </w:pPr>
            <w:r>
              <w:rPr>
                <w:sz w:val="21"/>
                <w:szCs w:val="21"/>
              </w:rPr>
              <w:t>11</w:t>
            </w:r>
          </w:p>
        </w:tc>
        <w:tc>
          <w:tcPr>
            <w:tcW w:w="1268" w:type="dxa"/>
            <w:tcBorders>
              <w:tl2br w:val="nil"/>
              <w:tr2bl w:val="nil"/>
            </w:tcBorders>
            <w:vAlign w:val="center"/>
          </w:tcPr>
          <w:p w14:paraId="57AF081B">
            <w:pPr>
              <w:widowControl/>
              <w:ind w:firstLine="0" w:firstLineChars="0"/>
              <w:jc w:val="center"/>
              <w:textAlignment w:val="center"/>
              <w:rPr>
                <w:sz w:val="21"/>
                <w:szCs w:val="21"/>
              </w:rPr>
            </w:pPr>
            <w:r>
              <w:rPr>
                <w:rFonts w:hint="eastAsia" w:cs="宋体"/>
                <w:sz w:val="21"/>
                <w:szCs w:val="22"/>
                <w:lang w:bidi="ar"/>
              </w:rPr>
              <w:t>900</w:t>
            </w:r>
          </w:p>
        </w:tc>
        <w:tc>
          <w:tcPr>
            <w:tcW w:w="1934" w:type="dxa"/>
            <w:tcBorders>
              <w:tl2br w:val="nil"/>
              <w:tr2bl w:val="nil"/>
            </w:tcBorders>
            <w:vAlign w:val="center"/>
          </w:tcPr>
          <w:p w14:paraId="70D6D237">
            <w:pPr>
              <w:widowControl/>
              <w:ind w:firstLine="0" w:firstLineChars="0"/>
              <w:jc w:val="center"/>
              <w:textAlignment w:val="center"/>
              <w:rPr>
                <w:sz w:val="21"/>
                <w:szCs w:val="21"/>
              </w:rPr>
            </w:pPr>
            <w:r>
              <w:rPr>
                <w:rFonts w:hint="eastAsia" w:cs="宋体"/>
                <w:sz w:val="21"/>
                <w:szCs w:val="22"/>
                <w:lang w:bidi="ar"/>
              </w:rPr>
              <w:t>3.306</w:t>
            </w:r>
          </w:p>
        </w:tc>
        <w:tc>
          <w:tcPr>
            <w:tcW w:w="1774" w:type="dxa"/>
            <w:tcBorders>
              <w:tl2br w:val="nil"/>
              <w:tr2bl w:val="nil"/>
            </w:tcBorders>
            <w:vAlign w:val="center"/>
          </w:tcPr>
          <w:p w14:paraId="7C4B8316">
            <w:pPr>
              <w:widowControl/>
              <w:ind w:firstLine="0" w:firstLineChars="0"/>
              <w:jc w:val="center"/>
              <w:textAlignment w:val="center"/>
              <w:rPr>
                <w:sz w:val="21"/>
                <w:szCs w:val="21"/>
              </w:rPr>
            </w:pPr>
            <w:r>
              <w:rPr>
                <w:rFonts w:hint="eastAsia" w:cs="宋体"/>
                <w:sz w:val="21"/>
                <w:szCs w:val="22"/>
                <w:lang w:bidi="ar"/>
              </w:rPr>
              <w:t>1.653</w:t>
            </w:r>
          </w:p>
        </w:tc>
        <w:tc>
          <w:tcPr>
            <w:tcW w:w="1936" w:type="dxa"/>
            <w:tcBorders>
              <w:tl2br w:val="nil"/>
              <w:tr2bl w:val="nil"/>
            </w:tcBorders>
            <w:vAlign w:val="center"/>
          </w:tcPr>
          <w:p w14:paraId="77F0CD9D">
            <w:pPr>
              <w:widowControl/>
              <w:ind w:firstLine="0" w:firstLineChars="0"/>
              <w:jc w:val="center"/>
              <w:textAlignment w:val="center"/>
              <w:rPr>
                <w:sz w:val="21"/>
                <w:szCs w:val="21"/>
              </w:rPr>
            </w:pPr>
            <w:r>
              <w:rPr>
                <w:rFonts w:hint="eastAsia" w:cs="宋体"/>
                <w:sz w:val="21"/>
                <w:szCs w:val="22"/>
                <w:lang w:bidi="ar"/>
              </w:rPr>
              <w:t>0.3314</w:t>
            </w:r>
          </w:p>
        </w:tc>
        <w:tc>
          <w:tcPr>
            <w:tcW w:w="1619" w:type="dxa"/>
            <w:tcBorders>
              <w:tl2br w:val="nil"/>
              <w:tr2bl w:val="nil"/>
            </w:tcBorders>
            <w:vAlign w:val="center"/>
          </w:tcPr>
          <w:p w14:paraId="6C0CEC28">
            <w:pPr>
              <w:widowControl/>
              <w:ind w:firstLine="0" w:firstLineChars="0"/>
              <w:jc w:val="center"/>
              <w:textAlignment w:val="center"/>
              <w:rPr>
                <w:sz w:val="21"/>
                <w:szCs w:val="21"/>
              </w:rPr>
            </w:pPr>
            <w:r>
              <w:rPr>
                <w:rFonts w:hint="eastAsia" w:cs="宋体"/>
                <w:sz w:val="21"/>
                <w:szCs w:val="22"/>
                <w:lang w:bidi="ar"/>
              </w:rPr>
              <w:t>3.314</w:t>
            </w:r>
          </w:p>
        </w:tc>
      </w:tr>
      <w:tr w14:paraId="17843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3205CB04">
            <w:pPr>
              <w:ind w:firstLine="0" w:firstLineChars="0"/>
              <w:jc w:val="center"/>
              <w:rPr>
                <w:sz w:val="21"/>
                <w:szCs w:val="21"/>
              </w:rPr>
            </w:pPr>
            <w:r>
              <w:rPr>
                <w:sz w:val="21"/>
                <w:szCs w:val="21"/>
              </w:rPr>
              <w:t>12</w:t>
            </w:r>
          </w:p>
        </w:tc>
        <w:tc>
          <w:tcPr>
            <w:tcW w:w="1268" w:type="dxa"/>
            <w:tcBorders>
              <w:tl2br w:val="nil"/>
              <w:tr2bl w:val="nil"/>
            </w:tcBorders>
            <w:vAlign w:val="center"/>
          </w:tcPr>
          <w:p w14:paraId="234A3837">
            <w:pPr>
              <w:widowControl/>
              <w:ind w:firstLine="0" w:firstLineChars="0"/>
              <w:jc w:val="center"/>
              <w:textAlignment w:val="center"/>
              <w:rPr>
                <w:sz w:val="21"/>
                <w:szCs w:val="21"/>
              </w:rPr>
            </w:pPr>
            <w:r>
              <w:rPr>
                <w:rFonts w:hint="eastAsia" w:cs="宋体"/>
                <w:sz w:val="21"/>
                <w:szCs w:val="22"/>
                <w:lang w:bidi="ar"/>
              </w:rPr>
              <w:t>1000</w:t>
            </w:r>
          </w:p>
        </w:tc>
        <w:tc>
          <w:tcPr>
            <w:tcW w:w="1934" w:type="dxa"/>
            <w:tcBorders>
              <w:tl2br w:val="nil"/>
              <w:tr2bl w:val="nil"/>
            </w:tcBorders>
            <w:vAlign w:val="center"/>
          </w:tcPr>
          <w:p w14:paraId="715B4EB3">
            <w:pPr>
              <w:widowControl/>
              <w:ind w:firstLine="0" w:firstLineChars="0"/>
              <w:jc w:val="center"/>
              <w:textAlignment w:val="center"/>
              <w:rPr>
                <w:sz w:val="21"/>
                <w:szCs w:val="21"/>
              </w:rPr>
            </w:pPr>
            <w:r>
              <w:rPr>
                <w:rFonts w:hint="eastAsia" w:cs="宋体"/>
                <w:sz w:val="21"/>
                <w:szCs w:val="22"/>
                <w:lang w:bidi="ar"/>
              </w:rPr>
              <w:t>3.303</w:t>
            </w:r>
          </w:p>
        </w:tc>
        <w:tc>
          <w:tcPr>
            <w:tcW w:w="1774" w:type="dxa"/>
            <w:tcBorders>
              <w:tl2br w:val="nil"/>
              <w:tr2bl w:val="nil"/>
            </w:tcBorders>
            <w:vAlign w:val="center"/>
          </w:tcPr>
          <w:p w14:paraId="56E7161F">
            <w:pPr>
              <w:widowControl/>
              <w:ind w:firstLine="0" w:firstLineChars="0"/>
              <w:jc w:val="center"/>
              <w:textAlignment w:val="center"/>
              <w:rPr>
                <w:sz w:val="21"/>
                <w:szCs w:val="21"/>
              </w:rPr>
            </w:pPr>
            <w:r>
              <w:rPr>
                <w:rFonts w:hint="eastAsia" w:cs="宋体"/>
                <w:sz w:val="21"/>
                <w:szCs w:val="22"/>
                <w:lang w:bidi="ar"/>
              </w:rPr>
              <w:t>1.6515</w:t>
            </w:r>
          </w:p>
        </w:tc>
        <w:tc>
          <w:tcPr>
            <w:tcW w:w="1936" w:type="dxa"/>
            <w:tcBorders>
              <w:tl2br w:val="nil"/>
              <w:tr2bl w:val="nil"/>
            </w:tcBorders>
            <w:vAlign w:val="center"/>
          </w:tcPr>
          <w:p w14:paraId="7A488F15">
            <w:pPr>
              <w:widowControl/>
              <w:ind w:firstLine="0" w:firstLineChars="0"/>
              <w:jc w:val="center"/>
              <w:textAlignment w:val="center"/>
              <w:rPr>
                <w:sz w:val="21"/>
                <w:szCs w:val="21"/>
              </w:rPr>
            </w:pPr>
            <w:r>
              <w:rPr>
                <w:rFonts w:hint="eastAsia" w:cs="宋体"/>
                <w:sz w:val="21"/>
                <w:szCs w:val="22"/>
                <w:lang w:bidi="ar"/>
              </w:rPr>
              <w:t>0.3304</w:t>
            </w:r>
          </w:p>
        </w:tc>
        <w:tc>
          <w:tcPr>
            <w:tcW w:w="1619" w:type="dxa"/>
            <w:tcBorders>
              <w:tl2br w:val="nil"/>
              <w:tr2bl w:val="nil"/>
            </w:tcBorders>
            <w:vAlign w:val="center"/>
          </w:tcPr>
          <w:p w14:paraId="4CA60114">
            <w:pPr>
              <w:widowControl/>
              <w:ind w:firstLine="0" w:firstLineChars="0"/>
              <w:jc w:val="center"/>
              <w:textAlignment w:val="center"/>
              <w:rPr>
                <w:sz w:val="21"/>
                <w:szCs w:val="21"/>
              </w:rPr>
            </w:pPr>
            <w:r>
              <w:rPr>
                <w:rFonts w:hint="eastAsia" w:cs="宋体"/>
                <w:sz w:val="21"/>
                <w:szCs w:val="22"/>
                <w:lang w:bidi="ar"/>
              </w:rPr>
              <w:t>3.304</w:t>
            </w:r>
          </w:p>
        </w:tc>
      </w:tr>
      <w:tr w14:paraId="1F97E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4752ED83">
            <w:pPr>
              <w:ind w:firstLine="0" w:firstLineChars="0"/>
              <w:jc w:val="center"/>
              <w:rPr>
                <w:sz w:val="21"/>
                <w:szCs w:val="21"/>
              </w:rPr>
            </w:pPr>
            <w:r>
              <w:rPr>
                <w:sz w:val="21"/>
                <w:szCs w:val="21"/>
              </w:rPr>
              <w:t>13</w:t>
            </w:r>
          </w:p>
        </w:tc>
        <w:tc>
          <w:tcPr>
            <w:tcW w:w="1268" w:type="dxa"/>
            <w:tcBorders>
              <w:tl2br w:val="nil"/>
              <w:tr2bl w:val="nil"/>
            </w:tcBorders>
            <w:vAlign w:val="center"/>
          </w:tcPr>
          <w:p w14:paraId="536EA344">
            <w:pPr>
              <w:widowControl/>
              <w:ind w:firstLine="0" w:firstLineChars="0"/>
              <w:jc w:val="center"/>
              <w:textAlignment w:val="center"/>
              <w:rPr>
                <w:sz w:val="21"/>
                <w:szCs w:val="21"/>
              </w:rPr>
            </w:pPr>
            <w:r>
              <w:rPr>
                <w:rFonts w:hint="eastAsia" w:cs="宋体"/>
                <w:sz w:val="21"/>
                <w:szCs w:val="22"/>
                <w:lang w:bidi="ar"/>
              </w:rPr>
              <w:t>1100</w:t>
            </w:r>
          </w:p>
        </w:tc>
        <w:tc>
          <w:tcPr>
            <w:tcW w:w="1934" w:type="dxa"/>
            <w:tcBorders>
              <w:tl2br w:val="nil"/>
              <w:tr2bl w:val="nil"/>
            </w:tcBorders>
            <w:vAlign w:val="center"/>
          </w:tcPr>
          <w:p w14:paraId="567A3806">
            <w:pPr>
              <w:widowControl/>
              <w:ind w:firstLine="0" w:firstLineChars="0"/>
              <w:jc w:val="center"/>
              <w:textAlignment w:val="center"/>
              <w:rPr>
                <w:sz w:val="21"/>
                <w:szCs w:val="21"/>
              </w:rPr>
            </w:pPr>
            <w:r>
              <w:rPr>
                <w:rFonts w:hint="eastAsia" w:cs="宋体"/>
                <w:sz w:val="21"/>
                <w:szCs w:val="22"/>
                <w:lang w:bidi="ar"/>
              </w:rPr>
              <w:t>3.142</w:t>
            </w:r>
          </w:p>
        </w:tc>
        <w:tc>
          <w:tcPr>
            <w:tcW w:w="1774" w:type="dxa"/>
            <w:tcBorders>
              <w:tl2br w:val="nil"/>
              <w:tr2bl w:val="nil"/>
            </w:tcBorders>
            <w:vAlign w:val="center"/>
          </w:tcPr>
          <w:p w14:paraId="29C43398">
            <w:pPr>
              <w:widowControl/>
              <w:ind w:firstLine="0" w:firstLineChars="0"/>
              <w:jc w:val="center"/>
              <w:textAlignment w:val="center"/>
              <w:rPr>
                <w:sz w:val="21"/>
                <w:szCs w:val="21"/>
              </w:rPr>
            </w:pPr>
            <w:r>
              <w:rPr>
                <w:rFonts w:hint="eastAsia" w:cs="宋体"/>
                <w:sz w:val="21"/>
                <w:szCs w:val="22"/>
                <w:lang w:bidi="ar"/>
              </w:rPr>
              <w:t>1.571</w:t>
            </w:r>
          </w:p>
        </w:tc>
        <w:tc>
          <w:tcPr>
            <w:tcW w:w="1936" w:type="dxa"/>
            <w:tcBorders>
              <w:tl2br w:val="nil"/>
              <w:tr2bl w:val="nil"/>
            </w:tcBorders>
            <w:vAlign w:val="center"/>
          </w:tcPr>
          <w:p w14:paraId="66FC19E5">
            <w:pPr>
              <w:widowControl/>
              <w:ind w:firstLine="0" w:firstLineChars="0"/>
              <w:jc w:val="center"/>
              <w:textAlignment w:val="center"/>
              <w:rPr>
                <w:sz w:val="21"/>
                <w:szCs w:val="21"/>
              </w:rPr>
            </w:pPr>
            <w:r>
              <w:rPr>
                <w:rFonts w:hint="eastAsia" w:cs="宋体"/>
                <w:sz w:val="21"/>
                <w:szCs w:val="22"/>
                <w:lang w:bidi="ar"/>
              </w:rPr>
              <w:t>0.3153</w:t>
            </w:r>
          </w:p>
        </w:tc>
        <w:tc>
          <w:tcPr>
            <w:tcW w:w="1619" w:type="dxa"/>
            <w:tcBorders>
              <w:tl2br w:val="nil"/>
              <w:tr2bl w:val="nil"/>
            </w:tcBorders>
            <w:vAlign w:val="center"/>
          </w:tcPr>
          <w:p w14:paraId="707A5190">
            <w:pPr>
              <w:widowControl/>
              <w:ind w:firstLine="0" w:firstLineChars="0"/>
              <w:jc w:val="center"/>
              <w:textAlignment w:val="center"/>
              <w:rPr>
                <w:sz w:val="21"/>
                <w:szCs w:val="21"/>
              </w:rPr>
            </w:pPr>
            <w:r>
              <w:rPr>
                <w:rFonts w:hint="eastAsia" w:cs="宋体"/>
                <w:sz w:val="21"/>
                <w:szCs w:val="22"/>
                <w:lang w:bidi="ar"/>
              </w:rPr>
              <w:t>3.153</w:t>
            </w:r>
          </w:p>
        </w:tc>
      </w:tr>
      <w:tr w14:paraId="50A5E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216B8593">
            <w:pPr>
              <w:ind w:firstLine="0" w:firstLineChars="0"/>
              <w:jc w:val="center"/>
              <w:rPr>
                <w:sz w:val="21"/>
                <w:szCs w:val="21"/>
              </w:rPr>
            </w:pPr>
            <w:r>
              <w:rPr>
                <w:sz w:val="21"/>
                <w:szCs w:val="21"/>
              </w:rPr>
              <w:t>14</w:t>
            </w:r>
          </w:p>
        </w:tc>
        <w:tc>
          <w:tcPr>
            <w:tcW w:w="1268" w:type="dxa"/>
            <w:tcBorders>
              <w:tl2br w:val="nil"/>
              <w:tr2bl w:val="nil"/>
            </w:tcBorders>
            <w:vAlign w:val="center"/>
          </w:tcPr>
          <w:p w14:paraId="34F00B34">
            <w:pPr>
              <w:widowControl/>
              <w:ind w:firstLine="0" w:firstLineChars="0"/>
              <w:jc w:val="center"/>
              <w:textAlignment w:val="center"/>
              <w:rPr>
                <w:sz w:val="21"/>
                <w:szCs w:val="21"/>
              </w:rPr>
            </w:pPr>
            <w:r>
              <w:rPr>
                <w:rFonts w:hint="eastAsia" w:cs="宋体"/>
                <w:sz w:val="21"/>
                <w:szCs w:val="22"/>
                <w:lang w:bidi="ar"/>
              </w:rPr>
              <w:t>1200</w:t>
            </w:r>
          </w:p>
        </w:tc>
        <w:tc>
          <w:tcPr>
            <w:tcW w:w="1934" w:type="dxa"/>
            <w:tcBorders>
              <w:tl2br w:val="nil"/>
              <w:tr2bl w:val="nil"/>
            </w:tcBorders>
            <w:vAlign w:val="center"/>
          </w:tcPr>
          <w:p w14:paraId="77EAA992">
            <w:pPr>
              <w:widowControl/>
              <w:ind w:firstLine="0" w:firstLineChars="0"/>
              <w:jc w:val="center"/>
              <w:textAlignment w:val="center"/>
              <w:rPr>
                <w:sz w:val="21"/>
                <w:szCs w:val="21"/>
              </w:rPr>
            </w:pPr>
            <w:r>
              <w:rPr>
                <w:rFonts w:hint="eastAsia" w:cs="宋体"/>
                <w:sz w:val="21"/>
                <w:szCs w:val="22"/>
                <w:lang w:bidi="ar"/>
              </w:rPr>
              <w:t>3.104</w:t>
            </w:r>
          </w:p>
        </w:tc>
        <w:tc>
          <w:tcPr>
            <w:tcW w:w="1774" w:type="dxa"/>
            <w:tcBorders>
              <w:tl2br w:val="nil"/>
              <w:tr2bl w:val="nil"/>
            </w:tcBorders>
            <w:vAlign w:val="center"/>
          </w:tcPr>
          <w:p w14:paraId="00784486">
            <w:pPr>
              <w:widowControl/>
              <w:ind w:firstLine="0" w:firstLineChars="0"/>
              <w:jc w:val="center"/>
              <w:textAlignment w:val="center"/>
              <w:rPr>
                <w:sz w:val="21"/>
                <w:szCs w:val="21"/>
              </w:rPr>
            </w:pPr>
            <w:r>
              <w:rPr>
                <w:rFonts w:hint="eastAsia" w:cs="宋体"/>
                <w:sz w:val="21"/>
                <w:szCs w:val="22"/>
                <w:lang w:bidi="ar"/>
              </w:rPr>
              <w:t>1.552</w:t>
            </w:r>
          </w:p>
        </w:tc>
        <w:tc>
          <w:tcPr>
            <w:tcW w:w="1936" w:type="dxa"/>
            <w:tcBorders>
              <w:tl2br w:val="nil"/>
              <w:tr2bl w:val="nil"/>
            </w:tcBorders>
            <w:vAlign w:val="center"/>
          </w:tcPr>
          <w:p w14:paraId="20E96D2C">
            <w:pPr>
              <w:widowControl/>
              <w:ind w:firstLine="0" w:firstLineChars="0"/>
              <w:jc w:val="center"/>
              <w:textAlignment w:val="center"/>
              <w:rPr>
                <w:sz w:val="21"/>
                <w:szCs w:val="21"/>
              </w:rPr>
            </w:pPr>
            <w:r>
              <w:rPr>
                <w:rFonts w:hint="eastAsia" w:cs="宋体"/>
                <w:sz w:val="21"/>
                <w:szCs w:val="22"/>
                <w:lang w:bidi="ar"/>
              </w:rPr>
              <w:t>0.3115</w:t>
            </w:r>
          </w:p>
        </w:tc>
        <w:tc>
          <w:tcPr>
            <w:tcW w:w="1619" w:type="dxa"/>
            <w:tcBorders>
              <w:tl2br w:val="nil"/>
              <w:tr2bl w:val="nil"/>
            </w:tcBorders>
            <w:vAlign w:val="center"/>
          </w:tcPr>
          <w:p w14:paraId="360DF612">
            <w:pPr>
              <w:widowControl/>
              <w:ind w:firstLine="0" w:firstLineChars="0"/>
              <w:jc w:val="center"/>
              <w:textAlignment w:val="center"/>
              <w:rPr>
                <w:sz w:val="21"/>
                <w:szCs w:val="21"/>
              </w:rPr>
            </w:pPr>
            <w:r>
              <w:rPr>
                <w:rFonts w:hint="eastAsia" w:cs="宋体"/>
                <w:sz w:val="21"/>
                <w:szCs w:val="22"/>
                <w:lang w:bidi="ar"/>
              </w:rPr>
              <w:t>3.115</w:t>
            </w:r>
          </w:p>
        </w:tc>
      </w:tr>
      <w:tr w14:paraId="39488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06CE7C05">
            <w:pPr>
              <w:ind w:firstLine="0" w:firstLineChars="0"/>
              <w:jc w:val="center"/>
              <w:rPr>
                <w:sz w:val="21"/>
                <w:szCs w:val="21"/>
              </w:rPr>
            </w:pPr>
            <w:r>
              <w:rPr>
                <w:sz w:val="21"/>
                <w:szCs w:val="21"/>
              </w:rPr>
              <w:t>15</w:t>
            </w:r>
          </w:p>
        </w:tc>
        <w:tc>
          <w:tcPr>
            <w:tcW w:w="1268" w:type="dxa"/>
            <w:tcBorders>
              <w:tl2br w:val="nil"/>
              <w:tr2bl w:val="nil"/>
            </w:tcBorders>
            <w:vAlign w:val="center"/>
          </w:tcPr>
          <w:p w14:paraId="3A786FB5">
            <w:pPr>
              <w:widowControl/>
              <w:ind w:firstLine="0" w:firstLineChars="0"/>
              <w:jc w:val="center"/>
              <w:textAlignment w:val="center"/>
              <w:rPr>
                <w:sz w:val="21"/>
                <w:szCs w:val="21"/>
              </w:rPr>
            </w:pPr>
            <w:r>
              <w:rPr>
                <w:rFonts w:hint="eastAsia" w:cs="宋体"/>
                <w:sz w:val="21"/>
                <w:szCs w:val="22"/>
                <w:lang w:bidi="ar"/>
              </w:rPr>
              <w:t>1300</w:t>
            </w:r>
          </w:p>
        </w:tc>
        <w:tc>
          <w:tcPr>
            <w:tcW w:w="1934" w:type="dxa"/>
            <w:tcBorders>
              <w:tl2br w:val="nil"/>
              <w:tr2bl w:val="nil"/>
            </w:tcBorders>
            <w:vAlign w:val="center"/>
          </w:tcPr>
          <w:p w14:paraId="39624CD2">
            <w:pPr>
              <w:widowControl/>
              <w:ind w:firstLine="0" w:firstLineChars="0"/>
              <w:jc w:val="center"/>
              <w:textAlignment w:val="center"/>
              <w:rPr>
                <w:sz w:val="21"/>
                <w:szCs w:val="21"/>
              </w:rPr>
            </w:pPr>
            <w:r>
              <w:rPr>
                <w:rFonts w:hint="eastAsia" w:cs="宋体"/>
                <w:sz w:val="21"/>
                <w:szCs w:val="22"/>
                <w:lang w:bidi="ar"/>
              </w:rPr>
              <w:t>3.057</w:t>
            </w:r>
          </w:p>
        </w:tc>
        <w:tc>
          <w:tcPr>
            <w:tcW w:w="1774" w:type="dxa"/>
            <w:tcBorders>
              <w:tl2br w:val="nil"/>
              <w:tr2bl w:val="nil"/>
            </w:tcBorders>
            <w:vAlign w:val="center"/>
          </w:tcPr>
          <w:p w14:paraId="0B29D482">
            <w:pPr>
              <w:widowControl/>
              <w:ind w:firstLine="0" w:firstLineChars="0"/>
              <w:jc w:val="center"/>
              <w:textAlignment w:val="center"/>
              <w:rPr>
                <w:sz w:val="21"/>
                <w:szCs w:val="21"/>
              </w:rPr>
            </w:pPr>
            <w:r>
              <w:rPr>
                <w:rFonts w:hint="eastAsia" w:cs="宋体"/>
                <w:sz w:val="21"/>
                <w:szCs w:val="22"/>
                <w:lang w:bidi="ar"/>
              </w:rPr>
              <w:t>1.5285</w:t>
            </w:r>
          </w:p>
        </w:tc>
        <w:tc>
          <w:tcPr>
            <w:tcW w:w="1936" w:type="dxa"/>
            <w:tcBorders>
              <w:tl2br w:val="nil"/>
              <w:tr2bl w:val="nil"/>
            </w:tcBorders>
            <w:vAlign w:val="center"/>
          </w:tcPr>
          <w:p w14:paraId="5ECA25E3">
            <w:pPr>
              <w:widowControl/>
              <w:ind w:firstLine="0" w:firstLineChars="0"/>
              <w:jc w:val="center"/>
              <w:textAlignment w:val="center"/>
              <w:rPr>
                <w:sz w:val="21"/>
                <w:szCs w:val="21"/>
              </w:rPr>
            </w:pPr>
            <w:r>
              <w:rPr>
                <w:rFonts w:hint="eastAsia" w:cs="宋体"/>
                <w:sz w:val="21"/>
                <w:szCs w:val="22"/>
                <w:lang w:bidi="ar"/>
              </w:rPr>
              <w:t>0.3067</w:t>
            </w:r>
          </w:p>
        </w:tc>
        <w:tc>
          <w:tcPr>
            <w:tcW w:w="1619" w:type="dxa"/>
            <w:tcBorders>
              <w:tl2br w:val="nil"/>
              <w:tr2bl w:val="nil"/>
            </w:tcBorders>
            <w:vAlign w:val="center"/>
          </w:tcPr>
          <w:p w14:paraId="0C1C6B2E">
            <w:pPr>
              <w:widowControl/>
              <w:ind w:firstLine="0" w:firstLineChars="0"/>
              <w:jc w:val="center"/>
              <w:textAlignment w:val="center"/>
              <w:rPr>
                <w:sz w:val="21"/>
                <w:szCs w:val="21"/>
              </w:rPr>
            </w:pPr>
            <w:r>
              <w:rPr>
                <w:rFonts w:hint="eastAsia" w:cs="宋体"/>
                <w:sz w:val="21"/>
                <w:szCs w:val="22"/>
                <w:lang w:bidi="ar"/>
              </w:rPr>
              <w:t>3.067</w:t>
            </w:r>
          </w:p>
        </w:tc>
      </w:tr>
      <w:tr w14:paraId="41F3A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2E1F4672">
            <w:pPr>
              <w:ind w:firstLine="0" w:firstLineChars="0"/>
              <w:jc w:val="center"/>
              <w:rPr>
                <w:sz w:val="21"/>
                <w:szCs w:val="21"/>
              </w:rPr>
            </w:pPr>
            <w:r>
              <w:rPr>
                <w:sz w:val="21"/>
                <w:szCs w:val="21"/>
              </w:rPr>
              <w:t>16</w:t>
            </w:r>
          </w:p>
        </w:tc>
        <w:tc>
          <w:tcPr>
            <w:tcW w:w="1268" w:type="dxa"/>
            <w:tcBorders>
              <w:tl2br w:val="nil"/>
              <w:tr2bl w:val="nil"/>
            </w:tcBorders>
            <w:vAlign w:val="center"/>
          </w:tcPr>
          <w:p w14:paraId="00DE438F">
            <w:pPr>
              <w:widowControl/>
              <w:ind w:firstLine="0" w:firstLineChars="0"/>
              <w:jc w:val="center"/>
              <w:textAlignment w:val="center"/>
              <w:rPr>
                <w:sz w:val="21"/>
                <w:szCs w:val="21"/>
              </w:rPr>
            </w:pPr>
            <w:r>
              <w:rPr>
                <w:rFonts w:hint="eastAsia" w:cs="宋体"/>
                <w:sz w:val="21"/>
                <w:szCs w:val="22"/>
                <w:lang w:bidi="ar"/>
              </w:rPr>
              <w:t>1400</w:t>
            </w:r>
          </w:p>
        </w:tc>
        <w:tc>
          <w:tcPr>
            <w:tcW w:w="1934" w:type="dxa"/>
            <w:tcBorders>
              <w:tl2br w:val="nil"/>
              <w:tr2bl w:val="nil"/>
            </w:tcBorders>
            <w:vAlign w:val="center"/>
          </w:tcPr>
          <w:p w14:paraId="69D264A4">
            <w:pPr>
              <w:widowControl/>
              <w:ind w:firstLine="0" w:firstLineChars="0"/>
              <w:jc w:val="center"/>
              <w:textAlignment w:val="center"/>
              <w:rPr>
                <w:sz w:val="21"/>
                <w:szCs w:val="21"/>
              </w:rPr>
            </w:pPr>
            <w:r>
              <w:rPr>
                <w:rFonts w:hint="eastAsia" w:cs="宋体"/>
                <w:sz w:val="21"/>
                <w:szCs w:val="22"/>
                <w:lang w:bidi="ar"/>
              </w:rPr>
              <w:t>3.005</w:t>
            </w:r>
          </w:p>
        </w:tc>
        <w:tc>
          <w:tcPr>
            <w:tcW w:w="1774" w:type="dxa"/>
            <w:tcBorders>
              <w:tl2br w:val="nil"/>
              <w:tr2bl w:val="nil"/>
            </w:tcBorders>
            <w:vAlign w:val="center"/>
          </w:tcPr>
          <w:p w14:paraId="476BE16A">
            <w:pPr>
              <w:widowControl/>
              <w:ind w:firstLine="0" w:firstLineChars="0"/>
              <w:jc w:val="center"/>
              <w:textAlignment w:val="center"/>
              <w:rPr>
                <w:sz w:val="21"/>
                <w:szCs w:val="21"/>
              </w:rPr>
            </w:pPr>
            <w:r>
              <w:rPr>
                <w:rFonts w:hint="eastAsia" w:cs="宋体"/>
                <w:sz w:val="21"/>
                <w:szCs w:val="22"/>
                <w:lang w:bidi="ar"/>
              </w:rPr>
              <w:t>1.5025</w:t>
            </w:r>
          </w:p>
        </w:tc>
        <w:tc>
          <w:tcPr>
            <w:tcW w:w="1936" w:type="dxa"/>
            <w:tcBorders>
              <w:tl2br w:val="nil"/>
              <w:tr2bl w:val="nil"/>
            </w:tcBorders>
            <w:vAlign w:val="center"/>
          </w:tcPr>
          <w:p w14:paraId="10B36BCA">
            <w:pPr>
              <w:widowControl/>
              <w:ind w:firstLine="0" w:firstLineChars="0"/>
              <w:jc w:val="center"/>
              <w:textAlignment w:val="center"/>
              <w:rPr>
                <w:sz w:val="21"/>
                <w:szCs w:val="21"/>
              </w:rPr>
            </w:pPr>
            <w:r>
              <w:rPr>
                <w:rFonts w:hint="eastAsia" w:cs="宋体"/>
                <w:sz w:val="21"/>
                <w:szCs w:val="22"/>
                <w:lang w:bidi="ar"/>
              </w:rPr>
              <w:t>0.3014</w:t>
            </w:r>
          </w:p>
        </w:tc>
        <w:tc>
          <w:tcPr>
            <w:tcW w:w="1619" w:type="dxa"/>
            <w:tcBorders>
              <w:tl2br w:val="nil"/>
              <w:tr2bl w:val="nil"/>
            </w:tcBorders>
            <w:vAlign w:val="center"/>
          </w:tcPr>
          <w:p w14:paraId="4E3AD469">
            <w:pPr>
              <w:widowControl/>
              <w:ind w:firstLine="0" w:firstLineChars="0"/>
              <w:jc w:val="center"/>
              <w:textAlignment w:val="center"/>
              <w:rPr>
                <w:sz w:val="21"/>
                <w:szCs w:val="21"/>
              </w:rPr>
            </w:pPr>
            <w:r>
              <w:rPr>
                <w:rFonts w:hint="eastAsia" w:cs="宋体"/>
                <w:sz w:val="21"/>
                <w:szCs w:val="22"/>
                <w:lang w:bidi="ar"/>
              </w:rPr>
              <w:t>3.014</w:t>
            </w:r>
          </w:p>
        </w:tc>
      </w:tr>
      <w:tr w14:paraId="1945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3BE26DA3">
            <w:pPr>
              <w:ind w:firstLine="0" w:firstLineChars="0"/>
              <w:jc w:val="center"/>
              <w:rPr>
                <w:sz w:val="21"/>
                <w:szCs w:val="21"/>
              </w:rPr>
            </w:pPr>
            <w:r>
              <w:rPr>
                <w:sz w:val="21"/>
                <w:szCs w:val="21"/>
              </w:rPr>
              <w:t>17</w:t>
            </w:r>
          </w:p>
        </w:tc>
        <w:tc>
          <w:tcPr>
            <w:tcW w:w="1268" w:type="dxa"/>
            <w:tcBorders>
              <w:tl2br w:val="nil"/>
              <w:tr2bl w:val="nil"/>
            </w:tcBorders>
            <w:vAlign w:val="center"/>
          </w:tcPr>
          <w:p w14:paraId="7894E991">
            <w:pPr>
              <w:widowControl/>
              <w:ind w:firstLine="0" w:firstLineChars="0"/>
              <w:jc w:val="center"/>
              <w:textAlignment w:val="center"/>
              <w:rPr>
                <w:sz w:val="21"/>
                <w:szCs w:val="21"/>
              </w:rPr>
            </w:pPr>
            <w:r>
              <w:rPr>
                <w:rFonts w:hint="eastAsia" w:cs="宋体"/>
                <w:sz w:val="21"/>
                <w:szCs w:val="22"/>
                <w:lang w:bidi="ar"/>
              </w:rPr>
              <w:t>1500</w:t>
            </w:r>
          </w:p>
        </w:tc>
        <w:tc>
          <w:tcPr>
            <w:tcW w:w="1934" w:type="dxa"/>
            <w:tcBorders>
              <w:tl2br w:val="nil"/>
              <w:tr2bl w:val="nil"/>
            </w:tcBorders>
            <w:vAlign w:val="center"/>
          </w:tcPr>
          <w:p w14:paraId="03D15A56">
            <w:pPr>
              <w:widowControl/>
              <w:ind w:firstLine="0" w:firstLineChars="0"/>
              <w:jc w:val="center"/>
              <w:textAlignment w:val="center"/>
              <w:rPr>
                <w:sz w:val="21"/>
                <w:szCs w:val="21"/>
              </w:rPr>
            </w:pPr>
            <w:r>
              <w:rPr>
                <w:rFonts w:hint="eastAsia" w:cs="宋体"/>
                <w:sz w:val="21"/>
                <w:szCs w:val="22"/>
                <w:lang w:bidi="ar"/>
              </w:rPr>
              <w:t>2.949</w:t>
            </w:r>
          </w:p>
        </w:tc>
        <w:tc>
          <w:tcPr>
            <w:tcW w:w="1774" w:type="dxa"/>
            <w:tcBorders>
              <w:tl2br w:val="nil"/>
              <w:tr2bl w:val="nil"/>
            </w:tcBorders>
            <w:vAlign w:val="center"/>
          </w:tcPr>
          <w:p w14:paraId="1183560F">
            <w:pPr>
              <w:widowControl/>
              <w:ind w:firstLine="0" w:firstLineChars="0"/>
              <w:jc w:val="center"/>
              <w:textAlignment w:val="center"/>
              <w:rPr>
                <w:sz w:val="21"/>
                <w:szCs w:val="21"/>
              </w:rPr>
            </w:pPr>
            <w:r>
              <w:rPr>
                <w:rFonts w:hint="eastAsia" w:cs="宋体"/>
                <w:sz w:val="21"/>
                <w:szCs w:val="22"/>
                <w:lang w:bidi="ar"/>
              </w:rPr>
              <w:t>1.4745</w:t>
            </w:r>
          </w:p>
        </w:tc>
        <w:tc>
          <w:tcPr>
            <w:tcW w:w="1936" w:type="dxa"/>
            <w:tcBorders>
              <w:tl2br w:val="nil"/>
              <w:tr2bl w:val="nil"/>
            </w:tcBorders>
            <w:vAlign w:val="center"/>
          </w:tcPr>
          <w:p w14:paraId="7689357E">
            <w:pPr>
              <w:widowControl/>
              <w:ind w:firstLine="0" w:firstLineChars="0"/>
              <w:jc w:val="center"/>
              <w:textAlignment w:val="center"/>
              <w:rPr>
                <w:sz w:val="21"/>
                <w:szCs w:val="21"/>
              </w:rPr>
            </w:pPr>
            <w:r>
              <w:rPr>
                <w:rFonts w:hint="eastAsia" w:cs="宋体"/>
                <w:sz w:val="21"/>
                <w:szCs w:val="22"/>
                <w:lang w:bidi="ar"/>
              </w:rPr>
              <w:t>0.2957</w:t>
            </w:r>
          </w:p>
        </w:tc>
        <w:tc>
          <w:tcPr>
            <w:tcW w:w="1619" w:type="dxa"/>
            <w:tcBorders>
              <w:tl2br w:val="nil"/>
              <w:tr2bl w:val="nil"/>
            </w:tcBorders>
            <w:vAlign w:val="center"/>
          </w:tcPr>
          <w:p w14:paraId="08D61DE2">
            <w:pPr>
              <w:widowControl/>
              <w:ind w:firstLine="0" w:firstLineChars="0"/>
              <w:jc w:val="center"/>
              <w:textAlignment w:val="center"/>
              <w:rPr>
                <w:sz w:val="21"/>
                <w:szCs w:val="21"/>
              </w:rPr>
            </w:pPr>
            <w:r>
              <w:rPr>
                <w:rFonts w:hint="eastAsia" w:cs="宋体"/>
                <w:sz w:val="21"/>
                <w:szCs w:val="22"/>
                <w:lang w:bidi="ar"/>
              </w:rPr>
              <w:t>2.957</w:t>
            </w:r>
          </w:p>
        </w:tc>
      </w:tr>
      <w:tr w14:paraId="6B865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0D9D5479">
            <w:pPr>
              <w:ind w:firstLine="0" w:firstLineChars="0"/>
              <w:jc w:val="center"/>
              <w:rPr>
                <w:sz w:val="21"/>
                <w:szCs w:val="21"/>
              </w:rPr>
            </w:pPr>
            <w:r>
              <w:rPr>
                <w:sz w:val="21"/>
                <w:szCs w:val="21"/>
              </w:rPr>
              <w:t>18</w:t>
            </w:r>
          </w:p>
        </w:tc>
        <w:tc>
          <w:tcPr>
            <w:tcW w:w="1268" w:type="dxa"/>
            <w:tcBorders>
              <w:tl2br w:val="nil"/>
              <w:tr2bl w:val="nil"/>
            </w:tcBorders>
            <w:vAlign w:val="center"/>
          </w:tcPr>
          <w:p w14:paraId="67BE5695">
            <w:pPr>
              <w:widowControl/>
              <w:ind w:firstLine="0" w:firstLineChars="0"/>
              <w:jc w:val="center"/>
              <w:textAlignment w:val="center"/>
              <w:rPr>
                <w:sz w:val="21"/>
                <w:szCs w:val="21"/>
              </w:rPr>
            </w:pPr>
            <w:r>
              <w:rPr>
                <w:rFonts w:hint="eastAsia" w:cs="宋体"/>
                <w:sz w:val="21"/>
                <w:szCs w:val="22"/>
                <w:lang w:bidi="ar"/>
              </w:rPr>
              <w:t>1600</w:t>
            </w:r>
          </w:p>
        </w:tc>
        <w:tc>
          <w:tcPr>
            <w:tcW w:w="1934" w:type="dxa"/>
            <w:tcBorders>
              <w:tl2br w:val="nil"/>
              <w:tr2bl w:val="nil"/>
            </w:tcBorders>
            <w:vAlign w:val="center"/>
          </w:tcPr>
          <w:p w14:paraId="0C0C8DEA">
            <w:pPr>
              <w:widowControl/>
              <w:ind w:firstLine="0" w:firstLineChars="0"/>
              <w:jc w:val="center"/>
              <w:textAlignment w:val="center"/>
              <w:rPr>
                <w:sz w:val="21"/>
                <w:szCs w:val="21"/>
              </w:rPr>
            </w:pPr>
            <w:r>
              <w:rPr>
                <w:rFonts w:hint="eastAsia" w:cs="宋体"/>
                <w:sz w:val="21"/>
                <w:szCs w:val="22"/>
                <w:lang w:bidi="ar"/>
              </w:rPr>
              <w:t>2.891</w:t>
            </w:r>
          </w:p>
        </w:tc>
        <w:tc>
          <w:tcPr>
            <w:tcW w:w="1774" w:type="dxa"/>
            <w:tcBorders>
              <w:tl2br w:val="nil"/>
              <w:tr2bl w:val="nil"/>
            </w:tcBorders>
            <w:vAlign w:val="center"/>
          </w:tcPr>
          <w:p w14:paraId="58AD002E">
            <w:pPr>
              <w:widowControl/>
              <w:ind w:firstLine="0" w:firstLineChars="0"/>
              <w:jc w:val="center"/>
              <w:textAlignment w:val="center"/>
              <w:rPr>
                <w:sz w:val="21"/>
                <w:szCs w:val="21"/>
              </w:rPr>
            </w:pPr>
            <w:r>
              <w:rPr>
                <w:rFonts w:hint="eastAsia" w:cs="宋体"/>
                <w:sz w:val="21"/>
                <w:szCs w:val="22"/>
                <w:lang w:bidi="ar"/>
              </w:rPr>
              <w:t>1.4455</w:t>
            </w:r>
          </w:p>
        </w:tc>
        <w:tc>
          <w:tcPr>
            <w:tcW w:w="1936" w:type="dxa"/>
            <w:tcBorders>
              <w:tl2br w:val="nil"/>
              <w:tr2bl w:val="nil"/>
            </w:tcBorders>
            <w:vAlign w:val="center"/>
          </w:tcPr>
          <w:p w14:paraId="7FECCB0F">
            <w:pPr>
              <w:widowControl/>
              <w:ind w:firstLine="0" w:firstLineChars="0"/>
              <w:jc w:val="center"/>
              <w:textAlignment w:val="center"/>
              <w:rPr>
                <w:sz w:val="21"/>
                <w:szCs w:val="21"/>
              </w:rPr>
            </w:pPr>
            <w:r>
              <w:rPr>
                <w:rFonts w:hint="eastAsia" w:cs="宋体"/>
                <w:sz w:val="21"/>
                <w:szCs w:val="22"/>
                <w:lang w:bidi="ar"/>
              </w:rPr>
              <w:t>0.2897</w:t>
            </w:r>
          </w:p>
        </w:tc>
        <w:tc>
          <w:tcPr>
            <w:tcW w:w="1619" w:type="dxa"/>
            <w:tcBorders>
              <w:tl2br w:val="nil"/>
              <w:tr2bl w:val="nil"/>
            </w:tcBorders>
            <w:vAlign w:val="center"/>
          </w:tcPr>
          <w:p w14:paraId="3A37034C">
            <w:pPr>
              <w:widowControl/>
              <w:ind w:firstLine="0" w:firstLineChars="0"/>
              <w:jc w:val="center"/>
              <w:textAlignment w:val="center"/>
              <w:rPr>
                <w:sz w:val="21"/>
                <w:szCs w:val="21"/>
              </w:rPr>
            </w:pPr>
            <w:r>
              <w:rPr>
                <w:rFonts w:hint="eastAsia" w:cs="宋体"/>
                <w:sz w:val="21"/>
                <w:szCs w:val="22"/>
                <w:lang w:bidi="ar"/>
              </w:rPr>
              <w:t>2.897</w:t>
            </w:r>
          </w:p>
        </w:tc>
      </w:tr>
      <w:tr w14:paraId="641C2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1BAD4E17">
            <w:pPr>
              <w:ind w:firstLine="0" w:firstLineChars="0"/>
              <w:jc w:val="center"/>
              <w:rPr>
                <w:sz w:val="21"/>
                <w:szCs w:val="21"/>
              </w:rPr>
            </w:pPr>
            <w:r>
              <w:rPr>
                <w:sz w:val="21"/>
                <w:szCs w:val="21"/>
              </w:rPr>
              <w:t>19</w:t>
            </w:r>
          </w:p>
        </w:tc>
        <w:tc>
          <w:tcPr>
            <w:tcW w:w="1268" w:type="dxa"/>
            <w:tcBorders>
              <w:tl2br w:val="nil"/>
              <w:tr2bl w:val="nil"/>
            </w:tcBorders>
            <w:vAlign w:val="center"/>
          </w:tcPr>
          <w:p w14:paraId="62998352">
            <w:pPr>
              <w:widowControl/>
              <w:ind w:firstLine="0" w:firstLineChars="0"/>
              <w:jc w:val="center"/>
              <w:textAlignment w:val="center"/>
              <w:rPr>
                <w:sz w:val="21"/>
                <w:szCs w:val="21"/>
              </w:rPr>
            </w:pPr>
            <w:r>
              <w:rPr>
                <w:rFonts w:hint="eastAsia" w:cs="宋体"/>
                <w:sz w:val="21"/>
                <w:szCs w:val="22"/>
                <w:lang w:bidi="ar"/>
              </w:rPr>
              <w:t>1700</w:t>
            </w:r>
          </w:p>
        </w:tc>
        <w:tc>
          <w:tcPr>
            <w:tcW w:w="1934" w:type="dxa"/>
            <w:tcBorders>
              <w:tl2br w:val="nil"/>
              <w:tr2bl w:val="nil"/>
            </w:tcBorders>
            <w:vAlign w:val="center"/>
          </w:tcPr>
          <w:p w14:paraId="364FDF1E">
            <w:pPr>
              <w:widowControl/>
              <w:ind w:firstLine="0" w:firstLineChars="0"/>
              <w:jc w:val="center"/>
              <w:textAlignment w:val="center"/>
              <w:rPr>
                <w:sz w:val="21"/>
                <w:szCs w:val="21"/>
              </w:rPr>
            </w:pPr>
            <w:r>
              <w:rPr>
                <w:rFonts w:hint="eastAsia" w:cs="宋体"/>
                <w:sz w:val="21"/>
                <w:szCs w:val="22"/>
                <w:lang w:bidi="ar"/>
              </w:rPr>
              <w:t>2.831</w:t>
            </w:r>
          </w:p>
        </w:tc>
        <w:tc>
          <w:tcPr>
            <w:tcW w:w="1774" w:type="dxa"/>
            <w:tcBorders>
              <w:tl2br w:val="nil"/>
              <w:tr2bl w:val="nil"/>
            </w:tcBorders>
            <w:vAlign w:val="center"/>
          </w:tcPr>
          <w:p w14:paraId="312F652E">
            <w:pPr>
              <w:widowControl/>
              <w:ind w:firstLine="0" w:firstLineChars="0"/>
              <w:jc w:val="center"/>
              <w:textAlignment w:val="center"/>
              <w:rPr>
                <w:sz w:val="21"/>
                <w:szCs w:val="21"/>
              </w:rPr>
            </w:pPr>
            <w:r>
              <w:rPr>
                <w:rFonts w:hint="eastAsia" w:cs="宋体"/>
                <w:sz w:val="21"/>
                <w:szCs w:val="22"/>
                <w:lang w:bidi="ar"/>
              </w:rPr>
              <w:t>1.4155</w:t>
            </w:r>
          </w:p>
        </w:tc>
        <w:tc>
          <w:tcPr>
            <w:tcW w:w="1936" w:type="dxa"/>
            <w:tcBorders>
              <w:tl2br w:val="nil"/>
              <w:tr2bl w:val="nil"/>
            </w:tcBorders>
            <w:vAlign w:val="center"/>
          </w:tcPr>
          <w:p w14:paraId="0249630B">
            <w:pPr>
              <w:widowControl/>
              <w:ind w:firstLine="0" w:firstLineChars="0"/>
              <w:jc w:val="center"/>
              <w:textAlignment w:val="center"/>
              <w:rPr>
                <w:sz w:val="21"/>
                <w:szCs w:val="21"/>
              </w:rPr>
            </w:pPr>
            <w:r>
              <w:rPr>
                <w:rFonts w:hint="eastAsia" w:cs="宋体"/>
                <w:sz w:val="21"/>
                <w:szCs w:val="22"/>
                <w:lang w:bidi="ar"/>
              </w:rPr>
              <w:t>0.2837</w:t>
            </w:r>
          </w:p>
        </w:tc>
        <w:tc>
          <w:tcPr>
            <w:tcW w:w="1619" w:type="dxa"/>
            <w:tcBorders>
              <w:tl2br w:val="nil"/>
              <w:tr2bl w:val="nil"/>
            </w:tcBorders>
            <w:vAlign w:val="center"/>
          </w:tcPr>
          <w:p w14:paraId="54693B7E">
            <w:pPr>
              <w:widowControl/>
              <w:ind w:firstLine="0" w:firstLineChars="0"/>
              <w:jc w:val="center"/>
              <w:textAlignment w:val="center"/>
              <w:rPr>
                <w:sz w:val="21"/>
                <w:szCs w:val="21"/>
              </w:rPr>
            </w:pPr>
            <w:r>
              <w:rPr>
                <w:rFonts w:hint="eastAsia" w:cs="宋体"/>
                <w:sz w:val="21"/>
                <w:szCs w:val="22"/>
                <w:lang w:bidi="ar"/>
              </w:rPr>
              <w:t>2.837</w:t>
            </w:r>
          </w:p>
        </w:tc>
      </w:tr>
      <w:tr w14:paraId="75849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2731567F">
            <w:pPr>
              <w:ind w:firstLine="0" w:firstLineChars="0"/>
              <w:jc w:val="center"/>
              <w:rPr>
                <w:sz w:val="21"/>
                <w:szCs w:val="21"/>
              </w:rPr>
            </w:pPr>
            <w:r>
              <w:rPr>
                <w:sz w:val="21"/>
                <w:szCs w:val="21"/>
              </w:rPr>
              <w:t>20</w:t>
            </w:r>
          </w:p>
        </w:tc>
        <w:tc>
          <w:tcPr>
            <w:tcW w:w="1268" w:type="dxa"/>
            <w:tcBorders>
              <w:tl2br w:val="nil"/>
              <w:tr2bl w:val="nil"/>
            </w:tcBorders>
            <w:vAlign w:val="center"/>
          </w:tcPr>
          <w:p w14:paraId="2AD0157D">
            <w:pPr>
              <w:widowControl/>
              <w:ind w:firstLine="0" w:firstLineChars="0"/>
              <w:jc w:val="center"/>
              <w:textAlignment w:val="center"/>
              <w:rPr>
                <w:sz w:val="21"/>
                <w:szCs w:val="21"/>
              </w:rPr>
            </w:pPr>
            <w:r>
              <w:rPr>
                <w:rFonts w:hint="eastAsia" w:cs="宋体"/>
                <w:sz w:val="21"/>
                <w:szCs w:val="22"/>
                <w:lang w:bidi="ar"/>
              </w:rPr>
              <w:t>1800</w:t>
            </w:r>
          </w:p>
        </w:tc>
        <w:tc>
          <w:tcPr>
            <w:tcW w:w="1934" w:type="dxa"/>
            <w:tcBorders>
              <w:tl2br w:val="nil"/>
              <w:tr2bl w:val="nil"/>
            </w:tcBorders>
            <w:vAlign w:val="center"/>
          </w:tcPr>
          <w:p w14:paraId="0BD51D9A">
            <w:pPr>
              <w:widowControl/>
              <w:ind w:firstLine="0" w:firstLineChars="0"/>
              <w:jc w:val="center"/>
              <w:textAlignment w:val="center"/>
              <w:rPr>
                <w:sz w:val="21"/>
                <w:szCs w:val="21"/>
              </w:rPr>
            </w:pPr>
            <w:r>
              <w:rPr>
                <w:rFonts w:hint="eastAsia" w:cs="宋体"/>
                <w:sz w:val="21"/>
                <w:szCs w:val="22"/>
                <w:lang w:bidi="ar"/>
              </w:rPr>
              <w:t>2.771</w:t>
            </w:r>
          </w:p>
        </w:tc>
        <w:tc>
          <w:tcPr>
            <w:tcW w:w="1774" w:type="dxa"/>
            <w:tcBorders>
              <w:tl2br w:val="nil"/>
              <w:tr2bl w:val="nil"/>
            </w:tcBorders>
            <w:vAlign w:val="center"/>
          </w:tcPr>
          <w:p w14:paraId="09DD5179">
            <w:pPr>
              <w:widowControl/>
              <w:ind w:firstLine="0" w:firstLineChars="0"/>
              <w:jc w:val="center"/>
              <w:textAlignment w:val="center"/>
              <w:rPr>
                <w:sz w:val="21"/>
                <w:szCs w:val="21"/>
              </w:rPr>
            </w:pPr>
            <w:r>
              <w:rPr>
                <w:rFonts w:hint="eastAsia" w:cs="宋体"/>
                <w:sz w:val="21"/>
                <w:szCs w:val="22"/>
                <w:lang w:bidi="ar"/>
              </w:rPr>
              <w:t>1.3855</w:t>
            </w:r>
          </w:p>
        </w:tc>
        <w:tc>
          <w:tcPr>
            <w:tcW w:w="1936" w:type="dxa"/>
            <w:tcBorders>
              <w:tl2br w:val="nil"/>
              <w:tr2bl w:val="nil"/>
            </w:tcBorders>
            <w:vAlign w:val="center"/>
          </w:tcPr>
          <w:p w14:paraId="0A8B4F19">
            <w:pPr>
              <w:widowControl/>
              <w:ind w:firstLine="0" w:firstLineChars="0"/>
              <w:jc w:val="center"/>
              <w:textAlignment w:val="center"/>
              <w:rPr>
                <w:sz w:val="21"/>
                <w:szCs w:val="21"/>
              </w:rPr>
            </w:pPr>
            <w:r>
              <w:rPr>
                <w:rFonts w:hint="eastAsia" w:cs="宋体"/>
                <w:sz w:val="21"/>
                <w:szCs w:val="22"/>
                <w:lang w:bidi="ar"/>
              </w:rPr>
              <w:t>0.2776</w:t>
            </w:r>
          </w:p>
        </w:tc>
        <w:tc>
          <w:tcPr>
            <w:tcW w:w="1619" w:type="dxa"/>
            <w:tcBorders>
              <w:tl2br w:val="nil"/>
              <w:tr2bl w:val="nil"/>
            </w:tcBorders>
            <w:vAlign w:val="center"/>
          </w:tcPr>
          <w:p w14:paraId="1D663824">
            <w:pPr>
              <w:widowControl/>
              <w:ind w:firstLine="0" w:firstLineChars="0"/>
              <w:jc w:val="center"/>
              <w:textAlignment w:val="center"/>
              <w:rPr>
                <w:sz w:val="21"/>
                <w:szCs w:val="21"/>
              </w:rPr>
            </w:pPr>
            <w:r>
              <w:rPr>
                <w:rFonts w:hint="eastAsia" w:cs="宋体"/>
                <w:sz w:val="21"/>
                <w:szCs w:val="22"/>
                <w:lang w:bidi="ar"/>
              </w:rPr>
              <w:t>2.776</w:t>
            </w:r>
          </w:p>
        </w:tc>
      </w:tr>
      <w:tr w14:paraId="63B5D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79AA3208">
            <w:pPr>
              <w:ind w:firstLine="0" w:firstLineChars="0"/>
              <w:jc w:val="center"/>
              <w:rPr>
                <w:sz w:val="21"/>
                <w:szCs w:val="21"/>
              </w:rPr>
            </w:pPr>
            <w:r>
              <w:rPr>
                <w:sz w:val="21"/>
                <w:szCs w:val="21"/>
              </w:rPr>
              <w:t>21</w:t>
            </w:r>
          </w:p>
        </w:tc>
        <w:tc>
          <w:tcPr>
            <w:tcW w:w="1268" w:type="dxa"/>
            <w:tcBorders>
              <w:tl2br w:val="nil"/>
              <w:tr2bl w:val="nil"/>
            </w:tcBorders>
            <w:vAlign w:val="center"/>
          </w:tcPr>
          <w:p w14:paraId="114E61C2">
            <w:pPr>
              <w:widowControl/>
              <w:ind w:firstLine="0" w:firstLineChars="0"/>
              <w:jc w:val="center"/>
              <w:textAlignment w:val="center"/>
              <w:rPr>
                <w:sz w:val="21"/>
                <w:szCs w:val="21"/>
              </w:rPr>
            </w:pPr>
            <w:r>
              <w:rPr>
                <w:rFonts w:hint="eastAsia" w:cs="宋体"/>
                <w:sz w:val="21"/>
                <w:szCs w:val="22"/>
                <w:lang w:bidi="ar"/>
              </w:rPr>
              <w:t>1900</w:t>
            </w:r>
          </w:p>
        </w:tc>
        <w:tc>
          <w:tcPr>
            <w:tcW w:w="1934" w:type="dxa"/>
            <w:tcBorders>
              <w:tl2br w:val="nil"/>
              <w:tr2bl w:val="nil"/>
            </w:tcBorders>
            <w:vAlign w:val="center"/>
          </w:tcPr>
          <w:p w14:paraId="070904E7">
            <w:pPr>
              <w:widowControl/>
              <w:ind w:firstLine="0" w:firstLineChars="0"/>
              <w:jc w:val="center"/>
              <w:textAlignment w:val="center"/>
              <w:rPr>
                <w:sz w:val="21"/>
                <w:szCs w:val="21"/>
              </w:rPr>
            </w:pPr>
            <w:r>
              <w:rPr>
                <w:rFonts w:hint="eastAsia" w:cs="宋体"/>
                <w:sz w:val="21"/>
                <w:szCs w:val="22"/>
                <w:lang w:bidi="ar"/>
              </w:rPr>
              <w:t>2.71</w:t>
            </w:r>
          </w:p>
        </w:tc>
        <w:tc>
          <w:tcPr>
            <w:tcW w:w="1774" w:type="dxa"/>
            <w:tcBorders>
              <w:tl2br w:val="nil"/>
              <w:tr2bl w:val="nil"/>
            </w:tcBorders>
            <w:vAlign w:val="center"/>
          </w:tcPr>
          <w:p w14:paraId="000DD8F4">
            <w:pPr>
              <w:widowControl/>
              <w:ind w:firstLine="0" w:firstLineChars="0"/>
              <w:jc w:val="center"/>
              <w:textAlignment w:val="center"/>
              <w:rPr>
                <w:sz w:val="21"/>
                <w:szCs w:val="21"/>
              </w:rPr>
            </w:pPr>
            <w:r>
              <w:rPr>
                <w:rFonts w:hint="eastAsia" w:cs="宋体"/>
                <w:sz w:val="21"/>
                <w:szCs w:val="22"/>
                <w:lang w:bidi="ar"/>
              </w:rPr>
              <w:t>1.355</w:t>
            </w:r>
          </w:p>
        </w:tc>
        <w:tc>
          <w:tcPr>
            <w:tcW w:w="1936" w:type="dxa"/>
            <w:tcBorders>
              <w:tl2br w:val="nil"/>
              <w:tr2bl w:val="nil"/>
            </w:tcBorders>
            <w:vAlign w:val="center"/>
          </w:tcPr>
          <w:p w14:paraId="2E48C39C">
            <w:pPr>
              <w:widowControl/>
              <w:ind w:firstLine="0" w:firstLineChars="0"/>
              <w:jc w:val="center"/>
              <w:textAlignment w:val="center"/>
              <w:rPr>
                <w:sz w:val="21"/>
                <w:szCs w:val="21"/>
              </w:rPr>
            </w:pPr>
            <w:r>
              <w:rPr>
                <w:rFonts w:hint="eastAsia" w:cs="宋体"/>
                <w:sz w:val="21"/>
                <w:szCs w:val="22"/>
                <w:lang w:bidi="ar"/>
              </w:rPr>
              <w:t>0.2715</w:t>
            </w:r>
          </w:p>
        </w:tc>
        <w:tc>
          <w:tcPr>
            <w:tcW w:w="1619" w:type="dxa"/>
            <w:tcBorders>
              <w:tl2br w:val="nil"/>
              <w:tr2bl w:val="nil"/>
            </w:tcBorders>
            <w:vAlign w:val="center"/>
          </w:tcPr>
          <w:p w14:paraId="38850FA4">
            <w:pPr>
              <w:widowControl/>
              <w:ind w:firstLine="0" w:firstLineChars="0"/>
              <w:jc w:val="center"/>
              <w:textAlignment w:val="center"/>
              <w:rPr>
                <w:sz w:val="21"/>
                <w:szCs w:val="21"/>
              </w:rPr>
            </w:pPr>
            <w:r>
              <w:rPr>
                <w:rFonts w:hint="eastAsia" w:cs="宋体"/>
                <w:sz w:val="21"/>
                <w:szCs w:val="22"/>
                <w:lang w:bidi="ar"/>
              </w:rPr>
              <w:t>2.715</w:t>
            </w:r>
          </w:p>
        </w:tc>
      </w:tr>
      <w:tr w14:paraId="301EC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5124D4ED">
            <w:pPr>
              <w:ind w:firstLine="0" w:firstLineChars="0"/>
              <w:jc w:val="center"/>
              <w:rPr>
                <w:sz w:val="21"/>
                <w:szCs w:val="21"/>
              </w:rPr>
            </w:pPr>
            <w:r>
              <w:rPr>
                <w:sz w:val="21"/>
                <w:szCs w:val="21"/>
              </w:rPr>
              <w:t>22</w:t>
            </w:r>
          </w:p>
        </w:tc>
        <w:tc>
          <w:tcPr>
            <w:tcW w:w="1268" w:type="dxa"/>
            <w:tcBorders>
              <w:tl2br w:val="nil"/>
              <w:tr2bl w:val="nil"/>
            </w:tcBorders>
            <w:vAlign w:val="center"/>
          </w:tcPr>
          <w:p w14:paraId="0D095E32">
            <w:pPr>
              <w:widowControl/>
              <w:ind w:firstLine="0" w:firstLineChars="0"/>
              <w:jc w:val="center"/>
              <w:textAlignment w:val="center"/>
              <w:rPr>
                <w:sz w:val="21"/>
                <w:szCs w:val="21"/>
              </w:rPr>
            </w:pPr>
            <w:r>
              <w:rPr>
                <w:rFonts w:hint="eastAsia" w:cs="宋体"/>
                <w:sz w:val="21"/>
                <w:szCs w:val="22"/>
                <w:lang w:bidi="ar"/>
              </w:rPr>
              <w:t>2000</w:t>
            </w:r>
          </w:p>
        </w:tc>
        <w:tc>
          <w:tcPr>
            <w:tcW w:w="1934" w:type="dxa"/>
            <w:tcBorders>
              <w:tl2br w:val="nil"/>
              <w:tr2bl w:val="nil"/>
            </w:tcBorders>
            <w:vAlign w:val="center"/>
          </w:tcPr>
          <w:p w14:paraId="3B6F4C54">
            <w:pPr>
              <w:widowControl/>
              <w:ind w:firstLine="0" w:firstLineChars="0"/>
              <w:jc w:val="center"/>
              <w:textAlignment w:val="center"/>
              <w:rPr>
                <w:sz w:val="21"/>
                <w:szCs w:val="21"/>
              </w:rPr>
            </w:pPr>
            <w:r>
              <w:rPr>
                <w:rFonts w:hint="eastAsia" w:cs="宋体"/>
                <w:sz w:val="21"/>
                <w:szCs w:val="22"/>
                <w:lang w:bidi="ar"/>
              </w:rPr>
              <w:t>2.65</w:t>
            </w:r>
          </w:p>
        </w:tc>
        <w:tc>
          <w:tcPr>
            <w:tcW w:w="1774" w:type="dxa"/>
            <w:tcBorders>
              <w:tl2br w:val="nil"/>
              <w:tr2bl w:val="nil"/>
            </w:tcBorders>
            <w:vAlign w:val="center"/>
          </w:tcPr>
          <w:p w14:paraId="37CFF3C7">
            <w:pPr>
              <w:widowControl/>
              <w:ind w:firstLine="0" w:firstLineChars="0"/>
              <w:jc w:val="center"/>
              <w:textAlignment w:val="center"/>
              <w:rPr>
                <w:sz w:val="21"/>
                <w:szCs w:val="21"/>
              </w:rPr>
            </w:pPr>
            <w:r>
              <w:rPr>
                <w:rFonts w:hint="eastAsia" w:cs="宋体"/>
                <w:sz w:val="21"/>
                <w:szCs w:val="22"/>
                <w:lang w:bidi="ar"/>
              </w:rPr>
              <w:t>1.325</w:t>
            </w:r>
          </w:p>
        </w:tc>
        <w:tc>
          <w:tcPr>
            <w:tcW w:w="1936" w:type="dxa"/>
            <w:tcBorders>
              <w:tl2br w:val="nil"/>
              <w:tr2bl w:val="nil"/>
            </w:tcBorders>
            <w:vAlign w:val="center"/>
          </w:tcPr>
          <w:p w14:paraId="3FC7FB26">
            <w:pPr>
              <w:widowControl/>
              <w:ind w:firstLine="0" w:firstLineChars="0"/>
              <w:jc w:val="center"/>
              <w:textAlignment w:val="center"/>
              <w:rPr>
                <w:sz w:val="21"/>
                <w:szCs w:val="21"/>
              </w:rPr>
            </w:pPr>
            <w:r>
              <w:rPr>
                <w:rFonts w:hint="eastAsia" w:cs="宋体"/>
                <w:sz w:val="21"/>
                <w:szCs w:val="22"/>
                <w:lang w:bidi="ar"/>
              </w:rPr>
              <w:t>0.2655</w:t>
            </w:r>
          </w:p>
        </w:tc>
        <w:tc>
          <w:tcPr>
            <w:tcW w:w="1619" w:type="dxa"/>
            <w:tcBorders>
              <w:tl2br w:val="nil"/>
              <w:tr2bl w:val="nil"/>
            </w:tcBorders>
            <w:vAlign w:val="center"/>
          </w:tcPr>
          <w:p w14:paraId="75FAC32F">
            <w:pPr>
              <w:widowControl/>
              <w:ind w:firstLine="0" w:firstLineChars="0"/>
              <w:jc w:val="center"/>
              <w:textAlignment w:val="center"/>
              <w:rPr>
                <w:sz w:val="21"/>
                <w:szCs w:val="21"/>
              </w:rPr>
            </w:pPr>
            <w:r>
              <w:rPr>
                <w:rFonts w:hint="eastAsia" w:cs="宋体"/>
                <w:sz w:val="21"/>
                <w:szCs w:val="22"/>
                <w:lang w:bidi="ar"/>
              </w:rPr>
              <w:t>2.655</w:t>
            </w:r>
          </w:p>
        </w:tc>
      </w:tr>
      <w:tr w14:paraId="65F0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tcBorders>
              <w:tl2br w:val="nil"/>
              <w:tr2bl w:val="nil"/>
            </w:tcBorders>
            <w:vAlign w:val="center"/>
          </w:tcPr>
          <w:p w14:paraId="28F310F6">
            <w:pPr>
              <w:ind w:firstLine="0" w:firstLineChars="0"/>
              <w:jc w:val="center"/>
              <w:rPr>
                <w:sz w:val="21"/>
                <w:szCs w:val="21"/>
              </w:rPr>
            </w:pPr>
            <w:r>
              <w:rPr>
                <w:sz w:val="21"/>
                <w:szCs w:val="21"/>
              </w:rPr>
              <w:t>23</w:t>
            </w:r>
          </w:p>
        </w:tc>
        <w:tc>
          <w:tcPr>
            <w:tcW w:w="1268" w:type="dxa"/>
            <w:tcBorders>
              <w:tl2br w:val="nil"/>
              <w:tr2bl w:val="nil"/>
            </w:tcBorders>
            <w:vAlign w:val="center"/>
          </w:tcPr>
          <w:p w14:paraId="0FDE7FF1">
            <w:pPr>
              <w:widowControl/>
              <w:ind w:firstLine="0" w:firstLineChars="0"/>
              <w:jc w:val="center"/>
              <w:textAlignment w:val="center"/>
              <w:rPr>
                <w:sz w:val="21"/>
                <w:szCs w:val="21"/>
              </w:rPr>
            </w:pPr>
            <w:r>
              <w:rPr>
                <w:rFonts w:hint="eastAsia" w:cs="宋体"/>
                <w:sz w:val="21"/>
                <w:szCs w:val="22"/>
                <w:lang w:bidi="ar"/>
              </w:rPr>
              <w:t>2100</w:t>
            </w:r>
          </w:p>
        </w:tc>
        <w:tc>
          <w:tcPr>
            <w:tcW w:w="1934" w:type="dxa"/>
            <w:tcBorders>
              <w:tl2br w:val="nil"/>
              <w:tr2bl w:val="nil"/>
            </w:tcBorders>
            <w:vAlign w:val="center"/>
          </w:tcPr>
          <w:p w14:paraId="65DEFA78">
            <w:pPr>
              <w:widowControl/>
              <w:ind w:firstLine="0" w:firstLineChars="0"/>
              <w:jc w:val="center"/>
              <w:textAlignment w:val="center"/>
              <w:rPr>
                <w:sz w:val="21"/>
                <w:szCs w:val="21"/>
              </w:rPr>
            </w:pPr>
            <w:r>
              <w:rPr>
                <w:rFonts w:hint="eastAsia" w:cs="宋体"/>
                <w:sz w:val="21"/>
                <w:szCs w:val="22"/>
                <w:lang w:bidi="ar"/>
              </w:rPr>
              <w:t>2.591</w:t>
            </w:r>
          </w:p>
        </w:tc>
        <w:tc>
          <w:tcPr>
            <w:tcW w:w="1774" w:type="dxa"/>
            <w:tcBorders>
              <w:tl2br w:val="nil"/>
              <w:tr2bl w:val="nil"/>
            </w:tcBorders>
            <w:vAlign w:val="center"/>
          </w:tcPr>
          <w:p w14:paraId="363BB718">
            <w:pPr>
              <w:widowControl/>
              <w:ind w:firstLine="0" w:firstLineChars="0"/>
              <w:jc w:val="center"/>
              <w:textAlignment w:val="center"/>
              <w:rPr>
                <w:sz w:val="21"/>
                <w:szCs w:val="21"/>
              </w:rPr>
            </w:pPr>
            <w:r>
              <w:rPr>
                <w:rFonts w:hint="eastAsia" w:cs="宋体"/>
                <w:sz w:val="21"/>
                <w:szCs w:val="22"/>
                <w:lang w:bidi="ar"/>
              </w:rPr>
              <w:t>1.2955</w:t>
            </w:r>
          </w:p>
        </w:tc>
        <w:tc>
          <w:tcPr>
            <w:tcW w:w="1936" w:type="dxa"/>
            <w:tcBorders>
              <w:tl2br w:val="nil"/>
              <w:tr2bl w:val="nil"/>
            </w:tcBorders>
            <w:vAlign w:val="center"/>
          </w:tcPr>
          <w:p w14:paraId="2BEBE3F8">
            <w:pPr>
              <w:widowControl/>
              <w:ind w:firstLine="0" w:firstLineChars="0"/>
              <w:jc w:val="center"/>
              <w:textAlignment w:val="center"/>
              <w:rPr>
                <w:sz w:val="21"/>
                <w:szCs w:val="21"/>
              </w:rPr>
            </w:pPr>
            <w:r>
              <w:rPr>
                <w:rFonts w:hint="eastAsia" w:cs="宋体"/>
                <w:sz w:val="21"/>
                <w:szCs w:val="22"/>
                <w:lang w:bidi="ar"/>
              </w:rPr>
              <w:t>0.2595</w:t>
            </w:r>
          </w:p>
        </w:tc>
        <w:tc>
          <w:tcPr>
            <w:tcW w:w="1619" w:type="dxa"/>
            <w:tcBorders>
              <w:tl2br w:val="nil"/>
              <w:tr2bl w:val="nil"/>
            </w:tcBorders>
            <w:vAlign w:val="center"/>
          </w:tcPr>
          <w:p w14:paraId="1395692E">
            <w:pPr>
              <w:widowControl/>
              <w:ind w:firstLine="0" w:firstLineChars="0"/>
              <w:jc w:val="center"/>
              <w:textAlignment w:val="center"/>
              <w:rPr>
                <w:sz w:val="21"/>
                <w:szCs w:val="21"/>
              </w:rPr>
            </w:pPr>
            <w:r>
              <w:rPr>
                <w:rFonts w:hint="eastAsia" w:cs="宋体"/>
                <w:sz w:val="21"/>
                <w:szCs w:val="22"/>
                <w:lang w:bidi="ar"/>
              </w:rPr>
              <w:t>2.595</w:t>
            </w:r>
          </w:p>
        </w:tc>
      </w:tr>
      <w:tr w14:paraId="057B5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425" w:type="pct"/>
            <w:tcBorders>
              <w:tl2br w:val="nil"/>
              <w:tr2bl w:val="nil"/>
            </w:tcBorders>
            <w:vAlign w:val="center"/>
          </w:tcPr>
          <w:p w14:paraId="5E157D70">
            <w:pPr>
              <w:ind w:firstLine="0" w:firstLineChars="0"/>
              <w:jc w:val="center"/>
              <w:rPr>
                <w:sz w:val="21"/>
                <w:szCs w:val="21"/>
              </w:rPr>
            </w:pPr>
            <w:r>
              <w:rPr>
                <w:sz w:val="21"/>
                <w:szCs w:val="21"/>
              </w:rPr>
              <w:t>24</w:t>
            </w:r>
          </w:p>
        </w:tc>
        <w:tc>
          <w:tcPr>
            <w:tcW w:w="1268" w:type="dxa"/>
            <w:tcBorders>
              <w:tl2br w:val="nil"/>
              <w:tr2bl w:val="nil"/>
            </w:tcBorders>
            <w:vAlign w:val="center"/>
          </w:tcPr>
          <w:p w14:paraId="797A1A36">
            <w:pPr>
              <w:widowControl/>
              <w:ind w:firstLine="0" w:firstLineChars="0"/>
              <w:jc w:val="center"/>
              <w:textAlignment w:val="center"/>
              <w:rPr>
                <w:sz w:val="21"/>
                <w:szCs w:val="21"/>
              </w:rPr>
            </w:pPr>
            <w:r>
              <w:rPr>
                <w:rFonts w:hint="eastAsia" w:cs="宋体"/>
                <w:sz w:val="21"/>
                <w:szCs w:val="22"/>
                <w:lang w:bidi="ar"/>
              </w:rPr>
              <w:t>2200</w:t>
            </w:r>
          </w:p>
        </w:tc>
        <w:tc>
          <w:tcPr>
            <w:tcW w:w="1934" w:type="dxa"/>
            <w:tcBorders>
              <w:tl2br w:val="nil"/>
              <w:tr2bl w:val="nil"/>
            </w:tcBorders>
            <w:vAlign w:val="center"/>
          </w:tcPr>
          <w:p w14:paraId="5C4C725E">
            <w:pPr>
              <w:widowControl/>
              <w:ind w:firstLine="0" w:firstLineChars="0"/>
              <w:jc w:val="center"/>
              <w:textAlignment w:val="center"/>
              <w:rPr>
                <w:sz w:val="21"/>
                <w:szCs w:val="21"/>
              </w:rPr>
            </w:pPr>
            <w:r>
              <w:rPr>
                <w:rFonts w:hint="eastAsia" w:cs="宋体"/>
                <w:sz w:val="21"/>
                <w:szCs w:val="22"/>
                <w:lang w:bidi="ar"/>
              </w:rPr>
              <w:t>2.534</w:t>
            </w:r>
          </w:p>
        </w:tc>
        <w:tc>
          <w:tcPr>
            <w:tcW w:w="1774" w:type="dxa"/>
            <w:tcBorders>
              <w:tl2br w:val="nil"/>
              <w:tr2bl w:val="nil"/>
            </w:tcBorders>
            <w:vAlign w:val="center"/>
          </w:tcPr>
          <w:p w14:paraId="7BCC5796">
            <w:pPr>
              <w:widowControl/>
              <w:ind w:firstLine="0" w:firstLineChars="0"/>
              <w:jc w:val="center"/>
              <w:textAlignment w:val="center"/>
              <w:rPr>
                <w:sz w:val="21"/>
                <w:szCs w:val="21"/>
              </w:rPr>
            </w:pPr>
            <w:r>
              <w:rPr>
                <w:rFonts w:hint="eastAsia" w:cs="宋体"/>
                <w:sz w:val="21"/>
                <w:szCs w:val="22"/>
                <w:lang w:bidi="ar"/>
              </w:rPr>
              <w:t>1.267</w:t>
            </w:r>
          </w:p>
        </w:tc>
        <w:tc>
          <w:tcPr>
            <w:tcW w:w="1936" w:type="dxa"/>
            <w:tcBorders>
              <w:tl2br w:val="nil"/>
              <w:tr2bl w:val="nil"/>
            </w:tcBorders>
            <w:vAlign w:val="center"/>
          </w:tcPr>
          <w:p w14:paraId="694914B8">
            <w:pPr>
              <w:widowControl/>
              <w:ind w:firstLine="0" w:firstLineChars="0"/>
              <w:jc w:val="center"/>
              <w:textAlignment w:val="center"/>
              <w:rPr>
                <w:sz w:val="21"/>
                <w:szCs w:val="21"/>
              </w:rPr>
            </w:pPr>
            <w:r>
              <w:rPr>
                <w:rFonts w:hint="eastAsia" w:cs="宋体"/>
                <w:sz w:val="21"/>
                <w:szCs w:val="22"/>
                <w:lang w:bidi="ar"/>
              </w:rPr>
              <w:t>0.2539</w:t>
            </w:r>
          </w:p>
        </w:tc>
        <w:tc>
          <w:tcPr>
            <w:tcW w:w="1619" w:type="dxa"/>
            <w:tcBorders>
              <w:tl2br w:val="nil"/>
              <w:tr2bl w:val="nil"/>
            </w:tcBorders>
            <w:vAlign w:val="center"/>
          </w:tcPr>
          <w:p w14:paraId="33ACC12B">
            <w:pPr>
              <w:widowControl/>
              <w:ind w:firstLine="0" w:firstLineChars="0"/>
              <w:jc w:val="center"/>
              <w:textAlignment w:val="center"/>
              <w:rPr>
                <w:sz w:val="21"/>
                <w:szCs w:val="21"/>
              </w:rPr>
            </w:pPr>
            <w:r>
              <w:rPr>
                <w:rFonts w:hint="eastAsia" w:cs="宋体"/>
                <w:sz w:val="21"/>
                <w:szCs w:val="22"/>
                <w:lang w:bidi="ar"/>
              </w:rPr>
              <w:t>2.539</w:t>
            </w:r>
          </w:p>
        </w:tc>
      </w:tr>
      <w:tr w14:paraId="33B25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68F07938">
            <w:pPr>
              <w:ind w:firstLine="0" w:firstLineChars="0"/>
              <w:jc w:val="center"/>
              <w:rPr>
                <w:sz w:val="21"/>
                <w:szCs w:val="21"/>
              </w:rPr>
            </w:pPr>
            <w:r>
              <w:rPr>
                <w:sz w:val="21"/>
                <w:szCs w:val="21"/>
              </w:rPr>
              <w:t>25</w:t>
            </w:r>
          </w:p>
        </w:tc>
        <w:tc>
          <w:tcPr>
            <w:tcW w:w="1268" w:type="dxa"/>
            <w:tcBorders>
              <w:tl2br w:val="nil"/>
              <w:tr2bl w:val="nil"/>
            </w:tcBorders>
            <w:vAlign w:val="center"/>
          </w:tcPr>
          <w:p w14:paraId="6C6753A0">
            <w:pPr>
              <w:widowControl/>
              <w:ind w:firstLine="0" w:firstLineChars="0"/>
              <w:jc w:val="center"/>
              <w:textAlignment w:val="center"/>
              <w:rPr>
                <w:sz w:val="21"/>
                <w:szCs w:val="21"/>
              </w:rPr>
            </w:pPr>
            <w:r>
              <w:rPr>
                <w:rFonts w:hint="eastAsia" w:cs="宋体"/>
                <w:sz w:val="21"/>
                <w:szCs w:val="22"/>
                <w:lang w:bidi="ar"/>
              </w:rPr>
              <w:t>2300</w:t>
            </w:r>
          </w:p>
        </w:tc>
        <w:tc>
          <w:tcPr>
            <w:tcW w:w="1934" w:type="dxa"/>
            <w:tcBorders>
              <w:tl2br w:val="nil"/>
              <w:tr2bl w:val="nil"/>
            </w:tcBorders>
            <w:vAlign w:val="center"/>
          </w:tcPr>
          <w:p w14:paraId="53000BBF">
            <w:pPr>
              <w:widowControl/>
              <w:ind w:firstLine="0" w:firstLineChars="0"/>
              <w:jc w:val="center"/>
              <w:textAlignment w:val="center"/>
              <w:rPr>
                <w:sz w:val="21"/>
                <w:szCs w:val="21"/>
              </w:rPr>
            </w:pPr>
            <w:r>
              <w:rPr>
                <w:rFonts w:hint="eastAsia" w:cs="宋体"/>
                <w:sz w:val="21"/>
                <w:szCs w:val="22"/>
                <w:lang w:bidi="ar"/>
              </w:rPr>
              <w:t>2.478</w:t>
            </w:r>
          </w:p>
        </w:tc>
        <w:tc>
          <w:tcPr>
            <w:tcW w:w="1774" w:type="dxa"/>
            <w:tcBorders>
              <w:tl2br w:val="nil"/>
              <w:tr2bl w:val="nil"/>
            </w:tcBorders>
            <w:vAlign w:val="center"/>
          </w:tcPr>
          <w:p w14:paraId="43CF8A82">
            <w:pPr>
              <w:widowControl/>
              <w:ind w:firstLine="0" w:firstLineChars="0"/>
              <w:jc w:val="center"/>
              <w:textAlignment w:val="center"/>
              <w:rPr>
                <w:sz w:val="21"/>
                <w:szCs w:val="21"/>
              </w:rPr>
            </w:pPr>
            <w:r>
              <w:rPr>
                <w:rFonts w:hint="eastAsia" w:cs="宋体"/>
                <w:sz w:val="21"/>
                <w:szCs w:val="22"/>
                <w:lang w:bidi="ar"/>
              </w:rPr>
              <w:t>1.239</w:t>
            </w:r>
          </w:p>
        </w:tc>
        <w:tc>
          <w:tcPr>
            <w:tcW w:w="1936" w:type="dxa"/>
            <w:tcBorders>
              <w:tl2br w:val="nil"/>
              <w:tr2bl w:val="nil"/>
            </w:tcBorders>
            <w:vAlign w:val="center"/>
          </w:tcPr>
          <w:p w14:paraId="0C017B31">
            <w:pPr>
              <w:widowControl/>
              <w:ind w:firstLine="0" w:firstLineChars="0"/>
              <w:jc w:val="center"/>
              <w:textAlignment w:val="center"/>
              <w:rPr>
                <w:sz w:val="21"/>
                <w:szCs w:val="21"/>
              </w:rPr>
            </w:pPr>
            <w:r>
              <w:rPr>
                <w:rFonts w:hint="eastAsia" w:cs="宋体"/>
                <w:sz w:val="21"/>
                <w:szCs w:val="22"/>
                <w:lang w:bidi="ar"/>
              </w:rPr>
              <w:t>0.2482</w:t>
            </w:r>
          </w:p>
        </w:tc>
        <w:tc>
          <w:tcPr>
            <w:tcW w:w="1619" w:type="dxa"/>
            <w:tcBorders>
              <w:tl2br w:val="nil"/>
              <w:tr2bl w:val="nil"/>
            </w:tcBorders>
            <w:vAlign w:val="center"/>
          </w:tcPr>
          <w:p w14:paraId="2FDFB1BC">
            <w:pPr>
              <w:widowControl/>
              <w:ind w:firstLine="0" w:firstLineChars="0"/>
              <w:jc w:val="center"/>
              <w:textAlignment w:val="center"/>
              <w:rPr>
                <w:sz w:val="21"/>
                <w:szCs w:val="21"/>
              </w:rPr>
            </w:pPr>
            <w:r>
              <w:rPr>
                <w:rFonts w:hint="eastAsia" w:cs="宋体"/>
                <w:sz w:val="21"/>
                <w:szCs w:val="22"/>
                <w:lang w:bidi="ar"/>
              </w:rPr>
              <w:t>2.482</w:t>
            </w:r>
          </w:p>
        </w:tc>
      </w:tr>
      <w:tr w14:paraId="5487C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5BA21215">
            <w:pPr>
              <w:ind w:firstLine="0" w:firstLineChars="0"/>
              <w:jc w:val="center"/>
              <w:rPr>
                <w:sz w:val="21"/>
                <w:szCs w:val="21"/>
              </w:rPr>
            </w:pPr>
            <w:r>
              <w:rPr>
                <w:sz w:val="21"/>
                <w:szCs w:val="21"/>
              </w:rPr>
              <w:t>26</w:t>
            </w:r>
          </w:p>
        </w:tc>
        <w:tc>
          <w:tcPr>
            <w:tcW w:w="1268" w:type="dxa"/>
            <w:tcBorders>
              <w:tl2br w:val="nil"/>
              <w:tr2bl w:val="nil"/>
            </w:tcBorders>
            <w:vAlign w:val="center"/>
          </w:tcPr>
          <w:p w14:paraId="739C9FDE">
            <w:pPr>
              <w:widowControl/>
              <w:ind w:firstLine="0" w:firstLineChars="0"/>
              <w:jc w:val="center"/>
              <w:textAlignment w:val="center"/>
              <w:rPr>
                <w:sz w:val="21"/>
                <w:szCs w:val="21"/>
              </w:rPr>
            </w:pPr>
            <w:r>
              <w:rPr>
                <w:rFonts w:hint="eastAsia" w:cs="宋体"/>
                <w:sz w:val="21"/>
                <w:szCs w:val="22"/>
                <w:lang w:bidi="ar"/>
              </w:rPr>
              <w:t>2400</w:t>
            </w:r>
          </w:p>
        </w:tc>
        <w:tc>
          <w:tcPr>
            <w:tcW w:w="1934" w:type="dxa"/>
            <w:tcBorders>
              <w:tl2br w:val="nil"/>
              <w:tr2bl w:val="nil"/>
            </w:tcBorders>
            <w:vAlign w:val="center"/>
          </w:tcPr>
          <w:p w14:paraId="5AAE0B99">
            <w:pPr>
              <w:widowControl/>
              <w:ind w:firstLine="0" w:firstLineChars="0"/>
              <w:jc w:val="center"/>
              <w:textAlignment w:val="center"/>
              <w:rPr>
                <w:sz w:val="21"/>
                <w:szCs w:val="21"/>
              </w:rPr>
            </w:pPr>
            <w:r>
              <w:rPr>
                <w:rFonts w:hint="eastAsia" w:cs="宋体"/>
                <w:sz w:val="21"/>
                <w:szCs w:val="22"/>
                <w:lang w:bidi="ar"/>
              </w:rPr>
              <w:t>2.422</w:t>
            </w:r>
          </w:p>
        </w:tc>
        <w:tc>
          <w:tcPr>
            <w:tcW w:w="1774" w:type="dxa"/>
            <w:tcBorders>
              <w:tl2br w:val="nil"/>
              <w:tr2bl w:val="nil"/>
            </w:tcBorders>
            <w:vAlign w:val="center"/>
          </w:tcPr>
          <w:p w14:paraId="61FFC179">
            <w:pPr>
              <w:widowControl/>
              <w:ind w:firstLine="0" w:firstLineChars="0"/>
              <w:jc w:val="center"/>
              <w:textAlignment w:val="center"/>
              <w:rPr>
                <w:sz w:val="21"/>
                <w:szCs w:val="21"/>
              </w:rPr>
            </w:pPr>
            <w:r>
              <w:rPr>
                <w:rFonts w:hint="eastAsia" w:cs="宋体"/>
                <w:sz w:val="21"/>
                <w:szCs w:val="22"/>
                <w:lang w:bidi="ar"/>
              </w:rPr>
              <w:t>1.211</w:t>
            </w:r>
          </w:p>
        </w:tc>
        <w:tc>
          <w:tcPr>
            <w:tcW w:w="1936" w:type="dxa"/>
            <w:tcBorders>
              <w:tl2br w:val="nil"/>
              <w:tr2bl w:val="nil"/>
            </w:tcBorders>
            <w:vAlign w:val="center"/>
          </w:tcPr>
          <w:p w14:paraId="2BAE3771">
            <w:pPr>
              <w:widowControl/>
              <w:ind w:firstLine="0" w:firstLineChars="0"/>
              <w:jc w:val="center"/>
              <w:textAlignment w:val="center"/>
              <w:rPr>
                <w:sz w:val="21"/>
                <w:szCs w:val="21"/>
              </w:rPr>
            </w:pPr>
            <w:r>
              <w:rPr>
                <w:rFonts w:hint="eastAsia" w:cs="宋体"/>
                <w:sz w:val="21"/>
                <w:szCs w:val="22"/>
                <w:lang w:bidi="ar"/>
              </w:rPr>
              <w:t>0.2425</w:t>
            </w:r>
          </w:p>
        </w:tc>
        <w:tc>
          <w:tcPr>
            <w:tcW w:w="1619" w:type="dxa"/>
            <w:tcBorders>
              <w:tl2br w:val="nil"/>
              <w:tr2bl w:val="nil"/>
            </w:tcBorders>
            <w:vAlign w:val="center"/>
          </w:tcPr>
          <w:p w14:paraId="5591C6E3">
            <w:pPr>
              <w:widowControl/>
              <w:ind w:firstLine="0" w:firstLineChars="0"/>
              <w:jc w:val="center"/>
              <w:textAlignment w:val="center"/>
              <w:rPr>
                <w:sz w:val="21"/>
                <w:szCs w:val="21"/>
              </w:rPr>
            </w:pPr>
            <w:r>
              <w:rPr>
                <w:rFonts w:hint="eastAsia" w:cs="宋体"/>
                <w:sz w:val="21"/>
                <w:szCs w:val="22"/>
                <w:lang w:bidi="ar"/>
              </w:rPr>
              <w:t>2.425</w:t>
            </w:r>
          </w:p>
        </w:tc>
      </w:tr>
      <w:tr w14:paraId="1D56F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79033A83">
            <w:pPr>
              <w:ind w:firstLine="0" w:firstLineChars="0"/>
              <w:jc w:val="center"/>
              <w:rPr>
                <w:sz w:val="21"/>
                <w:szCs w:val="21"/>
              </w:rPr>
            </w:pPr>
            <w:r>
              <w:rPr>
                <w:sz w:val="21"/>
                <w:szCs w:val="21"/>
              </w:rPr>
              <w:t>27</w:t>
            </w:r>
          </w:p>
        </w:tc>
        <w:tc>
          <w:tcPr>
            <w:tcW w:w="1268" w:type="dxa"/>
            <w:tcBorders>
              <w:tl2br w:val="nil"/>
              <w:tr2bl w:val="nil"/>
            </w:tcBorders>
            <w:vAlign w:val="center"/>
          </w:tcPr>
          <w:p w14:paraId="0BE8B72B">
            <w:pPr>
              <w:widowControl/>
              <w:ind w:firstLine="0" w:firstLineChars="0"/>
              <w:jc w:val="center"/>
              <w:textAlignment w:val="center"/>
              <w:rPr>
                <w:sz w:val="21"/>
                <w:szCs w:val="21"/>
              </w:rPr>
            </w:pPr>
            <w:r>
              <w:rPr>
                <w:rFonts w:hint="eastAsia" w:cs="宋体"/>
                <w:sz w:val="21"/>
                <w:szCs w:val="22"/>
                <w:lang w:bidi="ar"/>
              </w:rPr>
              <w:t>2500</w:t>
            </w:r>
          </w:p>
        </w:tc>
        <w:tc>
          <w:tcPr>
            <w:tcW w:w="1934" w:type="dxa"/>
            <w:tcBorders>
              <w:tl2br w:val="nil"/>
              <w:tr2bl w:val="nil"/>
            </w:tcBorders>
            <w:vAlign w:val="center"/>
          </w:tcPr>
          <w:p w14:paraId="79C79E98">
            <w:pPr>
              <w:widowControl/>
              <w:ind w:firstLine="0" w:firstLineChars="0"/>
              <w:jc w:val="center"/>
              <w:textAlignment w:val="center"/>
              <w:rPr>
                <w:sz w:val="21"/>
                <w:szCs w:val="21"/>
              </w:rPr>
            </w:pPr>
            <w:r>
              <w:rPr>
                <w:rFonts w:hint="eastAsia" w:cs="宋体"/>
                <w:sz w:val="21"/>
                <w:szCs w:val="22"/>
                <w:lang w:bidi="ar"/>
              </w:rPr>
              <w:t>2.368</w:t>
            </w:r>
          </w:p>
        </w:tc>
        <w:tc>
          <w:tcPr>
            <w:tcW w:w="1774" w:type="dxa"/>
            <w:tcBorders>
              <w:tl2br w:val="nil"/>
              <w:tr2bl w:val="nil"/>
            </w:tcBorders>
            <w:vAlign w:val="center"/>
          </w:tcPr>
          <w:p w14:paraId="7A1C3356">
            <w:pPr>
              <w:widowControl/>
              <w:ind w:firstLine="0" w:firstLineChars="0"/>
              <w:jc w:val="center"/>
              <w:textAlignment w:val="center"/>
              <w:rPr>
                <w:sz w:val="21"/>
                <w:szCs w:val="21"/>
              </w:rPr>
            </w:pPr>
            <w:r>
              <w:rPr>
                <w:rFonts w:hint="eastAsia" w:cs="宋体"/>
                <w:sz w:val="21"/>
                <w:szCs w:val="22"/>
                <w:lang w:bidi="ar"/>
              </w:rPr>
              <w:t>1.184</w:t>
            </w:r>
          </w:p>
        </w:tc>
        <w:tc>
          <w:tcPr>
            <w:tcW w:w="1936" w:type="dxa"/>
            <w:tcBorders>
              <w:tl2br w:val="nil"/>
              <w:tr2bl w:val="nil"/>
            </w:tcBorders>
            <w:vAlign w:val="center"/>
          </w:tcPr>
          <w:p w14:paraId="26EA6FD7">
            <w:pPr>
              <w:widowControl/>
              <w:ind w:firstLine="0" w:firstLineChars="0"/>
              <w:jc w:val="center"/>
              <w:textAlignment w:val="center"/>
              <w:rPr>
                <w:sz w:val="21"/>
                <w:szCs w:val="21"/>
              </w:rPr>
            </w:pPr>
            <w:r>
              <w:rPr>
                <w:rFonts w:hint="eastAsia" w:cs="宋体"/>
                <w:sz w:val="21"/>
                <w:szCs w:val="22"/>
                <w:lang w:bidi="ar"/>
              </w:rPr>
              <w:t>0.2371</w:t>
            </w:r>
          </w:p>
        </w:tc>
        <w:tc>
          <w:tcPr>
            <w:tcW w:w="1619" w:type="dxa"/>
            <w:tcBorders>
              <w:tl2br w:val="nil"/>
              <w:tr2bl w:val="nil"/>
            </w:tcBorders>
            <w:vAlign w:val="center"/>
          </w:tcPr>
          <w:p w14:paraId="0AD15FDA">
            <w:pPr>
              <w:widowControl/>
              <w:ind w:firstLine="0" w:firstLineChars="0"/>
              <w:jc w:val="center"/>
              <w:textAlignment w:val="center"/>
              <w:rPr>
                <w:sz w:val="21"/>
                <w:szCs w:val="21"/>
              </w:rPr>
            </w:pPr>
            <w:r>
              <w:rPr>
                <w:rFonts w:hint="eastAsia" w:cs="宋体"/>
                <w:sz w:val="21"/>
                <w:szCs w:val="22"/>
                <w:lang w:bidi="ar"/>
              </w:rPr>
              <w:t>2.371</w:t>
            </w:r>
          </w:p>
        </w:tc>
      </w:tr>
      <w:tr w14:paraId="261A3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187" w:type="pct"/>
            <w:gridSpan w:val="2"/>
            <w:tcBorders>
              <w:tl2br w:val="nil"/>
              <w:tr2bl w:val="nil"/>
            </w:tcBorders>
            <w:vAlign w:val="center"/>
          </w:tcPr>
          <w:p w14:paraId="2B9D5851">
            <w:pPr>
              <w:ind w:firstLine="0" w:firstLineChars="0"/>
              <w:jc w:val="center"/>
              <w:rPr>
                <w:rFonts w:cs="宋体"/>
                <w:sz w:val="21"/>
                <w:szCs w:val="21"/>
              </w:rPr>
            </w:pPr>
            <w:r>
              <w:rPr>
                <w:rFonts w:cs="宋体"/>
                <w:sz w:val="21"/>
                <w:szCs w:val="21"/>
              </w:rPr>
              <w:t>下风向最大质量浓度及占标率</w:t>
            </w:r>
            <w:r>
              <w:rPr>
                <w:rFonts w:hint="eastAsia" w:cs="宋体"/>
                <w:sz w:val="21"/>
                <w:szCs w:val="21"/>
              </w:rPr>
              <w:t>（</w:t>
            </w:r>
            <w:r>
              <w:rPr>
                <w:sz w:val="21"/>
                <w:szCs w:val="21"/>
              </w:rPr>
              <w:t>%</w:t>
            </w:r>
            <w:r>
              <w:rPr>
                <w:rFonts w:hint="eastAsia" w:cs="宋体"/>
                <w:sz w:val="21"/>
                <w:szCs w:val="21"/>
              </w:rPr>
              <w:t>）</w:t>
            </w:r>
          </w:p>
        </w:tc>
        <w:tc>
          <w:tcPr>
            <w:tcW w:w="1688" w:type="dxa"/>
            <w:tcBorders>
              <w:tl2br w:val="nil"/>
              <w:tr2bl w:val="nil"/>
            </w:tcBorders>
            <w:vAlign w:val="center"/>
          </w:tcPr>
          <w:p w14:paraId="4E51F68A">
            <w:pPr>
              <w:widowControl/>
              <w:ind w:firstLine="0" w:firstLineChars="0"/>
              <w:jc w:val="center"/>
              <w:textAlignment w:val="center"/>
              <w:rPr>
                <w:sz w:val="21"/>
                <w:szCs w:val="21"/>
              </w:rPr>
            </w:pPr>
            <w:r>
              <w:rPr>
                <w:rFonts w:hint="eastAsia" w:cs="宋体"/>
                <w:sz w:val="21"/>
                <w:szCs w:val="22"/>
                <w:lang w:bidi="ar"/>
              </w:rPr>
              <w:t>5.969</w:t>
            </w:r>
          </w:p>
        </w:tc>
        <w:tc>
          <w:tcPr>
            <w:tcW w:w="1549" w:type="dxa"/>
            <w:tcBorders>
              <w:tl2br w:val="nil"/>
              <w:tr2bl w:val="nil"/>
            </w:tcBorders>
            <w:vAlign w:val="center"/>
          </w:tcPr>
          <w:p w14:paraId="396BE12D">
            <w:pPr>
              <w:widowControl/>
              <w:ind w:firstLine="0" w:firstLineChars="0"/>
              <w:jc w:val="center"/>
              <w:textAlignment w:val="center"/>
              <w:rPr>
                <w:sz w:val="21"/>
                <w:szCs w:val="21"/>
              </w:rPr>
            </w:pPr>
            <w:r>
              <w:rPr>
                <w:rFonts w:hint="eastAsia" w:cs="宋体"/>
                <w:sz w:val="21"/>
                <w:szCs w:val="22"/>
                <w:lang w:bidi="ar"/>
              </w:rPr>
              <w:t>2.9844999</w:t>
            </w:r>
          </w:p>
        </w:tc>
        <w:tc>
          <w:tcPr>
            <w:tcW w:w="1690" w:type="dxa"/>
            <w:tcBorders>
              <w:tl2br w:val="nil"/>
              <w:tr2bl w:val="nil"/>
            </w:tcBorders>
            <w:vAlign w:val="center"/>
          </w:tcPr>
          <w:p w14:paraId="7AAA5B67">
            <w:pPr>
              <w:widowControl/>
              <w:ind w:firstLine="0" w:firstLineChars="0"/>
              <w:jc w:val="center"/>
              <w:textAlignment w:val="center"/>
              <w:rPr>
                <w:sz w:val="21"/>
                <w:szCs w:val="21"/>
              </w:rPr>
            </w:pPr>
            <w:r>
              <w:rPr>
                <w:rFonts w:hint="eastAsia" w:cs="宋体"/>
                <w:sz w:val="21"/>
                <w:szCs w:val="22"/>
                <w:lang w:bidi="ar"/>
              </w:rPr>
              <w:t>0.6006</w:t>
            </w:r>
          </w:p>
        </w:tc>
        <w:tc>
          <w:tcPr>
            <w:tcW w:w="1414" w:type="dxa"/>
            <w:tcBorders>
              <w:tl2br w:val="nil"/>
              <w:tr2bl w:val="nil"/>
            </w:tcBorders>
            <w:vAlign w:val="center"/>
          </w:tcPr>
          <w:p w14:paraId="7481795F">
            <w:pPr>
              <w:widowControl/>
              <w:ind w:firstLine="0" w:firstLineChars="0"/>
              <w:jc w:val="center"/>
              <w:textAlignment w:val="center"/>
              <w:rPr>
                <w:sz w:val="21"/>
                <w:szCs w:val="21"/>
              </w:rPr>
            </w:pPr>
            <w:r>
              <w:rPr>
                <w:rFonts w:hint="eastAsia" w:cs="宋体"/>
                <w:sz w:val="21"/>
                <w:szCs w:val="22"/>
                <w:lang w:bidi="ar"/>
              </w:rPr>
              <w:t>6.006</w:t>
            </w:r>
          </w:p>
        </w:tc>
      </w:tr>
      <w:tr w14:paraId="04F67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187" w:type="pct"/>
            <w:gridSpan w:val="2"/>
            <w:tcBorders>
              <w:tl2br w:val="nil"/>
              <w:tr2bl w:val="nil"/>
            </w:tcBorders>
            <w:vAlign w:val="center"/>
          </w:tcPr>
          <w:p w14:paraId="565F4650">
            <w:pPr>
              <w:ind w:firstLine="0" w:firstLineChars="0"/>
              <w:jc w:val="center"/>
              <w:rPr>
                <w:sz w:val="21"/>
                <w:szCs w:val="21"/>
              </w:rPr>
            </w:pPr>
            <w:r>
              <w:rPr>
                <w:sz w:val="21"/>
                <w:szCs w:val="21"/>
              </w:rPr>
              <w:t>D</w:t>
            </w:r>
            <w:r>
              <w:rPr>
                <w:sz w:val="21"/>
                <w:szCs w:val="14"/>
              </w:rPr>
              <w:t>10%</w:t>
            </w:r>
            <w:r>
              <w:rPr>
                <w:rFonts w:cs="宋体"/>
                <w:sz w:val="21"/>
                <w:szCs w:val="21"/>
              </w:rPr>
              <w:t>最远距离</w:t>
            </w:r>
            <w:r>
              <w:rPr>
                <w:sz w:val="21"/>
                <w:szCs w:val="21"/>
              </w:rPr>
              <w:t>/m</w:t>
            </w:r>
          </w:p>
        </w:tc>
        <w:tc>
          <w:tcPr>
            <w:tcW w:w="3812" w:type="pct"/>
            <w:gridSpan w:val="4"/>
            <w:tcBorders>
              <w:tl2br w:val="nil"/>
              <w:tr2bl w:val="nil"/>
            </w:tcBorders>
            <w:vAlign w:val="center"/>
          </w:tcPr>
          <w:p w14:paraId="20194847">
            <w:pPr>
              <w:ind w:firstLine="0" w:firstLineChars="0"/>
              <w:jc w:val="center"/>
              <w:rPr>
                <w:sz w:val="21"/>
                <w:szCs w:val="21"/>
              </w:rPr>
            </w:pPr>
            <w:r>
              <w:rPr>
                <w:rFonts w:hint="eastAsia"/>
                <w:sz w:val="21"/>
                <w:szCs w:val="21"/>
              </w:rPr>
              <w:t>167</w:t>
            </w:r>
          </w:p>
        </w:tc>
      </w:tr>
    </w:tbl>
    <w:p w14:paraId="7F43CE52">
      <w:pPr>
        <w:ind w:firstLine="0" w:firstLineChars="0"/>
        <w:jc w:val="center"/>
        <w:rPr>
          <w:rFonts w:cs="黑体"/>
          <w:b/>
          <w:bCs/>
          <w:szCs w:val="21"/>
        </w:rPr>
      </w:pPr>
      <w:r>
        <w:rPr>
          <w:rFonts w:cs="黑体"/>
          <w:b/>
          <w:bCs/>
          <w:szCs w:val="21"/>
        </w:rPr>
        <w:t>表</w:t>
      </w:r>
      <w:r>
        <w:rPr>
          <w:rFonts w:hint="eastAsia"/>
          <w:b/>
          <w:bCs/>
          <w:szCs w:val="21"/>
        </w:rPr>
        <w:t>5</w:t>
      </w:r>
      <w:r>
        <w:rPr>
          <w:b/>
          <w:bCs/>
          <w:szCs w:val="21"/>
        </w:rPr>
        <w:t>.2-</w:t>
      </w:r>
      <w:r>
        <w:rPr>
          <w:rFonts w:hint="eastAsia"/>
          <w:b/>
          <w:bCs/>
          <w:szCs w:val="21"/>
        </w:rPr>
        <w:t>6</w:t>
      </w:r>
      <w:r>
        <w:rPr>
          <w:rFonts w:hint="eastAsia" w:cs="黑体"/>
          <w:b/>
          <w:bCs/>
          <w:szCs w:val="21"/>
        </w:rPr>
        <w:t>堆肥场</w:t>
      </w:r>
      <w:r>
        <w:rPr>
          <w:rFonts w:cs="黑体"/>
          <w:b/>
          <w:bCs/>
          <w:szCs w:val="21"/>
        </w:rPr>
        <w:t>硫化氢、氨气估算模式计算结果表</w:t>
      </w:r>
    </w:p>
    <w:tbl>
      <w:tblPr>
        <w:tblStyle w:val="183"/>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6"/>
        <w:gridCol w:w="1268"/>
        <w:gridCol w:w="1688"/>
        <w:gridCol w:w="1549"/>
        <w:gridCol w:w="1690"/>
        <w:gridCol w:w="1414"/>
      </w:tblGrid>
      <w:tr w14:paraId="6FD3D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vMerge w:val="restart"/>
            <w:tcBorders>
              <w:tl2br w:val="nil"/>
              <w:tr2bl w:val="nil"/>
            </w:tcBorders>
            <w:vAlign w:val="center"/>
          </w:tcPr>
          <w:p w14:paraId="674F253C">
            <w:pPr>
              <w:ind w:firstLine="0" w:firstLineChars="0"/>
              <w:jc w:val="center"/>
              <w:rPr>
                <w:rFonts w:cs="宋体"/>
                <w:sz w:val="21"/>
                <w:szCs w:val="21"/>
              </w:rPr>
            </w:pPr>
            <w:r>
              <w:rPr>
                <w:rFonts w:cs="宋体"/>
                <w:sz w:val="21"/>
                <w:szCs w:val="21"/>
              </w:rPr>
              <w:t>序号</w:t>
            </w:r>
          </w:p>
        </w:tc>
        <w:tc>
          <w:tcPr>
            <w:tcW w:w="761" w:type="pct"/>
            <w:vMerge w:val="restart"/>
            <w:tcBorders>
              <w:tl2br w:val="nil"/>
              <w:tr2bl w:val="nil"/>
            </w:tcBorders>
            <w:vAlign w:val="center"/>
          </w:tcPr>
          <w:p w14:paraId="62545BF7">
            <w:pPr>
              <w:tabs>
                <w:tab w:val="left" w:pos="459"/>
              </w:tabs>
              <w:ind w:firstLine="0" w:firstLineChars="0"/>
              <w:jc w:val="center"/>
              <w:rPr>
                <w:rFonts w:cs="宋体"/>
                <w:sz w:val="21"/>
                <w:szCs w:val="21"/>
              </w:rPr>
            </w:pPr>
            <w:r>
              <w:rPr>
                <w:rFonts w:cs="宋体"/>
                <w:sz w:val="21"/>
                <w:szCs w:val="21"/>
              </w:rPr>
              <w:t>源距下风向距离</w:t>
            </w:r>
            <w:r>
              <w:rPr>
                <w:sz w:val="21"/>
                <w:szCs w:val="21"/>
              </w:rPr>
              <w:t>D</w:t>
            </w:r>
            <w:r>
              <w:rPr>
                <w:rFonts w:hint="eastAsia" w:cs="宋体"/>
                <w:sz w:val="21"/>
                <w:szCs w:val="21"/>
              </w:rPr>
              <w:t>（</w:t>
            </w:r>
            <w:r>
              <w:rPr>
                <w:sz w:val="21"/>
                <w:szCs w:val="21"/>
              </w:rPr>
              <w:t>m</w:t>
            </w:r>
            <w:r>
              <w:rPr>
                <w:rFonts w:hint="eastAsia" w:cs="宋体"/>
                <w:sz w:val="21"/>
                <w:szCs w:val="21"/>
              </w:rPr>
              <w:t>）</w:t>
            </w:r>
          </w:p>
        </w:tc>
        <w:tc>
          <w:tcPr>
            <w:tcW w:w="1946" w:type="pct"/>
            <w:gridSpan w:val="2"/>
            <w:tcBorders>
              <w:tl2br w:val="nil"/>
              <w:tr2bl w:val="nil"/>
            </w:tcBorders>
            <w:vAlign w:val="center"/>
          </w:tcPr>
          <w:p w14:paraId="59590585">
            <w:pPr>
              <w:ind w:firstLine="0" w:firstLineChars="0"/>
              <w:jc w:val="center"/>
              <w:rPr>
                <w:rFonts w:cs="宋体"/>
                <w:sz w:val="21"/>
                <w:szCs w:val="21"/>
              </w:rPr>
            </w:pPr>
            <w:r>
              <w:rPr>
                <w:rFonts w:cs="宋体"/>
                <w:sz w:val="21"/>
                <w:szCs w:val="21"/>
              </w:rPr>
              <w:t>氨</w:t>
            </w:r>
          </w:p>
        </w:tc>
        <w:tc>
          <w:tcPr>
            <w:tcW w:w="1866" w:type="pct"/>
            <w:gridSpan w:val="2"/>
            <w:tcBorders>
              <w:tl2br w:val="nil"/>
              <w:tr2bl w:val="nil"/>
            </w:tcBorders>
            <w:vAlign w:val="center"/>
          </w:tcPr>
          <w:p w14:paraId="4735A3A5">
            <w:pPr>
              <w:ind w:firstLine="0" w:firstLineChars="0"/>
              <w:jc w:val="center"/>
              <w:rPr>
                <w:rFonts w:cs="宋体"/>
                <w:sz w:val="21"/>
                <w:szCs w:val="21"/>
              </w:rPr>
            </w:pPr>
            <w:r>
              <w:rPr>
                <w:rFonts w:cs="宋体"/>
                <w:sz w:val="21"/>
                <w:szCs w:val="21"/>
              </w:rPr>
              <w:t>硫化氢</w:t>
            </w:r>
          </w:p>
        </w:tc>
      </w:tr>
      <w:tr w14:paraId="105F0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25" w:type="pct"/>
            <w:vMerge w:val="continue"/>
            <w:tcBorders>
              <w:tl2br w:val="nil"/>
              <w:tr2bl w:val="nil"/>
            </w:tcBorders>
            <w:vAlign w:val="center"/>
          </w:tcPr>
          <w:p w14:paraId="2C563DF9">
            <w:pPr>
              <w:ind w:firstLine="0" w:firstLineChars="0"/>
              <w:jc w:val="center"/>
              <w:rPr>
                <w:sz w:val="21"/>
              </w:rPr>
            </w:pPr>
          </w:p>
        </w:tc>
        <w:tc>
          <w:tcPr>
            <w:tcW w:w="761" w:type="pct"/>
            <w:vMerge w:val="continue"/>
            <w:tcBorders>
              <w:tl2br w:val="nil"/>
              <w:tr2bl w:val="nil"/>
            </w:tcBorders>
            <w:vAlign w:val="center"/>
          </w:tcPr>
          <w:p w14:paraId="039455D9">
            <w:pPr>
              <w:ind w:firstLine="0" w:firstLineChars="0"/>
              <w:jc w:val="center"/>
              <w:rPr>
                <w:sz w:val="21"/>
              </w:rPr>
            </w:pPr>
          </w:p>
        </w:tc>
        <w:tc>
          <w:tcPr>
            <w:tcW w:w="1015" w:type="pct"/>
            <w:tcBorders>
              <w:tl2br w:val="nil"/>
              <w:tr2bl w:val="nil"/>
            </w:tcBorders>
            <w:vAlign w:val="center"/>
          </w:tcPr>
          <w:p w14:paraId="6CAE17E2">
            <w:pPr>
              <w:ind w:firstLine="0" w:firstLineChars="0"/>
              <w:jc w:val="center"/>
              <w:rPr>
                <w:rFonts w:cs="宋体"/>
                <w:sz w:val="21"/>
                <w:szCs w:val="21"/>
              </w:rPr>
            </w:pPr>
            <w:r>
              <w:rPr>
                <w:rFonts w:cs="宋体"/>
                <w:sz w:val="21"/>
                <w:szCs w:val="21"/>
              </w:rPr>
              <w:t>下风向预测浓度</w:t>
            </w:r>
            <w:r>
              <w:rPr>
                <w:rFonts w:hint="eastAsia" w:cs="宋体"/>
                <w:sz w:val="21"/>
                <w:szCs w:val="21"/>
              </w:rPr>
              <w:t>（</w:t>
            </w:r>
            <w:r>
              <w:rPr>
                <w:rFonts w:hint="eastAsia"/>
                <w:sz w:val="21"/>
                <w:szCs w:val="21"/>
              </w:rPr>
              <w:t>u</w:t>
            </w:r>
            <w:r>
              <w:rPr>
                <w:sz w:val="21"/>
                <w:szCs w:val="21"/>
              </w:rPr>
              <w:t>g/m</w:t>
            </w:r>
            <w:r>
              <w:rPr>
                <w:rFonts w:hint="eastAsia"/>
                <w:sz w:val="21"/>
                <w:szCs w:val="21"/>
                <w:vertAlign w:val="superscript"/>
              </w:rPr>
              <w:t>3</w:t>
            </w:r>
            <w:r>
              <w:rPr>
                <w:rFonts w:hint="eastAsia" w:cs="宋体"/>
                <w:sz w:val="21"/>
                <w:szCs w:val="21"/>
              </w:rPr>
              <w:t>）</w:t>
            </w:r>
          </w:p>
        </w:tc>
        <w:tc>
          <w:tcPr>
            <w:tcW w:w="931" w:type="pct"/>
            <w:tcBorders>
              <w:tl2br w:val="nil"/>
              <w:tr2bl w:val="nil"/>
            </w:tcBorders>
            <w:vAlign w:val="center"/>
          </w:tcPr>
          <w:p w14:paraId="6DD71FD3">
            <w:pPr>
              <w:ind w:firstLine="0" w:firstLineChars="0"/>
              <w:jc w:val="center"/>
              <w:rPr>
                <w:rFonts w:cs="宋体"/>
                <w:sz w:val="21"/>
                <w:szCs w:val="21"/>
              </w:rPr>
            </w:pPr>
            <w:r>
              <w:rPr>
                <w:rFonts w:cs="宋体"/>
                <w:sz w:val="21"/>
                <w:szCs w:val="21"/>
              </w:rPr>
              <w:t>占标率</w:t>
            </w:r>
            <w:r>
              <w:rPr>
                <w:rFonts w:hint="eastAsia" w:cs="宋体"/>
                <w:sz w:val="21"/>
                <w:szCs w:val="21"/>
              </w:rPr>
              <w:t>（</w:t>
            </w:r>
            <w:r>
              <w:rPr>
                <w:sz w:val="21"/>
                <w:szCs w:val="21"/>
              </w:rPr>
              <w:t>%</w:t>
            </w:r>
            <w:r>
              <w:rPr>
                <w:rFonts w:hint="eastAsia" w:cs="宋体"/>
                <w:sz w:val="21"/>
                <w:szCs w:val="21"/>
              </w:rPr>
              <w:t>）</w:t>
            </w:r>
          </w:p>
        </w:tc>
        <w:tc>
          <w:tcPr>
            <w:tcW w:w="1016" w:type="pct"/>
            <w:tcBorders>
              <w:tl2br w:val="nil"/>
              <w:tr2bl w:val="nil"/>
            </w:tcBorders>
            <w:vAlign w:val="center"/>
          </w:tcPr>
          <w:p w14:paraId="70ECE30D">
            <w:pPr>
              <w:ind w:firstLine="0" w:firstLineChars="0"/>
              <w:jc w:val="center"/>
              <w:rPr>
                <w:rFonts w:cs="宋体"/>
                <w:sz w:val="21"/>
                <w:szCs w:val="21"/>
              </w:rPr>
            </w:pPr>
            <w:r>
              <w:rPr>
                <w:rFonts w:cs="宋体"/>
                <w:sz w:val="21"/>
                <w:szCs w:val="21"/>
              </w:rPr>
              <w:t>下风向预测浓度</w:t>
            </w:r>
            <w:r>
              <w:rPr>
                <w:rFonts w:hint="eastAsia" w:cs="宋体"/>
                <w:sz w:val="21"/>
                <w:szCs w:val="21"/>
              </w:rPr>
              <w:t>（</w:t>
            </w:r>
            <w:r>
              <w:rPr>
                <w:rFonts w:hint="eastAsia"/>
                <w:sz w:val="21"/>
                <w:szCs w:val="21"/>
              </w:rPr>
              <w:t>u</w:t>
            </w:r>
            <w:r>
              <w:rPr>
                <w:sz w:val="21"/>
                <w:szCs w:val="21"/>
              </w:rPr>
              <w:t>g/m</w:t>
            </w:r>
            <w:r>
              <w:rPr>
                <w:sz w:val="21"/>
                <w:szCs w:val="14"/>
                <w:vertAlign w:val="superscript"/>
              </w:rPr>
              <w:t>3</w:t>
            </w:r>
            <w:r>
              <w:rPr>
                <w:rFonts w:hint="eastAsia" w:cs="宋体"/>
                <w:sz w:val="21"/>
                <w:szCs w:val="21"/>
              </w:rPr>
              <w:t>）</w:t>
            </w:r>
          </w:p>
        </w:tc>
        <w:tc>
          <w:tcPr>
            <w:tcW w:w="849" w:type="pct"/>
            <w:tcBorders>
              <w:tl2br w:val="nil"/>
              <w:tr2bl w:val="nil"/>
            </w:tcBorders>
            <w:vAlign w:val="center"/>
          </w:tcPr>
          <w:p w14:paraId="4ACF5E3C">
            <w:pPr>
              <w:ind w:firstLine="0" w:firstLineChars="0"/>
              <w:jc w:val="center"/>
              <w:rPr>
                <w:rFonts w:cs="宋体"/>
                <w:sz w:val="21"/>
                <w:szCs w:val="21"/>
              </w:rPr>
            </w:pPr>
            <w:r>
              <w:rPr>
                <w:rFonts w:cs="宋体"/>
                <w:sz w:val="21"/>
                <w:szCs w:val="21"/>
              </w:rPr>
              <w:t>占标率</w:t>
            </w:r>
            <w:r>
              <w:rPr>
                <w:rFonts w:hint="eastAsia" w:cs="宋体"/>
                <w:sz w:val="21"/>
                <w:szCs w:val="21"/>
              </w:rPr>
              <w:t>（</w:t>
            </w:r>
            <w:r>
              <w:rPr>
                <w:sz w:val="21"/>
                <w:szCs w:val="21"/>
              </w:rPr>
              <w:t>%</w:t>
            </w:r>
            <w:r>
              <w:rPr>
                <w:rFonts w:hint="eastAsia" w:cs="宋体"/>
                <w:sz w:val="21"/>
                <w:szCs w:val="21"/>
              </w:rPr>
              <w:t>）</w:t>
            </w:r>
          </w:p>
        </w:tc>
      </w:tr>
      <w:tr w14:paraId="74B4F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29D009E2">
            <w:pPr>
              <w:ind w:firstLine="0" w:firstLineChars="0"/>
              <w:jc w:val="center"/>
              <w:rPr>
                <w:sz w:val="21"/>
                <w:szCs w:val="21"/>
              </w:rPr>
            </w:pPr>
            <w:r>
              <w:rPr>
                <w:sz w:val="21"/>
                <w:szCs w:val="21"/>
              </w:rPr>
              <w:t>1</w:t>
            </w:r>
          </w:p>
        </w:tc>
        <w:tc>
          <w:tcPr>
            <w:tcW w:w="1265" w:type="dxa"/>
            <w:tcBorders>
              <w:tl2br w:val="nil"/>
              <w:tr2bl w:val="nil"/>
            </w:tcBorders>
            <w:vAlign w:val="center"/>
          </w:tcPr>
          <w:p w14:paraId="2D17FF7D">
            <w:pPr>
              <w:widowControl/>
              <w:ind w:firstLine="0" w:firstLineChars="0"/>
              <w:jc w:val="center"/>
              <w:textAlignment w:val="center"/>
              <w:rPr>
                <w:sz w:val="21"/>
                <w:szCs w:val="21"/>
              </w:rPr>
            </w:pPr>
            <w:r>
              <w:rPr>
                <w:rFonts w:hint="eastAsia" w:cs="宋体"/>
                <w:sz w:val="21"/>
                <w:szCs w:val="22"/>
                <w:lang w:bidi="ar"/>
              </w:rPr>
              <w:t>50</w:t>
            </w:r>
          </w:p>
        </w:tc>
        <w:tc>
          <w:tcPr>
            <w:tcW w:w="1934" w:type="dxa"/>
            <w:tcBorders>
              <w:tl2br w:val="nil"/>
              <w:tr2bl w:val="nil"/>
            </w:tcBorders>
            <w:vAlign w:val="center"/>
          </w:tcPr>
          <w:p w14:paraId="0CB136D4">
            <w:pPr>
              <w:widowControl/>
              <w:ind w:firstLine="0" w:firstLineChars="0"/>
              <w:jc w:val="center"/>
              <w:textAlignment w:val="center"/>
              <w:rPr>
                <w:sz w:val="21"/>
                <w:szCs w:val="21"/>
              </w:rPr>
            </w:pPr>
            <w:r>
              <w:rPr>
                <w:rFonts w:hint="eastAsia" w:cs="宋体"/>
                <w:sz w:val="21"/>
                <w:szCs w:val="22"/>
                <w:lang w:bidi="ar"/>
              </w:rPr>
              <w:t>0.5749</w:t>
            </w:r>
          </w:p>
        </w:tc>
        <w:tc>
          <w:tcPr>
            <w:tcW w:w="1774" w:type="dxa"/>
            <w:tcBorders>
              <w:tl2br w:val="nil"/>
              <w:tr2bl w:val="nil"/>
            </w:tcBorders>
            <w:vAlign w:val="center"/>
          </w:tcPr>
          <w:p w14:paraId="05912362">
            <w:pPr>
              <w:widowControl/>
              <w:ind w:firstLine="0" w:firstLineChars="0"/>
              <w:jc w:val="center"/>
              <w:textAlignment w:val="center"/>
              <w:rPr>
                <w:sz w:val="21"/>
                <w:szCs w:val="21"/>
              </w:rPr>
            </w:pPr>
            <w:r>
              <w:rPr>
                <w:rFonts w:hint="eastAsia" w:cs="宋体"/>
                <w:sz w:val="21"/>
                <w:szCs w:val="22"/>
                <w:lang w:bidi="ar"/>
              </w:rPr>
              <w:t>0.28745</w:t>
            </w:r>
          </w:p>
        </w:tc>
        <w:tc>
          <w:tcPr>
            <w:tcW w:w="1936" w:type="dxa"/>
            <w:tcBorders>
              <w:tl2br w:val="nil"/>
              <w:tr2bl w:val="nil"/>
            </w:tcBorders>
            <w:vAlign w:val="center"/>
          </w:tcPr>
          <w:p w14:paraId="2C071B34">
            <w:pPr>
              <w:widowControl/>
              <w:ind w:firstLine="0" w:firstLineChars="0"/>
              <w:jc w:val="center"/>
              <w:textAlignment w:val="center"/>
              <w:rPr>
                <w:sz w:val="21"/>
                <w:szCs w:val="21"/>
              </w:rPr>
            </w:pPr>
            <w:r>
              <w:rPr>
                <w:rFonts w:hint="eastAsia" w:cs="宋体"/>
                <w:sz w:val="21"/>
                <w:szCs w:val="22"/>
                <w:lang w:bidi="ar"/>
              </w:rPr>
              <w:t>0.01049</w:t>
            </w:r>
          </w:p>
        </w:tc>
        <w:tc>
          <w:tcPr>
            <w:tcW w:w="1619" w:type="dxa"/>
            <w:tcBorders>
              <w:tl2br w:val="nil"/>
              <w:tr2bl w:val="nil"/>
            </w:tcBorders>
            <w:vAlign w:val="center"/>
          </w:tcPr>
          <w:p w14:paraId="27AB6100">
            <w:pPr>
              <w:widowControl/>
              <w:ind w:firstLine="0" w:firstLineChars="0"/>
              <w:jc w:val="center"/>
              <w:textAlignment w:val="center"/>
              <w:rPr>
                <w:sz w:val="21"/>
                <w:szCs w:val="21"/>
              </w:rPr>
            </w:pPr>
            <w:r>
              <w:rPr>
                <w:rFonts w:hint="eastAsia" w:cs="宋体"/>
                <w:sz w:val="21"/>
                <w:szCs w:val="22"/>
                <w:lang w:bidi="ar"/>
              </w:rPr>
              <w:t>0.1049</w:t>
            </w:r>
          </w:p>
        </w:tc>
      </w:tr>
      <w:tr w14:paraId="6FCD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5EA51108">
            <w:pPr>
              <w:ind w:firstLine="0" w:firstLineChars="0"/>
              <w:jc w:val="center"/>
              <w:rPr>
                <w:sz w:val="21"/>
                <w:szCs w:val="21"/>
              </w:rPr>
            </w:pPr>
            <w:r>
              <w:rPr>
                <w:sz w:val="21"/>
                <w:szCs w:val="21"/>
              </w:rPr>
              <w:t>2</w:t>
            </w:r>
          </w:p>
        </w:tc>
        <w:tc>
          <w:tcPr>
            <w:tcW w:w="1265" w:type="dxa"/>
            <w:tcBorders>
              <w:tl2br w:val="nil"/>
              <w:tr2bl w:val="nil"/>
            </w:tcBorders>
            <w:vAlign w:val="center"/>
          </w:tcPr>
          <w:p w14:paraId="7D8B43A2">
            <w:pPr>
              <w:widowControl/>
              <w:ind w:firstLine="0" w:firstLineChars="0"/>
              <w:jc w:val="center"/>
              <w:textAlignment w:val="center"/>
              <w:rPr>
                <w:sz w:val="21"/>
                <w:szCs w:val="21"/>
              </w:rPr>
            </w:pPr>
            <w:r>
              <w:rPr>
                <w:rFonts w:hint="eastAsia" w:cs="宋体"/>
                <w:sz w:val="21"/>
                <w:szCs w:val="22"/>
                <w:lang w:bidi="ar"/>
              </w:rPr>
              <w:t>71</w:t>
            </w:r>
          </w:p>
        </w:tc>
        <w:tc>
          <w:tcPr>
            <w:tcW w:w="1934" w:type="dxa"/>
            <w:tcBorders>
              <w:tl2br w:val="nil"/>
              <w:tr2bl w:val="nil"/>
            </w:tcBorders>
            <w:vAlign w:val="center"/>
          </w:tcPr>
          <w:p w14:paraId="62AE94FC">
            <w:pPr>
              <w:widowControl/>
              <w:ind w:firstLine="0" w:firstLineChars="0"/>
              <w:jc w:val="center"/>
              <w:textAlignment w:val="center"/>
              <w:rPr>
                <w:sz w:val="21"/>
                <w:szCs w:val="21"/>
              </w:rPr>
            </w:pPr>
            <w:r>
              <w:rPr>
                <w:rFonts w:hint="eastAsia" w:cs="宋体"/>
                <w:sz w:val="21"/>
                <w:szCs w:val="22"/>
                <w:lang w:bidi="ar"/>
              </w:rPr>
              <w:t>0.629</w:t>
            </w:r>
          </w:p>
        </w:tc>
        <w:tc>
          <w:tcPr>
            <w:tcW w:w="1774" w:type="dxa"/>
            <w:tcBorders>
              <w:tl2br w:val="nil"/>
              <w:tr2bl w:val="nil"/>
            </w:tcBorders>
            <w:vAlign w:val="center"/>
          </w:tcPr>
          <w:p w14:paraId="5E96808E">
            <w:pPr>
              <w:widowControl/>
              <w:ind w:firstLine="0" w:firstLineChars="0"/>
              <w:jc w:val="center"/>
              <w:textAlignment w:val="center"/>
              <w:rPr>
                <w:sz w:val="21"/>
                <w:szCs w:val="21"/>
              </w:rPr>
            </w:pPr>
            <w:r>
              <w:rPr>
                <w:rFonts w:hint="eastAsia" w:cs="宋体"/>
                <w:sz w:val="21"/>
                <w:szCs w:val="22"/>
                <w:lang w:bidi="ar"/>
              </w:rPr>
              <w:t>0.3145</w:t>
            </w:r>
          </w:p>
        </w:tc>
        <w:tc>
          <w:tcPr>
            <w:tcW w:w="1936" w:type="dxa"/>
            <w:tcBorders>
              <w:tl2br w:val="nil"/>
              <w:tr2bl w:val="nil"/>
            </w:tcBorders>
            <w:vAlign w:val="center"/>
          </w:tcPr>
          <w:p w14:paraId="4ECEAED6">
            <w:pPr>
              <w:widowControl/>
              <w:ind w:firstLine="0" w:firstLineChars="0"/>
              <w:jc w:val="center"/>
              <w:textAlignment w:val="center"/>
              <w:rPr>
                <w:sz w:val="21"/>
                <w:szCs w:val="21"/>
              </w:rPr>
            </w:pPr>
            <w:r>
              <w:rPr>
                <w:rFonts w:hint="eastAsia" w:cs="宋体"/>
                <w:sz w:val="21"/>
                <w:szCs w:val="22"/>
                <w:lang w:bidi="ar"/>
              </w:rPr>
              <w:t>0.01148</w:t>
            </w:r>
          </w:p>
        </w:tc>
        <w:tc>
          <w:tcPr>
            <w:tcW w:w="1619" w:type="dxa"/>
            <w:tcBorders>
              <w:tl2br w:val="nil"/>
              <w:tr2bl w:val="nil"/>
            </w:tcBorders>
            <w:vAlign w:val="center"/>
          </w:tcPr>
          <w:p w14:paraId="6A162D1E">
            <w:pPr>
              <w:widowControl/>
              <w:ind w:firstLine="0" w:firstLineChars="0"/>
              <w:jc w:val="center"/>
              <w:textAlignment w:val="center"/>
              <w:rPr>
                <w:sz w:val="21"/>
                <w:szCs w:val="21"/>
              </w:rPr>
            </w:pPr>
            <w:r>
              <w:rPr>
                <w:rFonts w:hint="eastAsia" w:cs="宋体"/>
                <w:sz w:val="21"/>
                <w:szCs w:val="22"/>
                <w:lang w:bidi="ar"/>
              </w:rPr>
              <w:t>0.1148</w:t>
            </w:r>
          </w:p>
        </w:tc>
      </w:tr>
      <w:tr w14:paraId="7A611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45869F06">
            <w:pPr>
              <w:ind w:firstLine="0" w:firstLineChars="0"/>
              <w:jc w:val="center"/>
              <w:rPr>
                <w:sz w:val="21"/>
                <w:szCs w:val="21"/>
              </w:rPr>
            </w:pPr>
            <w:r>
              <w:rPr>
                <w:sz w:val="21"/>
                <w:szCs w:val="21"/>
              </w:rPr>
              <w:t>3</w:t>
            </w:r>
          </w:p>
        </w:tc>
        <w:tc>
          <w:tcPr>
            <w:tcW w:w="1265" w:type="dxa"/>
            <w:tcBorders>
              <w:tl2br w:val="nil"/>
              <w:tr2bl w:val="nil"/>
            </w:tcBorders>
            <w:vAlign w:val="center"/>
          </w:tcPr>
          <w:p w14:paraId="588F8ACF">
            <w:pPr>
              <w:widowControl/>
              <w:ind w:firstLine="0" w:firstLineChars="0"/>
              <w:jc w:val="center"/>
              <w:textAlignment w:val="center"/>
              <w:rPr>
                <w:sz w:val="21"/>
                <w:szCs w:val="21"/>
              </w:rPr>
            </w:pPr>
            <w:r>
              <w:rPr>
                <w:rFonts w:hint="eastAsia" w:cs="宋体"/>
                <w:sz w:val="21"/>
                <w:szCs w:val="22"/>
                <w:lang w:bidi="ar"/>
              </w:rPr>
              <w:t>100</w:t>
            </w:r>
          </w:p>
        </w:tc>
        <w:tc>
          <w:tcPr>
            <w:tcW w:w="1934" w:type="dxa"/>
            <w:tcBorders>
              <w:tl2br w:val="nil"/>
              <w:tr2bl w:val="nil"/>
            </w:tcBorders>
            <w:vAlign w:val="center"/>
          </w:tcPr>
          <w:p w14:paraId="15CD1B0B">
            <w:pPr>
              <w:widowControl/>
              <w:ind w:firstLine="0" w:firstLineChars="0"/>
              <w:jc w:val="center"/>
              <w:textAlignment w:val="center"/>
              <w:rPr>
                <w:sz w:val="21"/>
                <w:szCs w:val="21"/>
              </w:rPr>
            </w:pPr>
            <w:r>
              <w:rPr>
                <w:rFonts w:hint="eastAsia" w:cs="宋体"/>
                <w:sz w:val="21"/>
                <w:szCs w:val="22"/>
                <w:lang w:bidi="ar"/>
              </w:rPr>
              <w:t>0.5527</w:t>
            </w:r>
          </w:p>
        </w:tc>
        <w:tc>
          <w:tcPr>
            <w:tcW w:w="1774" w:type="dxa"/>
            <w:tcBorders>
              <w:tl2br w:val="nil"/>
              <w:tr2bl w:val="nil"/>
            </w:tcBorders>
            <w:vAlign w:val="center"/>
          </w:tcPr>
          <w:p w14:paraId="7893216D">
            <w:pPr>
              <w:widowControl/>
              <w:ind w:firstLine="0" w:firstLineChars="0"/>
              <w:jc w:val="center"/>
              <w:textAlignment w:val="center"/>
              <w:rPr>
                <w:sz w:val="21"/>
                <w:szCs w:val="21"/>
              </w:rPr>
            </w:pPr>
            <w:r>
              <w:rPr>
                <w:rFonts w:hint="eastAsia" w:cs="宋体"/>
                <w:sz w:val="21"/>
                <w:szCs w:val="22"/>
                <w:lang w:bidi="ar"/>
              </w:rPr>
              <w:t>0.27635</w:t>
            </w:r>
          </w:p>
        </w:tc>
        <w:tc>
          <w:tcPr>
            <w:tcW w:w="1936" w:type="dxa"/>
            <w:tcBorders>
              <w:tl2br w:val="nil"/>
              <w:tr2bl w:val="nil"/>
            </w:tcBorders>
            <w:vAlign w:val="center"/>
          </w:tcPr>
          <w:p w14:paraId="3F7647C9">
            <w:pPr>
              <w:widowControl/>
              <w:ind w:firstLine="0" w:firstLineChars="0"/>
              <w:jc w:val="center"/>
              <w:textAlignment w:val="center"/>
              <w:rPr>
                <w:sz w:val="21"/>
                <w:szCs w:val="21"/>
              </w:rPr>
            </w:pPr>
            <w:r>
              <w:rPr>
                <w:rFonts w:hint="eastAsia" w:cs="宋体"/>
                <w:sz w:val="21"/>
                <w:szCs w:val="22"/>
                <w:lang w:bidi="ar"/>
              </w:rPr>
              <w:t>0.01009</w:t>
            </w:r>
          </w:p>
        </w:tc>
        <w:tc>
          <w:tcPr>
            <w:tcW w:w="1619" w:type="dxa"/>
            <w:tcBorders>
              <w:tl2br w:val="nil"/>
              <w:tr2bl w:val="nil"/>
            </w:tcBorders>
            <w:vAlign w:val="center"/>
          </w:tcPr>
          <w:p w14:paraId="37ACC728">
            <w:pPr>
              <w:widowControl/>
              <w:ind w:firstLine="0" w:firstLineChars="0"/>
              <w:jc w:val="center"/>
              <w:textAlignment w:val="center"/>
              <w:rPr>
                <w:sz w:val="21"/>
                <w:szCs w:val="21"/>
              </w:rPr>
            </w:pPr>
            <w:r>
              <w:rPr>
                <w:rFonts w:hint="eastAsia" w:cs="宋体"/>
                <w:sz w:val="21"/>
                <w:szCs w:val="22"/>
                <w:lang w:bidi="ar"/>
              </w:rPr>
              <w:t>0.1009</w:t>
            </w:r>
          </w:p>
        </w:tc>
      </w:tr>
      <w:tr w14:paraId="716E2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7A51F3CB">
            <w:pPr>
              <w:ind w:firstLine="0" w:firstLineChars="0"/>
              <w:jc w:val="center"/>
              <w:rPr>
                <w:sz w:val="21"/>
                <w:szCs w:val="21"/>
              </w:rPr>
            </w:pPr>
            <w:r>
              <w:rPr>
                <w:sz w:val="21"/>
                <w:szCs w:val="21"/>
              </w:rPr>
              <w:t>4</w:t>
            </w:r>
          </w:p>
        </w:tc>
        <w:tc>
          <w:tcPr>
            <w:tcW w:w="1265" w:type="dxa"/>
            <w:tcBorders>
              <w:tl2br w:val="nil"/>
              <w:tr2bl w:val="nil"/>
            </w:tcBorders>
            <w:vAlign w:val="center"/>
          </w:tcPr>
          <w:p w14:paraId="3502B7E5">
            <w:pPr>
              <w:widowControl/>
              <w:ind w:firstLine="0" w:firstLineChars="0"/>
              <w:jc w:val="center"/>
              <w:textAlignment w:val="center"/>
              <w:rPr>
                <w:sz w:val="21"/>
                <w:szCs w:val="21"/>
              </w:rPr>
            </w:pPr>
            <w:r>
              <w:rPr>
                <w:rFonts w:hint="eastAsia" w:cs="宋体"/>
                <w:sz w:val="21"/>
                <w:szCs w:val="22"/>
                <w:lang w:bidi="ar"/>
              </w:rPr>
              <w:t>200</w:t>
            </w:r>
          </w:p>
        </w:tc>
        <w:tc>
          <w:tcPr>
            <w:tcW w:w="1934" w:type="dxa"/>
            <w:tcBorders>
              <w:tl2br w:val="nil"/>
              <w:tr2bl w:val="nil"/>
            </w:tcBorders>
            <w:vAlign w:val="center"/>
          </w:tcPr>
          <w:p w14:paraId="44559D7D">
            <w:pPr>
              <w:widowControl/>
              <w:ind w:firstLine="0" w:firstLineChars="0"/>
              <w:jc w:val="center"/>
              <w:textAlignment w:val="center"/>
              <w:rPr>
                <w:sz w:val="21"/>
                <w:szCs w:val="21"/>
              </w:rPr>
            </w:pPr>
            <w:r>
              <w:rPr>
                <w:rFonts w:hint="eastAsia" w:cs="宋体"/>
                <w:sz w:val="21"/>
                <w:szCs w:val="22"/>
                <w:lang w:bidi="ar"/>
              </w:rPr>
              <w:t>0.3436</w:t>
            </w:r>
          </w:p>
        </w:tc>
        <w:tc>
          <w:tcPr>
            <w:tcW w:w="1774" w:type="dxa"/>
            <w:tcBorders>
              <w:tl2br w:val="nil"/>
              <w:tr2bl w:val="nil"/>
            </w:tcBorders>
            <w:vAlign w:val="center"/>
          </w:tcPr>
          <w:p w14:paraId="2387A153">
            <w:pPr>
              <w:widowControl/>
              <w:ind w:firstLine="0" w:firstLineChars="0"/>
              <w:jc w:val="center"/>
              <w:textAlignment w:val="center"/>
              <w:rPr>
                <w:sz w:val="21"/>
                <w:szCs w:val="21"/>
              </w:rPr>
            </w:pPr>
            <w:r>
              <w:rPr>
                <w:rFonts w:hint="eastAsia" w:cs="宋体"/>
                <w:sz w:val="21"/>
                <w:szCs w:val="22"/>
                <w:lang w:bidi="ar"/>
              </w:rPr>
              <w:t>0.1718</w:t>
            </w:r>
          </w:p>
        </w:tc>
        <w:tc>
          <w:tcPr>
            <w:tcW w:w="1936" w:type="dxa"/>
            <w:tcBorders>
              <w:tl2br w:val="nil"/>
              <w:tr2bl w:val="nil"/>
            </w:tcBorders>
            <w:vAlign w:val="center"/>
          </w:tcPr>
          <w:p w14:paraId="2544A99F">
            <w:pPr>
              <w:widowControl/>
              <w:ind w:firstLine="0" w:firstLineChars="0"/>
              <w:jc w:val="center"/>
              <w:textAlignment w:val="center"/>
              <w:rPr>
                <w:sz w:val="21"/>
                <w:szCs w:val="21"/>
              </w:rPr>
            </w:pPr>
            <w:r>
              <w:rPr>
                <w:rFonts w:hint="eastAsia" w:cs="宋体"/>
                <w:sz w:val="21"/>
                <w:szCs w:val="22"/>
                <w:lang w:bidi="ar"/>
              </w:rPr>
              <w:t>0.006269</w:t>
            </w:r>
          </w:p>
        </w:tc>
        <w:tc>
          <w:tcPr>
            <w:tcW w:w="1619" w:type="dxa"/>
            <w:tcBorders>
              <w:tl2br w:val="nil"/>
              <w:tr2bl w:val="nil"/>
            </w:tcBorders>
            <w:vAlign w:val="center"/>
          </w:tcPr>
          <w:p w14:paraId="562C02A4">
            <w:pPr>
              <w:widowControl/>
              <w:ind w:firstLine="0" w:firstLineChars="0"/>
              <w:jc w:val="center"/>
              <w:textAlignment w:val="center"/>
              <w:rPr>
                <w:sz w:val="21"/>
                <w:szCs w:val="21"/>
              </w:rPr>
            </w:pPr>
            <w:r>
              <w:rPr>
                <w:rFonts w:hint="eastAsia" w:cs="宋体"/>
                <w:sz w:val="21"/>
                <w:szCs w:val="22"/>
                <w:lang w:bidi="ar"/>
              </w:rPr>
              <w:t>0.06269</w:t>
            </w:r>
          </w:p>
        </w:tc>
      </w:tr>
      <w:tr w14:paraId="27B33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2A7ABF14">
            <w:pPr>
              <w:ind w:firstLine="0" w:firstLineChars="0"/>
              <w:jc w:val="center"/>
              <w:rPr>
                <w:sz w:val="21"/>
                <w:szCs w:val="21"/>
              </w:rPr>
            </w:pPr>
            <w:r>
              <w:rPr>
                <w:sz w:val="21"/>
                <w:szCs w:val="21"/>
              </w:rPr>
              <w:t>5</w:t>
            </w:r>
          </w:p>
        </w:tc>
        <w:tc>
          <w:tcPr>
            <w:tcW w:w="1265" w:type="dxa"/>
            <w:tcBorders>
              <w:tl2br w:val="nil"/>
              <w:tr2bl w:val="nil"/>
            </w:tcBorders>
            <w:vAlign w:val="center"/>
          </w:tcPr>
          <w:p w14:paraId="42012D6B">
            <w:pPr>
              <w:widowControl/>
              <w:ind w:firstLine="0" w:firstLineChars="0"/>
              <w:jc w:val="center"/>
              <w:textAlignment w:val="center"/>
              <w:rPr>
                <w:sz w:val="21"/>
                <w:szCs w:val="21"/>
              </w:rPr>
            </w:pPr>
            <w:r>
              <w:rPr>
                <w:rFonts w:hint="eastAsia" w:cs="宋体"/>
                <w:sz w:val="21"/>
                <w:szCs w:val="22"/>
                <w:lang w:bidi="ar"/>
              </w:rPr>
              <w:t>300</w:t>
            </w:r>
          </w:p>
        </w:tc>
        <w:tc>
          <w:tcPr>
            <w:tcW w:w="1934" w:type="dxa"/>
            <w:tcBorders>
              <w:tl2br w:val="nil"/>
              <w:tr2bl w:val="nil"/>
            </w:tcBorders>
            <w:vAlign w:val="center"/>
          </w:tcPr>
          <w:p w14:paraId="423842D4">
            <w:pPr>
              <w:widowControl/>
              <w:ind w:firstLine="0" w:firstLineChars="0"/>
              <w:jc w:val="center"/>
              <w:textAlignment w:val="center"/>
              <w:rPr>
                <w:sz w:val="21"/>
                <w:szCs w:val="21"/>
              </w:rPr>
            </w:pPr>
            <w:r>
              <w:rPr>
                <w:rFonts w:hint="eastAsia" w:cs="宋体"/>
                <w:sz w:val="21"/>
                <w:szCs w:val="22"/>
                <w:lang w:bidi="ar"/>
              </w:rPr>
              <w:t>0.2724</w:t>
            </w:r>
          </w:p>
        </w:tc>
        <w:tc>
          <w:tcPr>
            <w:tcW w:w="1774" w:type="dxa"/>
            <w:tcBorders>
              <w:tl2br w:val="nil"/>
              <w:tr2bl w:val="nil"/>
            </w:tcBorders>
            <w:vAlign w:val="center"/>
          </w:tcPr>
          <w:p w14:paraId="03689A82">
            <w:pPr>
              <w:widowControl/>
              <w:ind w:firstLine="0" w:firstLineChars="0"/>
              <w:jc w:val="center"/>
              <w:textAlignment w:val="center"/>
              <w:rPr>
                <w:sz w:val="21"/>
                <w:szCs w:val="21"/>
              </w:rPr>
            </w:pPr>
            <w:r>
              <w:rPr>
                <w:rFonts w:hint="eastAsia" w:cs="宋体"/>
                <w:sz w:val="21"/>
                <w:szCs w:val="22"/>
                <w:lang w:bidi="ar"/>
              </w:rPr>
              <w:t>0.1362</w:t>
            </w:r>
          </w:p>
        </w:tc>
        <w:tc>
          <w:tcPr>
            <w:tcW w:w="1936" w:type="dxa"/>
            <w:tcBorders>
              <w:tl2br w:val="nil"/>
              <w:tr2bl w:val="nil"/>
            </w:tcBorders>
            <w:vAlign w:val="center"/>
          </w:tcPr>
          <w:p w14:paraId="5EFC1862">
            <w:pPr>
              <w:widowControl/>
              <w:ind w:firstLine="0" w:firstLineChars="0"/>
              <w:jc w:val="center"/>
              <w:textAlignment w:val="center"/>
              <w:rPr>
                <w:sz w:val="21"/>
                <w:szCs w:val="21"/>
              </w:rPr>
            </w:pPr>
            <w:r>
              <w:rPr>
                <w:rFonts w:hint="eastAsia" w:cs="宋体"/>
                <w:sz w:val="21"/>
                <w:szCs w:val="22"/>
                <w:lang w:bidi="ar"/>
              </w:rPr>
              <w:t>0.00497</w:t>
            </w:r>
          </w:p>
        </w:tc>
        <w:tc>
          <w:tcPr>
            <w:tcW w:w="1619" w:type="dxa"/>
            <w:tcBorders>
              <w:tl2br w:val="nil"/>
              <w:tr2bl w:val="nil"/>
            </w:tcBorders>
            <w:vAlign w:val="center"/>
          </w:tcPr>
          <w:p w14:paraId="0840596C">
            <w:pPr>
              <w:widowControl/>
              <w:ind w:firstLine="0" w:firstLineChars="0"/>
              <w:jc w:val="center"/>
              <w:textAlignment w:val="center"/>
              <w:rPr>
                <w:sz w:val="21"/>
                <w:szCs w:val="21"/>
              </w:rPr>
            </w:pPr>
            <w:r>
              <w:rPr>
                <w:rFonts w:hint="eastAsia" w:cs="宋体"/>
                <w:sz w:val="21"/>
                <w:szCs w:val="22"/>
                <w:lang w:bidi="ar"/>
              </w:rPr>
              <w:t>0.0497</w:t>
            </w:r>
          </w:p>
        </w:tc>
      </w:tr>
      <w:tr w14:paraId="15A05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20EBB89C">
            <w:pPr>
              <w:ind w:firstLine="0" w:firstLineChars="0"/>
              <w:jc w:val="center"/>
              <w:rPr>
                <w:sz w:val="21"/>
                <w:szCs w:val="21"/>
              </w:rPr>
            </w:pPr>
            <w:r>
              <w:rPr>
                <w:sz w:val="21"/>
                <w:szCs w:val="21"/>
              </w:rPr>
              <w:t>6</w:t>
            </w:r>
          </w:p>
        </w:tc>
        <w:tc>
          <w:tcPr>
            <w:tcW w:w="1265" w:type="dxa"/>
            <w:tcBorders>
              <w:tl2br w:val="nil"/>
              <w:tr2bl w:val="nil"/>
            </w:tcBorders>
            <w:vAlign w:val="center"/>
          </w:tcPr>
          <w:p w14:paraId="0E160BB2">
            <w:pPr>
              <w:widowControl/>
              <w:ind w:firstLine="0" w:firstLineChars="0"/>
              <w:jc w:val="center"/>
              <w:textAlignment w:val="center"/>
              <w:rPr>
                <w:sz w:val="21"/>
                <w:szCs w:val="21"/>
              </w:rPr>
            </w:pPr>
            <w:r>
              <w:rPr>
                <w:rFonts w:hint="eastAsia" w:cs="宋体"/>
                <w:sz w:val="21"/>
                <w:szCs w:val="22"/>
                <w:lang w:bidi="ar"/>
              </w:rPr>
              <w:t>400</w:t>
            </w:r>
          </w:p>
        </w:tc>
        <w:tc>
          <w:tcPr>
            <w:tcW w:w="1934" w:type="dxa"/>
            <w:tcBorders>
              <w:tl2br w:val="nil"/>
              <w:tr2bl w:val="nil"/>
            </w:tcBorders>
            <w:vAlign w:val="center"/>
          </w:tcPr>
          <w:p w14:paraId="7ECB6907">
            <w:pPr>
              <w:widowControl/>
              <w:ind w:firstLine="0" w:firstLineChars="0"/>
              <w:jc w:val="center"/>
              <w:textAlignment w:val="center"/>
              <w:rPr>
                <w:sz w:val="21"/>
                <w:szCs w:val="21"/>
              </w:rPr>
            </w:pPr>
            <w:r>
              <w:rPr>
                <w:rFonts w:hint="eastAsia" w:cs="宋体"/>
                <w:sz w:val="21"/>
                <w:szCs w:val="22"/>
                <w:lang w:bidi="ar"/>
              </w:rPr>
              <w:t>0.2221</w:t>
            </w:r>
          </w:p>
        </w:tc>
        <w:tc>
          <w:tcPr>
            <w:tcW w:w="1774" w:type="dxa"/>
            <w:tcBorders>
              <w:tl2br w:val="nil"/>
              <w:tr2bl w:val="nil"/>
            </w:tcBorders>
            <w:vAlign w:val="center"/>
          </w:tcPr>
          <w:p w14:paraId="5C8928AD">
            <w:pPr>
              <w:widowControl/>
              <w:ind w:firstLine="0" w:firstLineChars="0"/>
              <w:jc w:val="center"/>
              <w:textAlignment w:val="center"/>
              <w:rPr>
                <w:sz w:val="21"/>
                <w:szCs w:val="21"/>
              </w:rPr>
            </w:pPr>
            <w:r>
              <w:rPr>
                <w:rFonts w:hint="eastAsia" w:cs="宋体"/>
                <w:sz w:val="21"/>
                <w:szCs w:val="22"/>
                <w:lang w:bidi="ar"/>
              </w:rPr>
              <w:t>0.11105</w:t>
            </w:r>
          </w:p>
        </w:tc>
        <w:tc>
          <w:tcPr>
            <w:tcW w:w="1936" w:type="dxa"/>
            <w:tcBorders>
              <w:tl2br w:val="nil"/>
              <w:tr2bl w:val="nil"/>
            </w:tcBorders>
            <w:vAlign w:val="center"/>
          </w:tcPr>
          <w:p w14:paraId="14EA6DDC">
            <w:pPr>
              <w:widowControl/>
              <w:ind w:firstLine="0" w:firstLineChars="0"/>
              <w:jc w:val="center"/>
              <w:textAlignment w:val="center"/>
              <w:rPr>
                <w:sz w:val="21"/>
                <w:szCs w:val="21"/>
              </w:rPr>
            </w:pPr>
            <w:r>
              <w:rPr>
                <w:rFonts w:hint="eastAsia" w:cs="宋体"/>
                <w:sz w:val="21"/>
                <w:szCs w:val="22"/>
                <w:lang w:bidi="ar"/>
              </w:rPr>
              <w:t>0.004052</w:t>
            </w:r>
          </w:p>
        </w:tc>
        <w:tc>
          <w:tcPr>
            <w:tcW w:w="1619" w:type="dxa"/>
            <w:tcBorders>
              <w:tl2br w:val="nil"/>
              <w:tr2bl w:val="nil"/>
            </w:tcBorders>
            <w:vAlign w:val="center"/>
          </w:tcPr>
          <w:p w14:paraId="008551D0">
            <w:pPr>
              <w:widowControl/>
              <w:ind w:firstLine="0" w:firstLineChars="0"/>
              <w:jc w:val="center"/>
              <w:textAlignment w:val="center"/>
              <w:rPr>
                <w:sz w:val="21"/>
                <w:szCs w:val="21"/>
              </w:rPr>
            </w:pPr>
            <w:r>
              <w:rPr>
                <w:rFonts w:hint="eastAsia" w:cs="宋体"/>
                <w:sz w:val="21"/>
                <w:szCs w:val="22"/>
                <w:lang w:bidi="ar"/>
              </w:rPr>
              <w:t>0.04052</w:t>
            </w:r>
          </w:p>
        </w:tc>
      </w:tr>
      <w:tr w14:paraId="5135B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434C9964">
            <w:pPr>
              <w:ind w:firstLine="0" w:firstLineChars="0"/>
              <w:jc w:val="center"/>
              <w:rPr>
                <w:sz w:val="21"/>
                <w:szCs w:val="21"/>
              </w:rPr>
            </w:pPr>
            <w:r>
              <w:rPr>
                <w:bCs/>
                <w:sz w:val="21"/>
                <w:szCs w:val="21"/>
              </w:rPr>
              <w:t>7</w:t>
            </w:r>
          </w:p>
        </w:tc>
        <w:tc>
          <w:tcPr>
            <w:tcW w:w="1265" w:type="dxa"/>
            <w:tcBorders>
              <w:tl2br w:val="nil"/>
              <w:tr2bl w:val="nil"/>
            </w:tcBorders>
            <w:vAlign w:val="center"/>
          </w:tcPr>
          <w:p w14:paraId="6CA56163">
            <w:pPr>
              <w:widowControl/>
              <w:ind w:firstLine="0" w:firstLineChars="0"/>
              <w:jc w:val="center"/>
              <w:textAlignment w:val="center"/>
              <w:rPr>
                <w:sz w:val="21"/>
                <w:szCs w:val="21"/>
              </w:rPr>
            </w:pPr>
            <w:r>
              <w:rPr>
                <w:rFonts w:hint="eastAsia" w:cs="宋体"/>
                <w:sz w:val="21"/>
                <w:szCs w:val="22"/>
                <w:lang w:bidi="ar"/>
              </w:rPr>
              <w:t>500</w:t>
            </w:r>
          </w:p>
        </w:tc>
        <w:tc>
          <w:tcPr>
            <w:tcW w:w="1934" w:type="dxa"/>
            <w:tcBorders>
              <w:tl2br w:val="nil"/>
              <w:tr2bl w:val="nil"/>
            </w:tcBorders>
            <w:vAlign w:val="center"/>
          </w:tcPr>
          <w:p w14:paraId="1F960336">
            <w:pPr>
              <w:widowControl/>
              <w:ind w:firstLine="0" w:firstLineChars="0"/>
              <w:jc w:val="center"/>
              <w:textAlignment w:val="center"/>
              <w:rPr>
                <w:sz w:val="21"/>
                <w:szCs w:val="21"/>
              </w:rPr>
            </w:pPr>
            <w:r>
              <w:rPr>
                <w:rFonts w:hint="eastAsia" w:cs="宋体"/>
                <w:sz w:val="21"/>
                <w:szCs w:val="22"/>
                <w:lang w:bidi="ar"/>
              </w:rPr>
              <w:t>0.1896</w:t>
            </w:r>
          </w:p>
        </w:tc>
        <w:tc>
          <w:tcPr>
            <w:tcW w:w="1774" w:type="dxa"/>
            <w:tcBorders>
              <w:tl2br w:val="nil"/>
              <w:tr2bl w:val="nil"/>
            </w:tcBorders>
            <w:vAlign w:val="center"/>
          </w:tcPr>
          <w:p w14:paraId="5905E5FD">
            <w:pPr>
              <w:widowControl/>
              <w:ind w:firstLine="0" w:firstLineChars="0"/>
              <w:jc w:val="center"/>
              <w:textAlignment w:val="center"/>
              <w:rPr>
                <w:sz w:val="21"/>
                <w:szCs w:val="21"/>
              </w:rPr>
            </w:pPr>
            <w:r>
              <w:rPr>
                <w:rFonts w:hint="eastAsia" w:cs="宋体"/>
                <w:sz w:val="21"/>
                <w:szCs w:val="22"/>
                <w:lang w:bidi="ar"/>
              </w:rPr>
              <w:t>0.0948</w:t>
            </w:r>
          </w:p>
        </w:tc>
        <w:tc>
          <w:tcPr>
            <w:tcW w:w="1936" w:type="dxa"/>
            <w:tcBorders>
              <w:tl2br w:val="nil"/>
              <w:tr2bl w:val="nil"/>
            </w:tcBorders>
            <w:vAlign w:val="center"/>
          </w:tcPr>
          <w:p w14:paraId="5254FDAA">
            <w:pPr>
              <w:widowControl/>
              <w:ind w:firstLine="0" w:firstLineChars="0"/>
              <w:jc w:val="center"/>
              <w:textAlignment w:val="center"/>
              <w:rPr>
                <w:sz w:val="21"/>
                <w:szCs w:val="21"/>
              </w:rPr>
            </w:pPr>
            <w:r>
              <w:rPr>
                <w:rFonts w:hint="eastAsia" w:cs="宋体"/>
                <w:sz w:val="21"/>
                <w:szCs w:val="22"/>
                <w:lang w:bidi="ar"/>
              </w:rPr>
              <w:t>0.00346</w:t>
            </w:r>
          </w:p>
        </w:tc>
        <w:tc>
          <w:tcPr>
            <w:tcW w:w="1619" w:type="dxa"/>
            <w:tcBorders>
              <w:tl2br w:val="nil"/>
              <w:tr2bl w:val="nil"/>
            </w:tcBorders>
            <w:vAlign w:val="center"/>
          </w:tcPr>
          <w:p w14:paraId="21944C09">
            <w:pPr>
              <w:widowControl/>
              <w:ind w:firstLine="0" w:firstLineChars="0"/>
              <w:jc w:val="center"/>
              <w:textAlignment w:val="center"/>
              <w:rPr>
                <w:sz w:val="21"/>
                <w:szCs w:val="21"/>
              </w:rPr>
            </w:pPr>
            <w:r>
              <w:rPr>
                <w:rFonts w:hint="eastAsia" w:cs="宋体"/>
                <w:sz w:val="21"/>
                <w:szCs w:val="22"/>
                <w:lang w:bidi="ar"/>
              </w:rPr>
              <w:t>0.0346</w:t>
            </w:r>
          </w:p>
        </w:tc>
      </w:tr>
      <w:tr w14:paraId="5257E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13C54B7B">
            <w:pPr>
              <w:ind w:firstLine="0" w:firstLineChars="0"/>
              <w:jc w:val="center"/>
              <w:rPr>
                <w:sz w:val="21"/>
                <w:szCs w:val="21"/>
              </w:rPr>
            </w:pPr>
            <w:r>
              <w:rPr>
                <w:sz w:val="21"/>
                <w:szCs w:val="21"/>
              </w:rPr>
              <w:t>8</w:t>
            </w:r>
          </w:p>
        </w:tc>
        <w:tc>
          <w:tcPr>
            <w:tcW w:w="1265" w:type="dxa"/>
            <w:tcBorders>
              <w:tl2br w:val="nil"/>
              <w:tr2bl w:val="nil"/>
            </w:tcBorders>
            <w:vAlign w:val="center"/>
          </w:tcPr>
          <w:p w14:paraId="12ED7C5D">
            <w:pPr>
              <w:widowControl/>
              <w:ind w:firstLine="0" w:firstLineChars="0"/>
              <w:jc w:val="center"/>
              <w:textAlignment w:val="center"/>
              <w:rPr>
                <w:sz w:val="21"/>
                <w:szCs w:val="21"/>
              </w:rPr>
            </w:pPr>
            <w:r>
              <w:rPr>
                <w:rFonts w:hint="eastAsia" w:cs="宋体"/>
                <w:sz w:val="21"/>
                <w:szCs w:val="22"/>
                <w:lang w:bidi="ar"/>
              </w:rPr>
              <w:t>800</w:t>
            </w:r>
          </w:p>
        </w:tc>
        <w:tc>
          <w:tcPr>
            <w:tcW w:w="1934" w:type="dxa"/>
            <w:tcBorders>
              <w:tl2br w:val="nil"/>
              <w:tr2bl w:val="nil"/>
            </w:tcBorders>
            <w:vAlign w:val="center"/>
          </w:tcPr>
          <w:p w14:paraId="3BC8A49F">
            <w:pPr>
              <w:widowControl/>
              <w:ind w:firstLine="0" w:firstLineChars="0"/>
              <w:jc w:val="center"/>
              <w:textAlignment w:val="center"/>
              <w:rPr>
                <w:sz w:val="21"/>
                <w:szCs w:val="21"/>
              </w:rPr>
            </w:pPr>
            <w:r>
              <w:rPr>
                <w:rFonts w:hint="eastAsia" w:cs="宋体"/>
                <w:sz w:val="21"/>
                <w:szCs w:val="22"/>
                <w:lang w:bidi="ar"/>
              </w:rPr>
              <w:t>0.1361</w:t>
            </w:r>
          </w:p>
        </w:tc>
        <w:tc>
          <w:tcPr>
            <w:tcW w:w="1774" w:type="dxa"/>
            <w:tcBorders>
              <w:tl2br w:val="nil"/>
              <w:tr2bl w:val="nil"/>
            </w:tcBorders>
            <w:vAlign w:val="center"/>
          </w:tcPr>
          <w:p w14:paraId="1B604161">
            <w:pPr>
              <w:widowControl/>
              <w:ind w:firstLine="0" w:firstLineChars="0"/>
              <w:jc w:val="center"/>
              <w:textAlignment w:val="center"/>
              <w:rPr>
                <w:sz w:val="21"/>
                <w:szCs w:val="21"/>
              </w:rPr>
            </w:pPr>
            <w:r>
              <w:rPr>
                <w:rFonts w:hint="eastAsia" w:cs="宋体"/>
                <w:sz w:val="21"/>
                <w:szCs w:val="22"/>
                <w:lang w:bidi="ar"/>
              </w:rPr>
              <w:t>0.06805</w:t>
            </w:r>
          </w:p>
        </w:tc>
        <w:tc>
          <w:tcPr>
            <w:tcW w:w="1936" w:type="dxa"/>
            <w:tcBorders>
              <w:tl2br w:val="nil"/>
              <w:tr2bl w:val="nil"/>
            </w:tcBorders>
            <w:vAlign w:val="center"/>
          </w:tcPr>
          <w:p w14:paraId="56B8E301">
            <w:pPr>
              <w:widowControl/>
              <w:ind w:firstLine="0" w:firstLineChars="0"/>
              <w:jc w:val="center"/>
              <w:textAlignment w:val="center"/>
              <w:rPr>
                <w:sz w:val="21"/>
                <w:szCs w:val="21"/>
              </w:rPr>
            </w:pPr>
            <w:r>
              <w:rPr>
                <w:rFonts w:hint="eastAsia" w:cs="宋体"/>
                <w:sz w:val="21"/>
                <w:szCs w:val="22"/>
                <w:lang w:bidi="ar"/>
              </w:rPr>
              <w:t>0.003042</w:t>
            </w:r>
          </w:p>
        </w:tc>
        <w:tc>
          <w:tcPr>
            <w:tcW w:w="1619" w:type="dxa"/>
            <w:tcBorders>
              <w:tl2br w:val="nil"/>
              <w:tr2bl w:val="nil"/>
            </w:tcBorders>
            <w:vAlign w:val="center"/>
          </w:tcPr>
          <w:p w14:paraId="0DE9831F">
            <w:pPr>
              <w:widowControl/>
              <w:ind w:firstLine="0" w:firstLineChars="0"/>
              <w:jc w:val="center"/>
              <w:textAlignment w:val="center"/>
              <w:rPr>
                <w:sz w:val="21"/>
                <w:szCs w:val="21"/>
              </w:rPr>
            </w:pPr>
            <w:r>
              <w:rPr>
                <w:rFonts w:hint="eastAsia" w:cs="宋体"/>
                <w:sz w:val="21"/>
                <w:szCs w:val="22"/>
                <w:lang w:bidi="ar"/>
              </w:rPr>
              <w:t>0.03042</w:t>
            </w:r>
          </w:p>
        </w:tc>
      </w:tr>
      <w:tr w14:paraId="09395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10AC4D52">
            <w:pPr>
              <w:ind w:firstLine="0" w:firstLineChars="0"/>
              <w:jc w:val="center"/>
              <w:rPr>
                <w:sz w:val="21"/>
                <w:szCs w:val="21"/>
              </w:rPr>
            </w:pPr>
            <w:r>
              <w:rPr>
                <w:sz w:val="21"/>
                <w:szCs w:val="21"/>
              </w:rPr>
              <w:t>9</w:t>
            </w:r>
          </w:p>
        </w:tc>
        <w:tc>
          <w:tcPr>
            <w:tcW w:w="1265" w:type="dxa"/>
            <w:tcBorders>
              <w:tl2br w:val="nil"/>
              <w:tr2bl w:val="nil"/>
            </w:tcBorders>
            <w:vAlign w:val="center"/>
          </w:tcPr>
          <w:p w14:paraId="3D1EFFDB">
            <w:pPr>
              <w:widowControl/>
              <w:ind w:firstLine="0" w:firstLineChars="0"/>
              <w:jc w:val="center"/>
              <w:textAlignment w:val="center"/>
              <w:rPr>
                <w:sz w:val="21"/>
                <w:szCs w:val="21"/>
              </w:rPr>
            </w:pPr>
            <w:r>
              <w:rPr>
                <w:rFonts w:hint="eastAsia" w:cs="宋体"/>
                <w:sz w:val="21"/>
                <w:szCs w:val="22"/>
                <w:lang w:bidi="ar"/>
              </w:rPr>
              <w:t>900</w:t>
            </w:r>
          </w:p>
        </w:tc>
        <w:tc>
          <w:tcPr>
            <w:tcW w:w="1934" w:type="dxa"/>
            <w:tcBorders>
              <w:tl2br w:val="nil"/>
              <w:tr2bl w:val="nil"/>
            </w:tcBorders>
            <w:vAlign w:val="center"/>
          </w:tcPr>
          <w:p w14:paraId="694A4FD2">
            <w:pPr>
              <w:widowControl/>
              <w:ind w:firstLine="0" w:firstLineChars="0"/>
              <w:jc w:val="center"/>
              <w:textAlignment w:val="center"/>
              <w:rPr>
                <w:sz w:val="21"/>
                <w:szCs w:val="21"/>
              </w:rPr>
            </w:pPr>
            <w:r>
              <w:rPr>
                <w:rFonts w:hint="eastAsia" w:cs="宋体"/>
                <w:sz w:val="21"/>
                <w:szCs w:val="22"/>
                <w:lang w:bidi="ar"/>
              </w:rPr>
              <w:t>0.1253</w:t>
            </w:r>
          </w:p>
        </w:tc>
        <w:tc>
          <w:tcPr>
            <w:tcW w:w="1774" w:type="dxa"/>
            <w:tcBorders>
              <w:tl2br w:val="nil"/>
              <w:tr2bl w:val="nil"/>
            </w:tcBorders>
            <w:vAlign w:val="center"/>
          </w:tcPr>
          <w:p w14:paraId="62E50E44">
            <w:pPr>
              <w:widowControl/>
              <w:ind w:firstLine="0" w:firstLineChars="0"/>
              <w:jc w:val="center"/>
              <w:textAlignment w:val="center"/>
              <w:rPr>
                <w:sz w:val="21"/>
                <w:szCs w:val="21"/>
              </w:rPr>
            </w:pPr>
            <w:r>
              <w:rPr>
                <w:rFonts w:hint="eastAsia" w:cs="宋体"/>
                <w:sz w:val="21"/>
                <w:szCs w:val="22"/>
                <w:lang w:bidi="ar"/>
              </w:rPr>
              <w:t>0.06265</w:t>
            </w:r>
          </w:p>
        </w:tc>
        <w:tc>
          <w:tcPr>
            <w:tcW w:w="1936" w:type="dxa"/>
            <w:tcBorders>
              <w:tl2br w:val="nil"/>
              <w:tr2bl w:val="nil"/>
            </w:tcBorders>
            <w:vAlign w:val="center"/>
          </w:tcPr>
          <w:p w14:paraId="086144E3">
            <w:pPr>
              <w:widowControl/>
              <w:ind w:firstLine="0" w:firstLineChars="0"/>
              <w:jc w:val="center"/>
              <w:textAlignment w:val="center"/>
              <w:rPr>
                <w:sz w:val="21"/>
                <w:szCs w:val="21"/>
              </w:rPr>
            </w:pPr>
            <w:r>
              <w:rPr>
                <w:rFonts w:hint="eastAsia" w:cs="宋体"/>
                <w:sz w:val="21"/>
                <w:szCs w:val="22"/>
                <w:lang w:bidi="ar"/>
              </w:rPr>
              <w:t>0.002484</w:t>
            </w:r>
          </w:p>
        </w:tc>
        <w:tc>
          <w:tcPr>
            <w:tcW w:w="1619" w:type="dxa"/>
            <w:tcBorders>
              <w:tl2br w:val="nil"/>
              <w:tr2bl w:val="nil"/>
            </w:tcBorders>
            <w:vAlign w:val="center"/>
          </w:tcPr>
          <w:p w14:paraId="169C6773">
            <w:pPr>
              <w:widowControl/>
              <w:ind w:firstLine="0" w:firstLineChars="0"/>
              <w:jc w:val="center"/>
              <w:textAlignment w:val="center"/>
              <w:rPr>
                <w:sz w:val="21"/>
                <w:szCs w:val="21"/>
              </w:rPr>
            </w:pPr>
            <w:r>
              <w:rPr>
                <w:rFonts w:hint="eastAsia" w:cs="宋体"/>
                <w:sz w:val="21"/>
                <w:szCs w:val="22"/>
                <w:lang w:bidi="ar"/>
              </w:rPr>
              <w:t>0.02484</w:t>
            </w:r>
          </w:p>
        </w:tc>
      </w:tr>
      <w:tr w14:paraId="24CD7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77A468A7">
            <w:pPr>
              <w:ind w:firstLine="0" w:firstLineChars="0"/>
              <w:jc w:val="center"/>
              <w:rPr>
                <w:sz w:val="21"/>
                <w:szCs w:val="21"/>
              </w:rPr>
            </w:pPr>
            <w:r>
              <w:rPr>
                <w:sz w:val="21"/>
                <w:szCs w:val="21"/>
              </w:rPr>
              <w:t>10</w:t>
            </w:r>
          </w:p>
        </w:tc>
        <w:tc>
          <w:tcPr>
            <w:tcW w:w="1265" w:type="dxa"/>
            <w:tcBorders>
              <w:tl2br w:val="nil"/>
              <w:tr2bl w:val="nil"/>
            </w:tcBorders>
            <w:vAlign w:val="center"/>
          </w:tcPr>
          <w:p w14:paraId="794FD323">
            <w:pPr>
              <w:widowControl/>
              <w:ind w:firstLine="0" w:firstLineChars="0"/>
              <w:jc w:val="center"/>
              <w:textAlignment w:val="center"/>
              <w:rPr>
                <w:sz w:val="21"/>
                <w:szCs w:val="21"/>
              </w:rPr>
            </w:pPr>
            <w:r>
              <w:rPr>
                <w:rFonts w:hint="eastAsia" w:cs="宋体"/>
                <w:sz w:val="21"/>
                <w:szCs w:val="22"/>
                <w:lang w:bidi="ar"/>
              </w:rPr>
              <w:t>1000</w:t>
            </w:r>
          </w:p>
        </w:tc>
        <w:tc>
          <w:tcPr>
            <w:tcW w:w="1934" w:type="dxa"/>
            <w:tcBorders>
              <w:tl2br w:val="nil"/>
              <w:tr2bl w:val="nil"/>
            </w:tcBorders>
            <w:vAlign w:val="center"/>
          </w:tcPr>
          <w:p w14:paraId="0663EB51">
            <w:pPr>
              <w:widowControl/>
              <w:ind w:firstLine="0" w:firstLineChars="0"/>
              <w:jc w:val="center"/>
              <w:textAlignment w:val="center"/>
              <w:rPr>
                <w:sz w:val="21"/>
                <w:szCs w:val="21"/>
              </w:rPr>
            </w:pPr>
            <w:r>
              <w:rPr>
                <w:rFonts w:hint="eastAsia" w:cs="宋体"/>
                <w:sz w:val="21"/>
                <w:szCs w:val="22"/>
                <w:lang w:bidi="ar"/>
              </w:rPr>
              <w:t>0.1163</w:t>
            </w:r>
          </w:p>
        </w:tc>
        <w:tc>
          <w:tcPr>
            <w:tcW w:w="1774" w:type="dxa"/>
            <w:tcBorders>
              <w:tl2br w:val="nil"/>
              <w:tr2bl w:val="nil"/>
            </w:tcBorders>
            <w:vAlign w:val="center"/>
          </w:tcPr>
          <w:p w14:paraId="424730CE">
            <w:pPr>
              <w:widowControl/>
              <w:ind w:firstLine="0" w:firstLineChars="0"/>
              <w:jc w:val="center"/>
              <w:textAlignment w:val="center"/>
              <w:rPr>
                <w:sz w:val="21"/>
                <w:szCs w:val="21"/>
              </w:rPr>
            </w:pPr>
            <w:r>
              <w:rPr>
                <w:rFonts w:hint="eastAsia" w:cs="宋体"/>
                <w:sz w:val="21"/>
                <w:szCs w:val="22"/>
                <w:lang w:bidi="ar"/>
              </w:rPr>
              <w:t>0.05815</w:t>
            </w:r>
          </w:p>
        </w:tc>
        <w:tc>
          <w:tcPr>
            <w:tcW w:w="1936" w:type="dxa"/>
            <w:tcBorders>
              <w:tl2br w:val="nil"/>
              <w:tr2bl w:val="nil"/>
            </w:tcBorders>
            <w:vAlign w:val="center"/>
          </w:tcPr>
          <w:p w14:paraId="40283962">
            <w:pPr>
              <w:widowControl/>
              <w:ind w:firstLine="0" w:firstLineChars="0"/>
              <w:jc w:val="center"/>
              <w:textAlignment w:val="center"/>
              <w:rPr>
                <w:sz w:val="21"/>
                <w:szCs w:val="21"/>
              </w:rPr>
            </w:pPr>
            <w:r>
              <w:rPr>
                <w:rFonts w:hint="eastAsia" w:cs="宋体"/>
                <w:sz w:val="21"/>
                <w:szCs w:val="22"/>
                <w:lang w:bidi="ar"/>
              </w:rPr>
              <w:t>0.002286</w:t>
            </w:r>
          </w:p>
        </w:tc>
        <w:tc>
          <w:tcPr>
            <w:tcW w:w="1619" w:type="dxa"/>
            <w:tcBorders>
              <w:tl2br w:val="nil"/>
              <w:tr2bl w:val="nil"/>
            </w:tcBorders>
            <w:vAlign w:val="center"/>
          </w:tcPr>
          <w:p w14:paraId="622E49AE">
            <w:pPr>
              <w:widowControl/>
              <w:ind w:firstLine="0" w:firstLineChars="0"/>
              <w:jc w:val="center"/>
              <w:textAlignment w:val="center"/>
              <w:rPr>
                <w:sz w:val="21"/>
                <w:szCs w:val="21"/>
              </w:rPr>
            </w:pPr>
            <w:r>
              <w:rPr>
                <w:rFonts w:hint="eastAsia" w:cs="宋体"/>
                <w:sz w:val="21"/>
                <w:szCs w:val="22"/>
                <w:lang w:bidi="ar"/>
              </w:rPr>
              <w:t>0.02286</w:t>
            </w:r>
          </w:p>
        </w:tc>
      </w:tr>
      <w:tr w14:paraId="69C8B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78CE0C31">
            <w:pPr>
              <w:ind w:firstLine="0" w:firstLineChars="0"/>
              <w:jc w:val="center"/>
              <w:rPr>
                <w:sz w:val="21"/>
                <w:szCs w:val="21"/>
              </w:rPr>
            </w:pPr>
            <w:r>
              <w:rPr>
                <w:sz w:val="21"/>
                <w:szCs w:val="21"/>
              </w:rPr>
              <w:t>11</w:t>
            </w:r>
          </w:p>
        </w:tc>
        <w:tc>
          <w:tcPr>
            <w:tcW w:w="1265" w:type="dxa"/>
            <w:tcBorders>
              <w:tl2br w:val="nil"/>
              <w:tr2bl w:val="nil"/>
            </w:tcBorders>
            <w:vAlign w:val="center"/>
          </w:tcPr>
          <w:p w14:paraId="13B6BA3A">
            <w:pPr>
              <w:widowControl/>
              <w:ind w:firstLine="0" w:firstLineChars="0"/>
              <w:jc w:val="center"/>
              <w:textAlignment w:val="center"/>
              <w:rPr>
                <w:sz w:val="21"/>
                <w:szCs w:val="21"/>
              </w:rPr>
            </w:pPr>
            <w:r>
              <w:rPr>
                <w:rFonts w:hint="eastAsia" w:cs="宋体"/>
                <w:sz w:val="21"/>
                <w:szCs w:val="22"/>
                <w:lang w:bidi="ar"/>
              </w:rPr>
              <w:t>1100</w:t>
            </w:r>
          </w:p>
        </w:tc>
        <w:tc>
          <w:tcPr>
            <w:tcW w:w="1934" w:type="dxa"/>
            <w:tcBorders>
              <w:tl2br w:val="nil"/>
              <w:tr2bl w:val="nil"/>
            </w:tcBorders>
            <w:vAlign w:val="center"/>
          </w:tcPr>
          <w:p w14:paraId="6412F173">
            <w:pPr>
              <w:widowControl/>
              <w:ind w:firstLine="0" w:firstLineChars="0"/>
              <w:jc w:val="center"/>
              <w:textAlignment w:val="center"/>
              <w:rPr>
                <w:sz w:val="21"/>
                <w:szCs w:val="21"/>
              </w:rPr>
            </w:pPr>
            <w:r>
              <w:rPr>
                <w:rFonts w:hint="eastAsia" w:cs="宋体"/>
                <w:sz w:val="21"/>
                <w:szCs w:val="22"/>
                <w:lang w:bidi="ar"/>
              </w:rPr>
              <w:t>0.1088</w:t>
            </w:r>
          </w:p>
        </w:tc>
        <w:tc>
          <w:tcPr>
            <w:tcW w:w="1774" w:type="dxa"/>
            <w:tcBorders>
              <w:tl2br w:val="nil"/>
              <w:tr2bl w:val="nil"/>
            </w:tcBorders>
            <w:vAlign w:val="center"/>
          </w:tcPr>
          <w:p w14:paraId="45C5B353">
            <w:pPr>
              <w:widowControl/>
              <w:ind w:firstLine="0" w:firstLineChars="0"/>
              <w:jc w:val="center"/>
              <w:textAlignment w:val="center"/>
              <w:rPr>
                <w:sz w:val="21"/>
                <w:szCs w:val="21"/>
              </w:rPr>
            </w:pPr>
            <w:r>
              <w:rPr>
                <w:rFonts w:hint="eastAsia" w:cs="宋体"/>
                <w:sz w:val="21"/>
                <w:szCs w:val="22"/>
                <w:lang w:bidi="ar"/>
              </w:rPr>
              <w:t>0.0544</w:t>
            </w:r>
          </w:p>
        </w:tc>
        <w:tc>
          <w:tcPr>
            <w:tcW w:w="1936" w:type="dxa"/>
            <w:tcBorders>
              <w:tl2br w:val="nil"/>
              <w:tr2bl w:val="nil"/>
            </w:tcBorders>
            <w:vAlign w:val="center"/>
          </w:tcPr>
          <w:p w14:paraId="4C7D5C3B">
            <w:pPr>
              <w:widowControl/>
              <w:ind w:firstLine="0" w:firstLineChars="0"/>
              <w:jc w:val="center"/>
              <w:textAlignment w:val="center"/>
              <w:rPr>
                <w:sz w:val="21"/>
                <w:szCs w:val="21"/>
              </w:rPr>
            </w:pPr>
            <w:r>
              <w:rPr>
                <w:rFonts w:hint="eastAsia" w:cs="宋体"/>
                <w:sz w:val="21"/>
                <w:szCs w:val="22"/>
                <w:lang w:bidi="ar"/>
              </w:rPr>
              <w:t>0.002123</w:t>
            </w:r>
          </w:p>
        </w:tc>
        <w:tc>
          <w:tcPr>
            <w:tcW w:w="1619" w:type="dxa"/>
            <w:tcBorders>
              <w:tl2br w:val="nil"/>
              <w:tr2bl w:val="nil"/>
            </w:tcBorders>
            <w:vAlign w:val="center"/>
          </w:tcPr>
          <w:p w14:paraId="00481E8D">
            <w:pPr>
              <w:widowControl/>
              <w:ind w:firstLine="0" w:firstLineChars="0"/>
              <w:jc w:val="center"/>
              <w:textAlignment w:val="center"/>
              <w:rPr>
                <w:sz w:val="21"/>
                <w:szCs w:val="21"/>
              </w:rPr>
            </w:pPr>
            <w:r>
              <w:rPr>
                <w:rFonts w:hint="eastAsia" w:cs="宋体"/>
                <w:sz w:val="21"/>
                <w:szCs w:val="22"/>
                <w:lang w:bidi="ar"/>
              </w:rPr>
              <w:t>0.02123</w:t>
            </w:r>
          </w:p>
        </w:tc>
      </w:tr>
      <w:tr w14:paraId="064BA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53F73EFA">
            <w:pPr>
              <w:ind w:firstLine="0" w:firstLineChars="0"/>
              <w:jc w:val="center"/>
              <w:rPr>
                <w:sz w:val="21"/>
                <w:szCs w:val="21"/>
              </w:rPr>
            </w:pPr>
            <w:r>
              <w:rPr>
                <w:sz w:val="21"/>
                <w:szCs w:val="21"/>
              </w:rPr>
              <w:t>12</w:t>
            </w:r>
          </w:p>
        </w:tc>
        <w:tc>
          <w:tcPr>
            <w:tcW w:w="1265" w:type="dxa"/>
            <w:tcBorders>
              <w:tl2br w:val="nil"/>
              <w:tr2bl w:val="nil"/>
            </w:tcBorders>
            <w:vAlign w:val="center"/>
          </w:tcPr>
          <w:p w14:paraId="4F37DFCD">
            <w:pPr>
              <w:widowControl/>
              <w:ind w:firstLine="0" w:firstLineChars="0"/>
              <w:jc w:val="center"/>
              <w:textAlignment w:val="center"/>
              <w:rPr>
                <w:sz w:val="21"/>
                <w:szCs w:val="21"/>
              </w:rPr>
            </w:pPr>
            <w:r>
              <w:rPr>
                <w:rFonts w:hint="eastAsia" w:cs="宋体"/>
                <w:sz w:val="21"/>
                <w:szCs w:val="22"/>
                <w:lang w:bidi="ar"/>
              </w:rPr>
              <w:t>1200</w:t>
            </w:r>
          </w:p>
        </w:tc>
        <w:tc>
          <w:tcPr>
            <w:tcW w:w="1934" w:type="dxa"/>
            <w:tcBorders>
              <w:tl2br w:val="nil"/>
              <w:tr2bl w:val="nil"/>
            </w:tcBorders>
            <w:vAlign w:val="center"/>
          </w:tcPr>
          <w:p w14:paraId="2D91934A">
            <w:pPr>
              <w:widowControl/>
              <w:ind w:firstLine="0" w:firstLineChars="0"/>
              <w:jc w:val="center"/>
              <w:textAlignment w:val="center"/>
              <w:rPr>
                <w:sz w:val="21"/>
                <w:szCs w:val="21"/>
              </w:rPr>
            </w:pPr>
            <w:r>
              <w:rPr>
                <w:rFonts w:hint="eastAsia" w:cs="宋体"/>
                <w:sz w:val="21"/>
                <w:szCs w:val="22"/>
                <w:lang w:bidi="ar"/>
              </w:rPr>
              <w:t>0.104</w:t>
            </w:r>
          </w:p>
        </w:tc>
        <w:tc>
          <w:tcPr>
            <w:tcW w:w="1774" w:type="dxa"/>
            <w:tcBorders>
              <w:tl2br w:val="nil"/>
              <w:tr2bl w:val="nil"/>
            </w:tcBorders>
            <w:vAlign w:val="center"/>
          </w:tcPr>
          <w:p w14:paraId="44CC533A">
            <w:pPr>
              <w:widowControl/>
              <w:ind w:firstLine="0" w:firstLineChars="0"/>
              <w:jc w:val="center"/>
              <w:textAlignment w:val="center"/>
              <w:rPr>
                <w:sz w:val="21"/>
                <w:szCs w:val="21"/>
              </w:rPr>
            </w:pPr>
            <w:r>
              <w:rPr>
                <w:rFonts w:hint="eastAsia" w:cs="宋体"/>
                <w:sz w:val="21"/>
                <w:szCs w:val="22"/>
                <w:lang w:bidi="ar"/>
              </w:rPr>
              <w:t>0.052</w:t>
            </w:r>
          </w:p>
        </w:tc>
        <w:tc>
          <w:tcPr>
            <w:tcW w:w="1936" w:type="dxa"/>
            <w:tcBorders>
              <w:tl2br w:val="nil"/>
              <w:tr2bl w:val="nil"/>
            </w:tcBorders>
            <w:vAlign w:val="center"/>
          </w:tcPr>
          <w:p w14:paraId="6DA1ADA3">
            <w:pPr>
              <w:widowControl/>
              <w:ind w:firstLine="0" w:firstLineChars="0"/>
              <w:jc w:val="center"/>
              <w:textAlignment w:val="center"/>
              <w:rPr>
                <w:sz w:val="21"/>
                <w:szCs w:val="21"/>
              </w:rPr>
            </w:pPr>
            <w:r>
              <w:rPr>
                <w:rFonts w:hint="eastAsia" w:cs="宋体"/>
                <w:sz w:val="21"/>
                <w:szCs w:val="22"/>
                <w:lang w:bidi="ar"/>
              </w:rPr>
              <w:t>0.001985</w:t>
            </w:r>
          </w:p>
        </w:tc>
        <w:tc>
          <w:tcPr>
            <w:tcW w:w="1619" w:type="dxa"/>
            <w:tcBorders>
              <w:tl2br w:val="nil"/>
              <w:tr2bl w:val="nil"/>
            </w:tcBorders>
            <w:vAlign w:val="center"/>
          </w:tcPr>
          <w:p w14:paraId="6E8F30AF">
            <w:pPr>
              <w:widowControl/>
              <w:ind w:firstLine="0" w:firstLineChars="0"/>
              <w:jc w:val="center"/>
              <w:textAlignment w:val="center"/>
              <w:rPr>
                <w:sz w:val="21"/>
                <w:szCs w:val="21"/>
              </w:rPr>
            </w:pPr>
            <w:r>
              <w:rPr>
                <w:rFonts w:hint="eastAsia" w:cs="宋体"/>
                <w:sz w:val="21"/>
                <w:szCs w:val="22"/>
                <w:lang w:bidi="ar"/>
              </w:rPr>
              <w:t>0.01985</w:t>
            </w:r>
          </w:p>
        </w:tc>
      </w:tr>
      <w:tr w14:paraId="7A1DE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2063C18B">
            <w:pPr>
              <w:ind w:firstLine="0" w:firstLineChars="0"/>
              <w:jc w:val="center"/>
              <w:rPr>
                <w:sz w:val="21"/>
                <w:szCs w:val="21"/>
              </w:rPr>
            </w:pPr>
            <w:r>
              <w:rPr>
                <w:sz w:val="21"/>
                <w:szCs w:val="21"/>
              </w:rPr>
              <w:t>13</w:t>
            </w:r>
          </w:p>
        </w:tc>
        <w:tc>
          <w:tcPr>
            <w:tcW w:w="1265" w:type="dxa"/>
            <w:tcBorders>
              <w:tl2br w:val="nil"/>
              <w:tr2bl w:val="nil"/>
            </w:tcBorders>
            <w:vAlign w:val="center"/>
          </w:tcPr>
          <w:p w14:paraId="2E04A2A7">
            <w:pPr>
              <w:widowControl/>
              <w:ind w:firstLine="0" w:firstLineChars="0"/>
              <w:jc w:val="center"/>
              <w:textAlignment w:val="center"/>
              <w:rPr>
                <w:sz w:val="21"/>
                <w:szCs w:val="21"/>
              </w:rPr>
            </w:pPr>
            <w:r>
              <w:rPr>
                <w:rFonts w:hint="eastAsia" w:cs="宋体"/>
                <w:sz w:val="21"/>
                <w:szCs w:val="22"/>
                <w:lang w:bidi="ar"/>
              </w:rPr>
              <w:t>1300</w:t>
            </w:r>
          </w:p>
        </w:tc>
        <w:tc>
          <w:tcPr>
            <w:tcW w:w="1934" w:type="dxa"/>
            <w:tcBorders>
              <w:tl2br w:val="nil"/>
              <w:tr2bl w:val="nil"/>
            </w:tcBorders>
            <w:vAlign w:val="center"/>
          </w:tcPr>
          <w:p w14:paraId="02E09A24">
            <w:pPr>
              <w:widowControl/>
              <w:ind w:firstLine="0" w:firstLineChars="0"/>
              <w:jc w:val="center"/>
              <w:textAlignment w:val="center"/>
              <w:rPr>
                <w:sz w:val="21"/>
                <w:szCs w:val="21"/>
              </w:rPr>
            </w:pPr>
            <w:r>
              <w:rPr>
                <w:rFonts w:hint="eastAsia" w:cs="宋体"/>
                <w:sz w:val="21"/>
                <w:szCs w:val="22"/>
                <w:lang w:bidi="ar"/>
              </w:rPr>
              <w:t>0.1018</w:t>
            </w:r>
          </w:p>
        </w:tc>
        <w:tc>
          <w:tcPr>
            <w:tcW w:w="1774" w:type="dxa"/>
            <w:tcBorders>
              <w:tl2br w:val="nil"/>
              <w:tr2bl w:val="nil"/>
            </w:tcBorders>
            <w:vAlign w:val="center"/>
          </w:tcPr>
          <w:p w14:paraId="7D8616C4">
            <w:pPr>
              <w:widowControl/>
              <w:ind w:firstLine="0" w:firstLineChars="0"/>
              <w:jc w:val="center"/>
              <w:textAlignment w:val="center"/>
              <w:rPr>
                <w:sz w:val="21"/>
                <w:szCs w:val="21"/>
              </w:rPr>
            </w:pPr>
            <w:r>
              <w:rPr>
                <w:rFonts w:hint="eastAsia" w:cs="宋体"/>
                <w:sz w:val="21"/>
                <w:szCs w:val="22"/>
                <w:lang w:bidi="ar"/>
              </w:rPr>
              <w:t>0.0509</w:t>
            </w:r>
          </w:p>
        </w:tc>
        <w:tc>
          <w:tcPr>
            <w:tcW w:w="1936" w:type="dxa"/>
            <w:tcBorders>
              <w:tl2br w:val="nil"/>
              <w:tr2bl w:val="nil"/>
            </w:tcBorders>
            <w:vAlign w:val="center"/>
          </w:tcPr>
          <w:p w14:paraId="1C24462F">
            <w:pPr>
              <w:widowControl/>
              <w:ind w:firstLine="0" w:firstLineChars="0"/>
              <w:jc w:val="center"/>
              <w:textAlignment w:val="center"/>
              <w:rPr>
                <w:sz w:val="21"/>
                <w:szCs w:val="21"/>
              </w:rPr>
            </w:pPr>
            <w:r>
              <w:rPr>
                <w:rFonts w:hint="eastAsia" w:cs="宋体"/>
                <w:sz w:val="21"/>
                <w:szCs w:val="22"/>
                <w:lang w:bidi="ar"/>
              </w:rPr>
              <w:t>0.001897</w:t>
            </w:r>
          </w:p>
        </w:tc>
        <w:tc>
          <w:tcPr>
            <w:tcW w:w="1619" w:type="dxa"/>
            <w:tcBorders>
              <w:tl2br w:val="nil"/>
              <w:tr2bl w:val="nil"/>
            </w:tcBorders>
            <w:vAlign w:val="center"/>
          </w:tcPr>
          <w:p w14:paraId="36A52F8C">
            <w:pPr>
              <w:widowControl/>
              <w:ind w:firstLine="0" w:firstLineChars="0"/>
              <w:jc w:val="center"/>
              <w:textAlignment w:val="center"/>
              <w:rPr>
                <w:sz w:val="21"/>
                <w:szCs w:val="21"/>
              </w:rPr>
            </w:pPr>
            <w:r>
              <w:rPr>
                <w:rFonts w:hint="eastAsia" w:cs="宋体"/>
                <w:sz w:val="21"/>
                <w:szCs w:val="22"/>
                <w:lang w:bidi="ar"/>
              </w:rPr>
              <w:t>0.01897</w:t>
            </w:r>
          </w:p>
        </w:tc>
      </w:tr>
      <w:tr w14:paraId="5071E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689C2C35">
            <w:pPr>
              <w:ind w:firstLine="0" w:firstLineChars="0"/>
              <w:jc w:val="center"/>
              <w:rPr>
                <w:sz w:val="21"/>
                <w:szCs w:val="21"/>
              </w:rPr>
            </w:pPr>
            <w:r>
              <w:rPr>
                <w:sz w:val="21"/>
                <w:szCs w:val="21"/>
              </w:rPr>
              <w:t>14</w:t>
            </w:r>
          </w:p>
        </w:tc>
        <w:tc>
          <w:tcPr>
            <w:tcW w:w="1265" w:type="dxa"/>
            <w:tcBorders>
              <w:tl2br w:val="nil"/>
              <w:tr2bl w:val="nil"/>
            </w:tcBorders>
            <w:vAlign w:val="center"/>
          </w:tcPr>
          <w:p w14:paraId="4A58CA8A">
            <w:pPr>
              <w:widowControl/>
              <w:ind w:firstLine="0" w:firstLineChars="0"/>
              <w:jc w:val="center"/>
              <w:textAlignment w:val="center"/>
              <w:rPr>
                <w:sz w:val="21"/>
                <w:szCs w:val="21"/>
              </w:rPr>
            </w:pPr>
            <w:r>
              <w:rPr>
                <w:rFonts w:hint="eastAsia" w:cs="宋体"/>
                <w:sz w:val="21"/>
                <w:szCs w:val="22"/>
                <w:lang w:bidi="ar"/>
              </w:rPr>
              <w:t>1400</w:t>
            </w:r>
          </w:p>
        </w:tc>
        <w:tc>
          <w:tcPr>
            <w:tcW w:w="1934" w:type="dxa"/>
            <w:tcBorders>
              <w:tl2br w:val="nil"/>
              <w:tr2bl w:val="nil"/>
            </w:tcBorders>
            <w:vAlign w:val="center"/>
          </w:tcPr>
          <w:p w14:paraId="4B5EEF71">
            <w:pPr>
              <w:widowControl/>
              <w:ind w:firstLine="0" w:firstLineChars="0"/>
              <w:jc w:val="center"/>
              <w:textAlignment w:val="center"/>
              <w:rPr>
                <w:sz w:val="21"/>
                <w:szCs w:val="21"/>
              </w:rPr>
            </w:pPr>
            <w:r>
              <w:rPr>
                <w:rFonts w:hint="eastAsia" w:cs="宋体"/>
                <w:sz w:val="21"/>
                <w:szCs w:val="22"/>
                <w:lang w:bidi="ar"/>
              </w:rPr>
              <w:t>0.09942</w:t>
            </w:r>
          </w:p>
        </w:tc>
        <w:tc>
          <w:tcPr>
            <w:tcW w:w="1774" w:type="dxa"/>
            <w:tcBorders>
              <w:tl2br w:val="nil"/>
              <w:tr2bl w:val="nil"/>
            </w:tcBorders>
            <w:vAlign w:val="center"/>
          </w:tcPr>
          <w:p w14:paraId="14149DB1">
            <w:pPr>
              <w:widowControl/>
              <w:ind w:firstLine="0" w:firstLineChars="0"/>
              <w:jc w:val="center"/>
              <w:textAlignment w:val="center"/>
              <w:rPr>
                <w:sz w:val="21"/>
                <w:szCs w:val="21"/>
              </w:rPr>
            </w:pPr>
            <w:r>
              <w:rPr>
                <w:rFonts w:hint="eastAsia" w:cs="宋体"/>
                <w:sz w:val="21"/>
                <w:szCs w:val="22"/>
                <w:lang w:bidi="ar"/>
              </w:rPr>
              <w:t>0.04971</w:t>
            </w:r>
          </w:p>
        </w:tc>
        <w:tc>
          <w:tcPr>
            <w:tcW w:w="1936" w:type="dxa"/>
            <w:tcBorders>
              <w:tl2br w:val="nil"/>
              <w:tr2bl w:val="nil"/>
            </w:tcBorders>
            <w:vAlign w:val="center"/>
          </w:tcPr>
          <w:p w14:paraId="75F24865">
            <w:pPr>
              <w:widowControl/>
              <w:ind w:firstLine="0" w:firstLineChars="0"/>
              <w:jc w:val="center"/>
              <w:textAlignment w:val="center"/>
              <w:rPr>
                <w:sz w:val="21"/>
                <w:szCs w:val="21"/>
              </w:rPr>
            </w:pPr>
            <w:r>
              <w:rPr>
                <w:rFonts w:hint="eastAsia" w:cs="宋体"/>
                <w:sz w:val="21"/>
                <w:szCs w:val="22"/>
                <w:lang w:bidi="ar"/>
              </w:rPr>
              <w:t>0.001858</w:t>
            </w:r>
          </w:p>
        </w:tc>
        <w:tc>
          <w:tcPr>
            <w:tcW w:w="1619" w:type="dxa"/>
            <w:tcBorders>
              <w:tl2br w:val="nil"/>
              <w:tr2bl w:val="nil"/>
            </w:tcBorders>
            <w:vAlign w:val="center"/>
          </w:tcPr>
          <w:p w14:paraId="6AD03443">
            <w:pPr>
              <w:widowControl/>
              <w:ind w:firstLine="0" w:firstLineChars="0"/>
              <w:jc w:val="center"/>
              <w:textAlignment w:val="center"/>
              <w:rPr>
                <w:sz w:val="21"/>
                <w:szCs w:val="21"/>
              </w:rPr>
            </w:pPr>
            <w:r>
              <w:rPr>
                <w:rFonts w:hint="eastAsia" w:cs="宋体"/>
                <w:sz w:val="21"/>
                <w:szCs w:val="22"/>
                <w:lang w:bidi="ar"/>
              </w:rPr>
              <w:t>0.01858</w:t>
            </w:r>
          </w:p>
        </w:tc>
      </w:tr>
      <w:tr w14:paraId="27656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3D7760A4">
            <w:pPr>
              <w:ind w:firstLine="0" w:firstLineChars="0"/>
              <w:jc w:val="center"/>
              <w:rPr>
                <w:sz w:val="21"/>
                <w:szCs w:val="21"/>
              </w:rPr>
            </w:pPr>
            <w:r>
              <w:rPr>
                <w:sz w:val="21"/>
                <w:szCs w:val="21"/>
              </w:rPr>
              <w:t>15</w:t>
            </w:r>
          </w:p>
        </w:tc>
        <w:tc>
          <w:tcPr>
            <w:tcW w:w="1265" w:type="dxa"/>
            <w:tcBorders>
              <w:tl2br w:val="nil"/>
              <w:tr2bl w:val="nil"/>
            </w:tcBorders>
            <w:vAlign w:val="center"/>
          </w:tcPr>
          <w:p w14:paraId="27C3469A">
            <w:pPr>
              <w:widowControl/>
              <w:ind w:firstLine="0" w:firstLineChars="0"/>
              <w:jc w:val="center"/>
              <w:textAlignment w:val="center"/>
              <w:rPr>
                <w:sz w:val="21"/>
                <w:szCs w:val="21"/>
              </w:rPr>
            </w:pPr>
            <w:r>
              <w:rPr>
                <w:rFonts w:hint="eastAsia" w:cs="宋体"/>
                <w:sz w:val="21"/>
                <w:szCs w:val="22"/>
                <w:lang w:bidi="ar"/>
              </w:rPr>
              <w:t>1500</w:t>
            </w:r>
          </w:p>
        </w:tc>
        <w:tc>
          <w:tcPr>
            <w:tcW w:w="1934" w:type="dxa"/>
            <w:tcBorders>
              <w:tl2br w:val="nil"/>
              <w:tr2bl w:val="nil"/>
            </w:tcBorders>
            <w:vAlign w:val="center"/>
          </w:tcPr>
          <w:p w14:paraId="09783F51">
            <w:pPr>
              <w:widowControl/>
              <w:ind w:firstLine="0" w:firstLineChars="0"/>
              <w:jc w:val="center"/>
              <w:textAlignment w:val="center"/>
              <w:rPr>
                <w:sz w:val="21"/>
                <w:szCs w:val="21"/>
              </w:rPr>
            </w:pPr>
            <w:r>
              <w:rPr>
                <w:rFonts w:hint="eastAsia" w:cs="宋体"/>
                <w:sz w:val="21"/>
                <w:szCs w:val="22"/>
                <w:lang w:bidi="ar"/>
              </w:rPr>
              <w:t>0.09879</w:t>
            </w:r>
          </w:p>
        </w:tc>
        <w:tc>
          <w:tcPr>
            <w:tcW w:w="1774" w:type="dxa"/>
            <w:tcBorders>
              <w:tl2br w:val="nil"/>
              <w:tr2bl w:val="nil"/>
            </w:tcBorders>
            <w:vAlign w:val="center"/>
          </w:tcPr>
          <w:p w14:paraId="6521B0D5">
            <w:pPr>
              <w:widowControl/>
              <w:ind w:firstLine="0" w:firstLineChars="0"/>
              <w:jc w:val="center"/>
              <w:textAlignment w:val="center"/>
              <w:rPr>
                <w:sz w:val="21"/>
                <w:szCs w:val="21"/>
              </w:rPr>
            </w:pPr>
            <w:r>
              <w:rPr>
                <w:rFonts w:hint="eastAsia" w:cs="宋体"/>
                <w:sz w:val="21"/>
                <w:szCs w:val="22"/>
                <w:lang w:bidi="ar"/>
              </w:rPr>
              <w:t>0.049395</w:t>
            </w:r>
          </w:p>
        </w:tc>
        <w:tc>
          <w:tcPr>
            <w:tcW w:w="1936" w:type="dxa"/>
            <w:tcBorders>
              <w:tl2br w:val="nil"/>
              <w:tr2bl w:val="nil"/>
            </w:tcBorders>
            <w:vAlign w:val="center"/>
          </w:tcPr>
          <w:p w14:paraId="5889D43D">
            <w:pPr>
              <w:widowControl/>
              <w:ind w:firstLine="0" w:firstLineChars="0"/>
              <w:jc w:val="center"/>
              <w:textAlignment w:val="center"/>
              <w:rPr>
                <w:sz w:val="21"/>
                <w:szCs w:val="21"/>
              </w:rPr>
            </w:pPr>
            <w:r>
              <w:rPr>
                <w:rFonts w:hint="eastAsia" w:cs="宋体"/>
                <w:sz w:val="21"/>
                <w:szCs w:val="22"/>
                <w:lang w:bidi="ar"/>
              </w:rPr>
              <w:t>0.001814</w:t>
            </w:r>
          </w:p>
        </w:tc>
        <w:tc>
          <w:tcPr>
            <w:tcW w:w="1619" w:type="dxa"/>
            <w:tcBorders>
              <w:tl2br w:val="nil"/>
              <w:tr2bl w:val="nil"/>
            </w:tcBorders>
            <w:vAlign w:val="center"/>
          </w:tcPr>
          <w:p w14:paraId="3AA0017A">
            <w:pPr>
              <w:widowControl/>
              <w:ind w:firstLine="0" w:firstLineChars="0"/>
              <w:jc w:val="center"/>
              <w:textAlignment w:val="center"/>
              <w:rPr>
                <w:sz w:val="21"/>
                <w:szCs w:val="21"/>
              </w:rPr>
            </w:pPr>
            <w:r>
              <w:rPr>
                <w:rFonts w:hint="eastAsia" w:cs="宋体"/>
                <w:sz w:val="21"/>
                <w:szCs w:val="22"/>
                <w:lang w:bidi="ar"/>
              </w:rPr>
              <w:t>0.01814</w:t>
            </w:r>
          </w:p>
        </w:tc>
      </w:tr>
      <w:tr w14:paraId="5C729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790339A3">
            <w:pPr>
              <w:ind w:firstLine="0" w:firstLineChars="0"/>
              <w:jc w:val="center"/>
              <w:rPr>
                <w:sz w:val="21"/>
                <w:szCs w:val="21"/>
              </w:rPr>
            </w:pPr>
            <w:r>
              <w:rPr>
                <w:sz w:val="21"/>
                <w:szCs w:val="21"/>
              </w:rPr>
              <w:t>16</w:t>
            </w:r>
          </w:p>
        </w:tc>
        <w:tc>
          <w:tcPr>
            <w:tcW w:w="1265" w:type="dxa"/>
            <w:tcBorders>
              <w:tl2br w:val="nil"/>
              <w:tr2bl w:val="nil"/>
            </w:tcBorders>
            <w:vAlign w:val="center"/>
          </w:tcPr>
          <w:p w14:paraId="0BC7142F">
            <w:pPr>
              <w:widowControl/>
              <w:ind w:firstLine="0" w:firstLineChars="0"/>
              <w:jc w:val="center"/>
              <w:textAlignment w:val="center"/>
              <w:rPr>
                <w:sz w:val="21"/>
                <w:szCs w:val="21"/>
              </w:rPr>
            </w:pPr>
            <w:r>
              <w:rPr>
                <w:rFonts w:hint="eastAsia" w:cs="宋体"/>
                <w:sz w:val="21"/>
                <w:szCs w:val="22"/>
                <w:lang w:bidi="ar"/>
              </w:rPr>
              <w:t>1600</w:t>
            </w:r>
          </w:p>
        </w:tc>
        <w:tc>
          <w:tcPr>
            <w:tcW w:w="1934" w:type="dxa"/>
            <w:tcBorders>
              <w:tl2br w:val="nil"/>
              <w:tr2bl w:val="nil"/>
            </w:tcBorders>
            <w:vAlign w:val="center"/>
          </w:tcPr>
          <w:p w14:paraId="6F5E0D30">
            <w:pPr>
              <w:widowControl/>
              <w:ind w:firstLine="0" w:firstLineChars="0"/>
              <w:jc w:val="center"/>
              <w:textAlignment w:val="center"/>
              <w:rPr>
                <w:sz w:val="21"/>
                <w:szCs w:val="21"/>
              </w:rPr>
            </w:pPr>
            <w:r>
              <w:rPr>
                <w:rFonts w:hint="eastAsia" w:cs="宋体"/>
                <w:sz w:val="21"/>
                <w:szCs w:val="22"/>
                <w:lang w:bidi="ar"/>
              </w:rPr>
              <w:t>0.09832</w:t>
            </w:r>
          </w:p>
        </w:tc>
        <w:tc>
          <w:tcPr>
            <w:tcW w:w="1774" w:type="dxa"/>
            <w:tcBorders>
              <w:tl2br w:val="nil"/>
              <w:tr2bl w:val="nil"/>
            </w:tcBorders>
            <w:vAlign w:val="center"/>
          </w:tcPr>
          <w:p w14:paraId="062CDA89">
            <w:pPr>
              <w:widowControl/>
              <w:ind w:firstLine="0" w:firstLineChars="0"/>
              <w:jc w:val="center"/>
              <w:textAlignment w:val="center"/>
              <w:rPr>
                <w:sz w:val="21"/>
                <w:szCs w:val="21"/>
              </w:rPr>
            </w:pPr>
            <w:r>
              <w:rPr>
                <w:rFonts w:hint="eastAsia" w:cs="宋体"/>
                <w:sz w:val="21"/>
                <w:szCs w:val="22"/>
                <w:lang w:bidi="ar"/>
              </w:rPr>
              <w:t>0.04916</w:t>
            </w:r>
          </w:p>
        </w:tc>
        <w:tc>
          <w:tcPr>
            <w:tcW w:w="1936" w:type="dxa"/>
            <w:tcBorders>
              <w:tl2br w:val="nil"/>
              <w:tr2bl w:val="nil"/>
            </w:tcBorders>
            <w:vAlign w:val="center"/>
          </w:tcPr>
          <w:p w14:paraId="01C8630F">
            <w:pPr>
              <w:widowControl/>
              <w:ind w:firstLine="0" w:firstLineChars="0"/>
              <w:jc w:val="center"/>
              <w:textAlignment w:val="center"/>
              <w:rPr>
                <w:sz w:val="21"/>
                <w:szCs w:val="21"/>
              </w:rPr>
            </w:pPr>
            <w:r>
              <w:rPr>
                <w:rFonts w:hint="eastAsia" w:cs="宋体"/>
                <w:sz w:val="21"/>
                <w:szCs w:val="22"/>
                <w:lang w:bidi="ar"/>
              </w:rPr>
              <w:t>0.001803</w:t>
            </w:r>
          </w:p>
        </w:tc>
        <w:tc>
          <w:tcPr>
            <w:tcW w:w="1619" w:type="dxa"/>
            <w:tcBorders>
              <w:tl2br w:val="nil"/>
              <w:tr2bl w:val="nil"/>
            </w:tcBorders>
            <w:vAlign w:val="center"/>
          </w:tcPr>
          <w:p w14:paraId="7F8CED25">
            <w:pPr>
              <w:widowControl/>
              <w:ind w:firstLine="0" w:firstLineChars="0"/>
              <w:jc w:val="center"/>
              <w:textAlignment w:val="center"/>
              <w:rPr>
                <w:sz w:val="21"/>
                <w:szCs w:val="21"/>
              </w:rPr>
            </w:pPr>
            <w:r>
              <w:rPr>
                <w:rFonts w:hint="eastAsia" w:cs="宋体"/>
                <w:sz w:val="21"/>
                <w:szCs w:val="22"/>
                <w:lang w:bidi="ar"/>
              </w:rPr>
              <w:t>0.01803</w:t>
            </w:r>
          </w:p>
        </w:tc>
      </w:tr>
      <w:tr w14:paraId="42EB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32D31142">
            <w:pPr>
              <w:ind w:firstLine="0" w:firstLineChars="0"/>
              <w:jc w:val="center"/>
              <w:rPr>
                <w:sz w:val="21"/>
                <w:szCs w:val="21"/>
              </w:rPr>
            </w:pPr>
            <w:r>
              <w:rPr>
                <w:sz w:val="21"/>
                <w:szCs w:val="21"/>
              </w:rPr>
              <w:t>17</w:t>
            </w:r>
          </w:p>
        </w:tc>
        <w:tc>
          <w:tcPr>
            <w:tcW w:w="1265" w:type="dxa"/>
            <w:tcBorders>
              <w:tl2br w:val="nil"/>
              <w:tr2bl w:val="nil"/>
            </w:tcBorders>
            <w:vAlign w:val="center"/>
          </w:tcPr>
          <w:p w14:paraId="6649E63E">
            <w:pPr>
              <w:widowControl/>
              <w:ind w:firstLine="0" w:firstLineChars="0"/>
              <w:jc w:val="center"/>
              <w:textAlignment w:val="center"/>
              <w:rPr>
                <w:sz w:val="21"/>
                <w:szCs w:val="21"/>
              </w:rPr>
            </w:pPr>
            <w:r>
              <w:rPr>
                <w:rFonts w:hint="eastAsia" w:cs="宋体"/>
                <w:sz w:val="21"/>
                <w:szCs w:val="22"/>
                <w:lang w:bidi="ar"/>
              </w:rPr>
              <w:t>1700</w:t>
            </w:r>
          </w:p>
        </w:tc>
        <w:tc>
          <w:tcPr>
            <w:tcW w:w="1934" w:type="dxa"/>
            <w:tcBorders>
              <w:tl2br w:val="nil"/>
              <w:tr2bl w:val="nil"/>
            </w:tcBorders>
            <w:vAlign w:val="center"/>
          </w:tcPr>
          <w:p w14:paraId="3C12CD7D">
            <w:pPr>
              <w:widowControl/>
              <w:ind w:firstLine="0" w:firstLineChars="0"/>
              <w:jc w:val="center"/>
              <w:textAlignment w:val="center"/>
              <w:rPr>
                <w:sz w:val="21"/>
                <w:szCs w:val="21"/>
              </w:rPr>
            </w:pPr>
            <w:r>
              <w:rPr>
                <w:rFonts w:hint="eastAsia" w:cs="宋体"/>
                <w:sz w:val="21"/>
                <w:szCs w:val="22"/>
                <w:lang w:bidi="ar"/>
              </w:rPr>
              <w:t>0.09749</w:t>
            </w:r>
          </w:p>
        </w:tc>
        <w:tc>
          <w:tcPr>
            <w:tcW w:w="1774" w:type="dxa"/>
            <w:tcBorders>
              <w:tl2br w:val="nil"/>
              <w:tr2bl w:val="nil"/>
            </w:tcBorders>
            <w:vAlign w:val="center"/>
          </w:tcPr>
          <w:p w14:paraId="3861FCA4">
            <w:pPr>
              <w:widowControl/>
              <w:ind w:firstLine="0" w:firstLineChars="0"/>
              <w:jc w:val="center"/>
              <w:textAlignment w:val="center"/>
              <w:rPr>
                <w:sz w:val="21"/>
                <w:szCs w:val="21"/>
              </w:rPr>
            </w:pPr>
            <w:r>
              <w:rPr>
                <w:rFonts w:hint="eastAsia" w:cs="宋体"/>
                <w:sz w:val="21"/>
                <w:szCs w:val="22"/>
                <w:lang w:bidi="ar"/>
              </w:rPr>
              <w:t>0.048745</w:t>
            </w:r>
          </w:p>
        </w:tc>
        <w:tc>
          <w:tcPr>
            <w:tcW w:w="1936" w:type="dxa"/>
            <w:tcBorders>
              <w:tl2br w:val="nil"/>
              <w:tr2bl w:val="nil"/>
            </w:tcBorders>
            <w:vAlign w:val="center"/>
          </w:tcPr>
          <w:p w14:paraId="2225FD51">
            <w:pPr>
              <w:widowControl/>
              <w:ind w:firstLine="0" w:firstLineChars="0"/>
              <w:jc w:val="center"/>
              <w:textAlignment w:val="center"/>
              <w:rPr>
                <w:sz w:val="21"/>
                <w:szCs w:val="21"/>
              </w:rPr>
            </w:pPr>
            <w:r>
              <w:rPr>
                <w:rFonts w:hint="eastAsia" w:cs="宋体"/>
                <w:sz w:val="21"/>
                <w:szCs w:val="22"/>
                <w:lang w:bidi="ar"/>
              </w:rPr>
              <w:t>0.001794</w:t>
            </w:r>
          </w:p>
        </w:tc>
        <w:tc>
          <w:tcPr>
            <w:tcW w:w="1619" w:type="dxa"/>
            <w:tcBorders>
              <w:tl2br w:val="nil"/>
              <w:tr2bl w:val="nil"/>
            </w:tcBorders>
            <w:vAlign w:val="center"/>
          </w:tcPr>
          <w:p w14:paraId="2673C8D2">
            <w:pPr>
              <w:widowControl/>
              <w:ind w:firstLine="0" w:firstLineChars="0"/>
              <w:jc w:val="center"/>
              <w:textAlignment w:val="center"/>
              <w:rPr>
                <w:sz w:val="21"/>
                <w:szCs w:val="21"/>
              </w:rPr>
            </w:pPr>
            <w:r>
              <w:rPr>
                <w:rFonts w:hint="eastAsia" w:cs="宋体"/>
                <w:sz w:val="21"/>
                <w:szCs w:val="22"/>
                <w:lang w:bidi="ar"/>
              </w:rPr>
              <w:t>0.01794</w:t>
            </w:r>
          </w:p>
        </w:tc>
      </w:tr>
      <w:tr w14:paraId="50E00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6E77FD3B">
            <w:pPr>
              <w:ind w:firstLine="0" w:firstLineChars="0"/>
              <w:jc w:val="center"/>
              <w:rPr>
                <w:sz w:val="21"/>
                <w:szCs w:val="21"/>
              </w:rPr>
            </w:pPr>
            <w:r>
              <w:rPr>
                <w:sz w:val="21"/>
                <w:szCs w:val="21"/>
              </w:rPr>
              <w:t>18</w:t>
            </w:r>
          </w:p>
        </w:tc>
        <w:tc>
          <w:tcPr>
            <w:tcW w:w="1265" w:type="dxa"/>
            <w:tcBorders>
              <w:tl2br w:val="nil"/>
              <w:tr2bl w:val="nil"/>
            </w:tcBorders>
            <w:vAlign w:val="center"/>
          </w:tcPr>
          <w:p w14:paraId="0C3ABB3F">
            <w:pPr>
              <w:widowControl/>
              <w:ind w:firstLine="0" w:firstLineChars="0"/>
              <w:jc w:val="center"/>
              <w:textAlignment w:val="center"/>
              <w:rPr>
                <w:sz w:val="21"/>
                <w:szCs w:val="21"/>
              </w:rPr>
            </w:pPr>
            <w:r>
              <w:rPr>
                <w:rFonts w:hint="eastAsia" w:cs="宋体"/>
                <w:sz w:val="21"/>
                <w:szCs w:val="22"/>
                <w:lang w:bidi="ar"/>
              </w:rPr>
              <w:t>1800</w:t>
            </w:r>
          </w:p>
        </w:tc>
        <w:tc>
          <w:tcPr>
            <w:tcW w:w="1934" w:type="dxa"/>
            <w:tcBorders>
              <w:tl2br w:val="nil"/>
              <w:tr2bl w:val="nil"/>
            </w:tcBorders>
            <w:vAlign w:val="center"/>
          </w:tcPr>
          <w:p w14:paraId="442E0846">
            <w:pPr>
              <w:widowControl/>
              <w:ind w:firstLine="0" w:firstLineChars="0"/>
              <w:jc w:val="center"/>
              <w:textAlignment w:val="center"/>
              <w:rPr>
                <w:sz w:val="21"/>
                <w:szCs w:val="21"/>
              </w:rPr>
            </w:pPr>
            <w:r>
              <w:rPr>
                <w:rFonts w:hint="eastAsia" w:cs="宋体"/>
                <w:sz w:val="21"/>
                <w:szCs w:val="22"/>
                <w:lang w:bidi="ar"/>
              </w:rPr>
              <w:t>0.09639</w:t>
            </w:r>
          </w:p>
        </w:tc>
        <w:tc>
          <w:tcPr>
            <w:tcW w:w="1774" w:type="dxa"/>
            <w:tcBorders>
              <w:tl2br w:val="nil"/>
              <w:tr2bl w:val="nil"/>
            </w:tcBorders>
            <w:vAlign w:val="center"/>
          </w:tcPr>
          <w:p w14:paraId="35003B99">
            <w:pPr>
              <w:widowControl/>
              <w:ind w:firstLine="0" w:firstLineChars="0"/>
              <w:jc w:val="center"/>
              <w:textAlignment w:val="center"/>
              <w:rPr>
                <w:sz w:val="21"/>
                <w:szCs w:val="21"/>
              </w:rPr>
            </w:pPr>
            <w:r>
              <w:rPr>
                <w:rFonts w:hint="eastAsia" w:cs="宋体"/>
                <w:sz w:val="21"/>
                <w:szCs w:val="22"/>
                <w:lang w:bidi="ar"/>
              </w:rPr>
              <w:t>0.048195</w:t>
            </w:r>
          </w:p>
        </w:tc>
        <w:tc>
          <w:tcPr>
            <w:tcW w:w="1936" w:type="dxa"/>
            <w:tcBorders>
              <w:tl2br w:val="nil"/>
              <w:tr2bl w:val="nil"/>
            </w:tcBorders>
            <w:vAlign w:val="center"/>
          </w:tcPr>
          <w:p w14:paraId="64FB3213">
            <w:pPr>
              <w:widowControl/>
              <w:ind w:firstLine="0" w:firstLineChars="0"/>
              <w:jc w:val="center"/>
              <w:textAlignment w:val="center"/>
              <w:rPr>
                <w:sz w:val="21"/>
                <w:szCs w:val="21"/>
              </w:rPr>
            </w:pPr>
            <w:r>
              <w:rPr>
                <w:rFonts w:hint="eastAsia" w:cs="宋体"/>
                <w:sz w:val="21"/>
                <w:szCs w:val="22"/>
                <w:lang w:bidi="ar"/>
              </w:rPr>
              <w:t>0.001779</w:t>
            </w:r>
          </w:p>
        </w:tc>
        <w:tc>
          <w:tcPr>
            <w:tcW w:w="1619" w:type="dxa"/>
            <w:tcBorders>
              <w:tl2br w:val="nil"/>
              <w:tr2bl w:val="nil"/>
            </w:tcBorders>
            <w:vAlign w:val="center"/>
          </w:tcPr>
          <w:p w14:paraId="13BCE669">
            <w:pPr>
              <w:widowControl/>
              <w:ind w:firstLine="0" w:firstLineChars="0"/>
              <w:jc w:val="center"/>
              <w:textAlignment w:val="center"/>
              <w:rPr>
                <w:sz w:val="21"/>
                <w:szCs w:val="21"/>
              </w:rPr>
            </w:pPr>
            <w:r>
              <w:rPr>
                <w:rFonts w:hint="eastAsia" w:cs="宋体"/>
                <w:sz w:val="21"/>
                <w:szCs w:val="22"/>
                <w:lang w:bidi="ar"/>
              </w:rPr>
              <w:t>0.01779</w:t>
            </w:r>
          </w:p>
        </w:tc>
      </w:tr>
      <w:tr w14:paraId="38EFB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3D537FF3">
            <w:pPr>
              <w:ind w:firstLine="0" w:firstLineChars="0"/>
              <w:jc w:val="center"/>
              <w:rPr>
                <w:sz w:val="21"/>
                <w:szCs w:val="21"/>
              </w:rPr>
            </w:pPr>
            <w:r>
              <w:rPr>
                <w:sz w:val="21"/>
                <w:szCs w:val="21"/>
              </w:rPr>
              <w:t>19</w:t>
            </w:r>
          </w:p>
        </w:tc>
        <w:tc>
          <w:tcPr>
            <w:tcW w:w="1265" w:type="dxa"/>
            <w:tcBorders>
              <w:tl2br w:val="nil"/>
              <w:tr2bl w:val="nil"/>
            </w:tcBorders>
            <w:vAlign w:val="center"/>
          </w:tcPr>
          <w:p w14:paraId="47606578">
            <w:pPr>
              <w:widowControl/>
              <w:ind w:firstLine="0" w:firstLineChars="0"/>
              <w:jc w:val="center"/>
              <w:textAlignment w:val="center"/>
              <w:rPr>
                <w:sz w:val="21"/>
                <w:szCs w:val="21"/>
              </w:rPr>
            </w:pPr>
            <w:r>
              <w:rPr>
                <w:rFonts w:hint="eastAsia" w:cs="宋体"/>
                <w:sz w:val="21"/>
                <w:szCs w:val="22"/>
                <w:lang w:bidi="ar"/>
              </w:rPr>
              <w:t>1900</w:t>
            </w:r>
          </w:p>
        </w:tc>
        <w:tc>
          <w:tcPr>
            <w:tcW w:w="1934" w:type="dxa"/>
            <w:tcBorders>
              <w:tl2br w:val="nil"/>
              <w:tr2bl w:val="nil"/>
            </w:tcBorders>
            <w:vAlign w:val="center"/>
          </w:tcPr>
          <w:p w14:paraId="58217E6A">
            <w:pPr>
              <w:widowControl/>
              <w:ind w:firstLine="0" w:firstLineChars="0"/>
              <w:jc w:val="center"/>
              <w:textAlignment w:val="center"/>
              <w:rPr>
                <w:sz w:val="21"/>
                <w:szCs w:val="21"/>
              </w:rPr>
            </w:pPr>
            <w:r>
              <w:rPr>
                <w:rFonts w:hint="eastAsia" w:cs="宋体"/>
                <w:sz w:val="21"/>
                <w:szCs w:val="22"/>
                <w:lang w:bidi="ar"/>
              </w:rPr>
              <w:t>0.09509</w:t>
            </w:r>
          </w:p>
        </w:tc>
        <w:tc>
          <w:tcPr>
            <w:tcW w:w="1774" w:type="dxa"/>
            <w:tcBorders>
              <w:tl2br w:val="nil"/>
              <w:tr2bl w:val="nil"/>
            </w:tcBorders>
            <w:vAlign w:val="center"/>
          </w:tcPr>
          <w:p w14:paraId="17FB8FD6">
            <w:pPr>
              <w:widowControl/>
              <w:ind w:firstLine="0" w:firstLineChars="0"/>
              <w:jc w:val="center"/>
              <w:textAlignment w:val="center"/>
              <w:rPr>
                <w:sz w:val="21"/>
                <w:szCs w:val="21"/>
              </w:rPr>
            </w:pPr>
            <w:r>
              <w:rPr>
                <w:rFonts w:hint="eastAsia" w:cs="宋体"/>
                <w:sz w:val="21"/>
                <w:szCs w:val="22"/>
                <w:lang w:bidi="ar"/>
              </w:rPr>
              <w:t>0.047545</w:t>
            </w:r>
          </w:p>
        </w:tc>
        <w:tc>
          <w:tcPr>
            <w:tcW w:w="1936" w:type="dxa"/>
            <w:tcBorders>
              <w:tl2br w:val="nil"/>
              <w:tr2bl w:val="nil"/>
            </w:tcBorders>
            <w:vAlign w:val="center"/>
          </w:tcPr>
          <w:p w14:paraId="28C9CABA">
            <w:pPr>
              <w:widowControl/>
              <w:ind w:firstLine="0" w:firstLineChars="0"/>
              <w:jc w:val="center"/>
              <w:textAlignment w:val="center"/>
              <w:rPr>
                <w:sz w:val="21"/>
                <w:szCs w:val="21"/>
              </w:rPr>
            </w:pPr>
            <w:r>
              <w:rPr>
                <w:rFonts w:hint="eastAsia" w:cs="宋体"/>
                <w:sz w:val="21"/>
                <w:szCs w:val="22"/>
                <w:lang w:bidi="ar"/>
              </w:rPr>
              <w:t>0.001759</w:t>
            </w:r>
          </w:p>
        </w:tc>
        <w:tc>
          <w:tcPr>
            <w:tcW w:w="1619" w:type="dxa"/>
            <w:tcBorders>
              <w:tl2br w:val="nil"/>
              <w:tr2bl w:val="nil"/>
            </w:tcBorders>
            <w:vAlign w:val="center"/>
          </w:tcPr>
          <w:p w14:paraId="60730E12">
            <w:pPr>
              <w:widowControl/>
              <w:ind w:firstLine="0" w:firstLineChars="0"/>
              <w:jc w:val="center"/>
              <w:textAlignment w:val="center"/>
              <w:rPr>
                <w:sz w:val="21"/>
                <w:szCs w:val="21"/>
              </w:rPr>
            </w:pPr>
            <w:r>
              <w:rPr>
                <w:rFonts w:hint="eastAsia" w:cs="宋体"/>
                <w:sz w:val="21"/>
                <w:szCs w:val="22"/>
                <w:lang w:bidi="ar"/>
              </w:rPr>
              <w:t>0.01759</w:t>
            </w:r>
          </w:p>
        </w:tc>
      </w:tr>
      <w:tr w14:paraId="0378D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5ED2F6C7">
            <w:pPr>
              <w:ind w:firstLine="0" w:firstLineChars="0"/>
              <w:jc w:val="center"/>
              <w:rPr>
                <w:sz w:val="21"/>
                <w:szCs w:val="21"/>
              </w:rPr>
            </w:pPr>
            <w:r>
              <w:rPr>
                <w:sz w:val="21"/>
                <w:szCs w:val="21"/>
              </w:rPr>
              <w:t>20</w:t>
            </w:r>
          </w:p>
        </w:tc>
        <w:tc>
          <w:tcPr>
            <w:tcW w:w="1265" w:type="dxa"/>
            <w:tcBorders>
              <w:tl2br w:val="nil"/>
              <w:tr2bl w:val="nil"/>
            </w:tcBorders>
            <w:vAlign w:val="center"/>
          </w:tcPr>
          <w:p w14:paraId="5E52088F">
            <w:pPr>
              <w:widowControl/>
              <w:ind w:firstLine="0" w:firstLineChars="0"/>
              <w:jc w:val="center"/>
              <w:textAlignment w:val="center"/>
              <w:rPr>
                <w:sz w:val="21"/>
                <w:szCs w:val="21"/>
              </w:rPr>
            </w:pPr>
            <w:r>
              <w:rPr>
                <w:rFonts w:hint="eastAsia" w:cs="宋体"/>
                <w:sz w:val="21"/>
                <w:szCs w:val="22"/>
                <w:lang w:bidi="ar"/>
              </w:rPr>
              <w:t>2000</w:t>
            </w:r>
          </w:p>
        </w:tc>
        <w:tc>
          <w:tcPr>
            <w:tcW w:w="1934" w:type="dxa"/>
            <w:tcBorders>
              <w:tl2br w:val="nil"/>
              <w:tr2bl w:val="nil"/>
            </w:tcBorders>
            <w:vAlign w:val="center"/>
          </w:tcPr>
          <w:p w14:paraId="0C1F2EBE">
            <w:pPr>
              <w:widowControl/>
              <w:ind w:firstLine="0" w:firstLineChars="0"/>
              <w:jc w:val="center"/>
              <w:textAlignment w:val="center"/>
              <w:rPr>
                <w:sz w:val="21"/>
                <w:szCs w:val="21"/>
              </w:rPr>
            </w:pPr>
            <w:r>
              <w:rPr>
                <w:rFonts w:hint="eastAsia" w:cs="宋体"/>
                <w:sz w:val="21"/>
                <w:szCs w:val="22"/>
                <w:lang w:bidi="ar"/>
              </w:rPr>
              <w:t>0.09365</w:t>
            </w:r>
          </w:p>
        </w:tc>
        <w:tc>
          <w:tcPr>
            <w:tcW w:w="1774" w:type="dxa"/>
            <w:tcBorders>
              <w:tl2br w:val="nil"/>
              <w:tr2bl w:val="nil"/>
            </w:tcBorders>
            <w:vAlign w:val="center"/>
          </w:tcPr>
          <w:p w14:paraId="2350EBDE">
            <w:pPr>
              <w:widowControl/>
              <w:ind w:firstLine="0" w:firstLineChars="0"/>
              <w:jc w:val="center"/>
              <w:textAlignment w:val="center"/>
              <w:rPr>
                <w:sz w:val="21"/>
                <w:szCs w:val="21"/>
              </w:rPr>
            </w:pPr>
            <w:r>
              <w:rPr>
                <w:rFonts w:hint="eastAsia" w:cs="宋体"/>
                <w:sz w:val="21"/>
                <w:szCs w:val="22"/>
                <w:lang w:bidi="ar"/>
              </w:rPr>
              <w:t>0.046825</w:t>
            </w:r>
          </w:p>
        </w:tc>
        <w:tc>
          <w:tcPr>
            <w:tcW w:w="1936" w:type="dxa"/>
            <w:tcBorders>
              <w:tl2br w:val="nil"/>
              <w:tr2bl w:val="nil"/>
            </w:tcBorders>
            <w:vAlign w:val="center"/>
          </w:tcPr>
          <w:p w14:paraId="72756A01">
            <w:pPr>
              <w:widowControl/>
              <w:ind w:firstLine="0" w:firstLineChars="0"/>
              <w:jc w:val="center"/>
              <w:textAlignment w:val="center"/>
              <w:rPr>
                <w:sz w:val="21"/>
                <w:szCs w:val="21"/>
              </w:rPr>
            </w:pPr>
            <w:r>
              <w:rPr>
                <w:rFonts w:hint="eastAsia" w:cs="宋体"/>
                <w:sz w:val="21"/>
                <w:szCs w:val="22"/>
                <w:lang w:bidi="ar"/>
              </w:rPr>
              <w:t>0.001735</w:t>
            </w:r>
          </w:p>
        </w:tc>
        <w:tc>
          <w:tcPr>
            <w:tcW w:w="1619" w:type="dxa"/>
            <w:tcBorders>
              <w:tl2br w:val="nil"/>
              <w:tr2bl w:val="nil"/>
            </w:tcBorders>
            <w:vAlign w:val="center"/>
          </w:tcPr>
          <w:p w14:paraId="1D7097B6">
            <w:pPr>
              <w:widowControl/>
              <w:ind w:firstLine="0" w:firstLineChars="0"/>
              <w:jc w:val="center"/>
              <w:textAlignment w:val="center"/>
              <w:rPr>
                <w:sz w:val="21"/>
                <w:szCs w:val="21"/>
              </w:rPr>
            </w:pPr>
            <w:r>
              <w:rPr>
                <w:rFonts w:hint="eastAsia" w:cs="宋体"/>
                <w:sz w:val="21"/>
                <w:szCs w:val="22"/>
                <w:lang w:bidi="ar"/>
              </w:rPr>
              <w:t>0.01735</w:t>
            </w:r>
          </w:p>
        </w:tc>
      </w:tr>
      <w:tr w14:paraId="56018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4D0DA210">
            <w:pPr>
              <w:ind w:firstLine="0" w:firstLineChars="0"/>
              <w:jc w:val="center"/>
              <w:rPr>
                <w:sz w:val="21"/>
                <w:szCs w:val="21"/>
              </w:rPr>
            </w:pPr>
            <w:r>
              <w:rPr>
                <w:sz w:val="21"/>
                <w:szCs w:val="21"/>
              </w:rPr>
              <w:t>21</w:t>
            </w:r>
          </w:p>
        </w:tc>
        <w:tc>
          <w:tcPr>
            <w:tcW w:w="1265" w:type="dxa"/>
            <w:tcBorders>
              <w:tl2br w:val="nil"/>
              <w:tr2bl w:val="nil"/>
            </w:tcBorders>
            <w:vAlign w:val="center"/>
          </w:tcPr>
          <w:p w14:paraId="1F0F2498">
            <w:pPr>
              <w:widowControl/>
              <w:ind w:firstLine="0" w:firstLineChars="0"/>
              <w:jc w:val="center"/>
              <w:textAlignment w:val="center"/>
              <w:rPr>
                <w:sz w:val="21"/>
                <w:szCs w:val="21"/>
              </w:rPr>
            </w:pPr>
            <w:r>
              <w:rPr>
                <w:rFonts w:hint="eastAsia" w:cs="宋体"/>
                <w:sz w:val="21"/>
                <w:szCs w:val="22"/>
                <w:lang w:bidi="ar"/>
              </w:rPr>
              <w:t>2100</w:t>
            </w:r>
          </w:p>
        </w:tc>
        <w:tc>
          <w:tcPr>
            <w:tcW w:w="1934" w:type="dxa"/>
            <w:tcBorders>
              <w:tl2br w:val="nil"/>
              <w:tr2bl w:val="nil"/>
            </w:tcBorders>
            <w:vAlign w:val="center"/>
          </w:tcPr>
          <w:p w14:paraId="22FB9A76">
            <w:pPr>
              <w:widowControl/>
              <w:ind w:firstLine="0" w:firstLineChars="0"/>
              <w:jc w:val="center"/>
              <w:textAlignment w:val="center"/>
              <w:rPr>
                <w:sz w:val="21"/>
                <w:szCs w:val="21"/>
              </w:rPr>
            </w:pPr>
            <w:r>
              <w:rPr>
                <w:rFonts w:hint="eastAsia" w:cs="宋体"/>
                <w:sz w:val="21"/>
                <w:szCs w:val="22"/>
                <w:lang w:bidi="ar"/>
              </w:rPr>
              <w:t>0.0921</w:t>
            </w:r>
          </w:p>
        </w:tc>
        <w:tc>
          <w:tcPr>
            <w:tcW w:w="1774" w:type="dxa"/>
            <w:tcBorders>
              <w:tl2br w:val="nil"/>
              <w:tr2bl w:val="nil"/>
            </w:tcBorders>
            <w:vAlign w:val="center"/>
          </w:tcPr>
          <w:p w14:paraId="29616009">
            <w:pPr>
              <w:widowControl/>
              <w:ind w:firstLine="0" w:firstLineChars="0"/>
              <w:jc w:val="center"/>
              <w:textAlignment w:val="center"/>
              <w:rPr>
                <w:sz w:val="21"/>
                <w:szCs w:val="21"/>
              </w:rPr>
            </w:pPr>
            <w:r>
              <w:rPr>
                <w:rFonts w:hint="eastAsia" w:cs="宋体"/>
                <w:sz w:val="21"/>
                <w:szCs w:val="22"/>
                <w:lang w:bidi="ar"/>
              </w:rPr>
              <w:t>0.04605</w:t>
            </w:r>
          </w:p>
        </w:tc>
        <w:tc>
          <w:tcPr>
            <w:tcW w:w="1936" w:type="dxa"/>
            <w:tcBorders>
              <w:tl2br w:val="nil"/>
              <w:tr2bl w:val="nil"/>
            </w:tcBorders>
            <w:vAlign w:val="center"/>
          </w:tcPr>
          <w:p w14:paraId="17ADF178">
            <w:pPr>
              <w:widowControl/>
              <w:ind w:firstLine="0" w:firstLineChars="0"/>
              <w:jc w:val="center"/>
              <w:textAlignment w:val="center"/>
              <w:rPr>
                <w:sz w:val="21"/>
                <w:szCs w:val="21"/>
              </w:rPr>
            </w:pPr>
            <w:r>
              <w:rPr>
                <w:rFonts w:hint="eastAsia" w:cs="宋体"/>
                <w:sz w:val="21"/>
                <w:szCs w:val="22"/>
                <w:lang w:bidi="ar"/>
              </w:rPr>
              <w:t>0.001709</w:t>
            </w:r>
          </w:p>
        </w:tc>
        <w:tc>
          <w:tcPr>
            <w:tcW w:w="1619" w:type="dxa"/>
            <w:tcBorders>
              <w:tl2br w:val="nil"/>
              <w:tr2bl w:val="nil"/>
            </w:tcBorders>
            <w:vAlign w:val="center"/>
          </w:tcPr>
          <w:p w14:paraId="071544EA">
            <w:pPr>
              <w:widowControl/>
              <w:ind w:firstLine="0" w:firstLineChars="0"/>
              <w:jc w:val="center"/>
              <w:textAlignment w:val="center"/>
              <w:rPr>
                <w:sz w:val="21"/>
                <w:szCs w:val="21"/>
              </w:rPr>
            </w:pPr>
            <w:r>
              <w:rPr>
                <w:rFonts w:hint="eastAsia" w:cs="宋体"/>
                <w:sz w:val="21"/>
                <w:szCs w:val="22"/>
                <w:lang w:bidi="ar"/>
              </w:rPr>
              <w:t>0.01709</w:t>
            </w:r>
          </w:p>
        </w:tc>
      </w:tr>
      <w:tr w14:paraId="1B74F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tcBorders>
              <w:tl2br w:val="nil"/>
              <w:tr2bl w:val="nil"/>
            </w:tcBorders>
            <w:vAlign w:val="center"/>
          </w:tcPr>
          <w:p w14:paraId="12BCD01C">
            <w:pPr>
              <w:ind w:firstLine="0" w:firstLineChars="0"/>
              <w:jc w:val="center"/>
              <w:rPr>
                <w:sz w:val="21"/>
                <w:szCs w:val="21"/>
              </w:rPr>
            </w:pPr>
            <w:r>
              <w:rPr>
                <w:sz w:val="21"/>
                <w:szCs w:val="21"/>
              </w:rPr>
              <w:t>22</w:t>
            </w:r>
          </w:p>
        </w:tc>
        <w:tc>
          <w:tcPr>
            <w:tcW w:w="1265" w:type="dxa"/>
            <w:tcBorders>
              <w:tl2br w:val="nil"/>
              <w:tr2bl w:val="nil"/>
            </w:tcBorders>
            <w:vAlign w:val="center"/>
          </w:tcPr>
          <w:p w14:paraId="70886FE0">
            <w:pPr>
              <w:widowControl/>
              <w:ind w:firstLine="0" w:firstLineChars="0"/>
              <w:jc w:val="center"/>
              <w:textAlignment w:val="center"/>
              <w:rPr>
                <w:sz w:val="21"/>
                <w:szCs w:val="21"/>
              </w:rPr>
            </w:pPr>
            <w:r>
              <w:rPr>
                <w:rFonts w:hint="eastAsia" w:cs="宋体"/>
                <w:sz w:val="21"/>
                <w:szCs w:val="22"/>
                <w:lang w:bidi="ar"/>
              </w:rPr>
              <w:t>2300</w:t>
            </w:r>
          </w:p>
        </w:tc>
        <w:tc>
          <w:tcPr>
            <w:tcW w:w="1934" w:type="dxa"/>
            <w:tcBorders>
              <w:tl2br w:val="nil"/>
              <w:tr2bl w:val="nil"/>
            </w:tcBorders>
            <w:vAlign w:val="center"/>
          </w:tcPr>
          <w:p w14:paraId="3D38DCEF">
            <w:pPr>
              <w:widowControl/>
              <w:ind w:firstLine="0" w:firstLineChars="0"/>
              <w:jc w:val="center"/>
              <w:textAlignment w:val="center"/>
              <w:rPr>
                <w:sz w:val="21"/>
                <w:szCs w:val="21"/>
              </w:rPr>
            </w:pPr>
            <w:r>
              <w:rPr>
                <w:rFonts w:hint="eastAsia" w:cs="宋体"/>
                <w:sz w:val="21"/>
                <w:szCs w:val="22"/>
                <w:lang w:bidi="ar"/>
              </w:rPr>
              <w:t>0.08882</w:t>
            </w:r>
          </w:p>
        </w:tc>
        <w:tc>
          <w:tcPr>
            <w:tcW w:w="1774" w:type="dxa"/>
            <w:tcBorders>
              <w:tl2br w:val="nil"/>
              <w:tr2bl w:val="nil"/>
            </w:tcBorders>
            <w:vAlign w:val="center"/>
          </w:tcPr>
          <w:p w14:paraId="4980A0B4">
            <w:pPr>
              <w:widowControl/>
              <w:ind w:firstLine="0" w:firstLineChars="0"/>
              <w:jc w:val="center"/>
              <w:textAlignment w:val="center"/>
              <w:rPr>
                <w:sz w:val="21"/>
                <w:szCs w:val="21"/>
              </w:rPr>
            </w:pPr>
            <w:r>
              <w:rPr>
                <w:rFonts w:hint="eastAsia" w:cs="宋体"/>
                <w:sz w:val="21"/>
                <w:szCs w:val="22"/>
                <w:lang w:bidi="ar"/>
              </w:rPr>
              <w:t>0.04441</w:t>
            </w:r>
          </w:p>
        </w:tc>
        <w:tc>
          <w:tcPr>
            <w:tcW w:w="1936" w:type="dxa"/>
            <w:tcBorders>
              <w:tl2br w:val="nil"/>
              <w:tr2bl w:val="nil"/>
            </w:tcBorders>
            <w:vAlign w:val="center"/>
          </w:tcPr>
          <w:p w14:paraId="66A1F819">
            <w:pPr>
              <w:widowControl/>
              <w:ind w:firstLine="0" w:firstLineChars="0"/>
              <w:jc w:val="center"/>
              <w:textAlignment w:val="center"/>
              <w:rPr>
                <w:sz w:val="21"/>
                <w:szCs w:val="21"/>
              </w:rPr>
            </w:pPr>
            <w:r>
              <w:rPr>
                <w:rFonts w:hint="eastAsia" w:cs="宋体"/>
                <w:sz w:val="21"/>
                <w:szCs w:val="22"/>
                <w:lang w:bidi="ar"/>
              </w:rPr>
              <w:t>0.001681</w:t>
            </w:r>
          </w:p>
        </w:tc>
        <w:tc>
          <w:tcPr>
            <w:tcW w:w="1619" w:type="dxa"/>
            <w:tcBorders>
              <w:tl2br w:val="nil"/>
              <w:tr2bl w:val="nil"/>
            </w:tcBorders>
            <w:vAlign w:val="center"/>
          </w:tcPr>
          <w:p w14:paraId="6EB7C7B2">
            <w:pPr>
              <w:widowControl/>
              <w:ind w:firstLine="0" w:firstLineChars="0"/>
              <w:jc w:val="center"/>
              <w:textAlignment w:val="center"/>
              <w:rPr>
                <w:sz w:val="21"/>
                <w:szCs w:val="21"/>
              </w:rPr>
            </w:pPr>
            <w:r>
              <w:rPr>
                <w:rFonts w:hint="eastAsia" w:cs="宋体"/>
                <w:sz w:val="21"/>
                <w:szCs w:val="22"/>
                <w:lang w:bidi="ar"/>
              </w:rPr>
              <w:t>0.01681</w:t>
            </w:r>
          </w:p>
        </w:tc>
      </w:tr>
      <w:tr w14:paraId="14A31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tcBorders>
              <w:tl2br w:val="nil"/>
              <w:tr2bl w:val="nil"/>
            </w:tcBorders>
            <w:vAlign w:val="center"/>
          </w:tcPr>
          <w:p w14:paraId="715E7114">
            <w:pPr>
              <w:ind w:firstLine="0" w:firstLineChars="0"/>
              <w:jc w:val="center"/>
              <w:rPr>
                <w:sz w:val="21"/>
                <w:szCs w:val="21"/>
              </w:rPr>
            </w:pPr>
            <w:r>
              <w:rPr>
                <w:sz w:val="21"/>
                <w:szCs w:val="21"/>
              </w:rPr>
              <w:t>23</w:t>
            </w:r>
          </w:p>
        </w:tc>
        <w:tc>
          <w:tcPr>
            <w:tcW w:w="1265" w:type="dxa"/>
            <w:tcBorders>
              <w:tl2br w:val="nil"/>
              <w:tr2bl w:val="nil"/>
            </w:tcBorders>
            <w:vAlign w:val="center"/>
          </w:tcPr>
          <w:p w14:paraId="4F250D97">
            <w:pPr>
              <w:widowControl/>
              <w:ind w:firstLine="0" w:firstLineChars="0"/>
              <w:jc w:val="center"/>
              <w:textAlignment w:val="center"/>
              <w:rPr>
                <w:sz w:val="21"/>
                <w:szCs w:val="21"/>
              </w:rPr>
            </w:pPr>
            <w:r>
              <w:rPr>
                <w:rFonts w:hint="eastAsia" w:cs="宋体"/>
                <w:sz w:val="21"/>
                <w:szCs w:val="22"/>
                <w:lang w:bidi="ar"/>
              </w:rPr>
              <w:t>2500</w:t>
            </w:r>
          </w:p>
        </w:tc>
        <w:tc>
          <w:tcPr>
            <w:tcW w:w="1934" w:type="dxa"/>
            <w:tcBorders>
              <w:tl2br w:val="nil"/>
              <w:tr2bl w:val="nil"/>
            </w:tcBorders>
            <w:vAlign w:val="center"/>
          </w:tcPr>
          <w:p w14:paraId="5B874779">
            <w:pPr>
              <w:widowControl/>
              <w:ind w:firstLine="0" w:firstLineChars="0"/>
              <w:jc w:val="center"/>
              <w:textAlignment w:val="center"/>
              <w:rPr>
                <w:sz w:val="21"/>
                <w:szCs w:val="21"/>
              </w:rPr>
            </w:pPr>
            <w:r>
              <w:rPr>
                <w:rFonts w:hint="eastAsia" w:cs="宋体"/>
                <w:sz w:val="21"/>
                <w:szCs w:val="22"/>
                <w:lang w:bidi="ar"/>
              </w:rPr>
              <w:t>0.08546</w:t>
            </w:r>
          </w:p>
        </w:tc>
        <w:tc>
          <w:tcPr>
            <w:tcW w:w="1774" w:type="dxa"/>
            <w:tcBorders>
              <w:tl2br w:val="nil"/>
              <w:tr2bl w:val="nil"/>
            </w:tcBorders>
            <w:vAlign w:val="center"/>
          </w:tcPr>
          <w:p w14:paraId="6FCDE331">
            <w:pPr>
              <w:widowControl/>
              <w:ind w:firstLine="0" w:firstLineChars="0"/>
              <w:jc w:val="center"/>
              <w:textAlignment w:val="center"/>
              <w:rPr>
                <w:sz w:val="21"/>
                <w:szCs w:val="21"/>
              </w:rPr>
            </w:pPr>
            <w:r>
              <w:rPr>
                <w:rFonts w:hint="eastAsia" w:cs="宋体"/>
                <w:sz w:val="21"/>
                <w:szCs w:val="22"/>
                <w:lang w:bidi="ar"/>
              </w:rPr>
              <w:t>0.04273</w:t>
            </w:r>
          </w:p>
        </w:tc>
        <w:tc>
          <w:tcPr>
            <w:tcW w:w="1936" w:type="dxa"/>
            <w:tcBorders>
              <w:tl2br w:val="nil"/>
              <w:tr2bl w:val="nil"/>
            </w:tcBorders>
            <w:vAlign w:val="center"/>
          </w:tcPr>
          <w:p w14:paraId="4891C0C4">
            <w:pPr>
              <w:widowControl/>
              <w:ind w:firstLine="0" w:firstLineChars="0"/>
              <w:jc w:val="center"/>
              <w:textAlignment w:val="center"/>
              <w:rPr>
                <w:sz w:val="21"/>
                <w:szCs w:val="21"/>
              </w:rPr>
            </w:pPr>
            <w:r>
              <w:rPr>
                <w:rFonts w:hint="eastAsia" w:cs="宋体"/>
                <w:sz w:val="21"/>
                <w:szCs w:val="22"/>
                <w:lang w:bidi="ar"/>
              </w:rPr>
              <w:t>0.001651</w:t>
            </w:r>
          </w:p>
        </w:tc>
        <w:tc>
          <w:tcPr>
            <w:tcW w:w="1619" w:type="dxa"/>
            <w:tcBorders>
              <w:tl2br w:val="nil"/>
              <w:tr2bl w:val="nil"/>
            </w:tcBorders>
            <w:vAlign w:val="center"/>
          </w:tcPr>
          <w:p w14:paraId="1A9D03AF">
            <w:pPr>
              <w:widowControl/>
              <w:ind w:firstLine="0" w:firstLineChars="0"/>
              <w:jc w:val="center"/>
              <w:textAlignment w:val="center"/>
              <w:rPr>
                <w:sz w:val="21"/>
                <w:szCs w:val="21"/>
              </w:rPr>
            </w:pPr>
            <w:r>
              <w:rPr>
                <w:rFonts w:hint="eastAsia" w:cs="宋体"/>
                <w:sz w:val="21"/>
                <w:szCs w:val="22"/>
                <w:lang w:bidi="ar"/>
              </w:rPr>
              <w:t>0.01651</w:t>
            </w:r>
          </w:p>
        </w:tc>
      </w:tr>
      <w:tr w14:paraId="0A3F2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425" w:type="pct"/>
            <w:tcBorders>
              <w:tl2br w:val="nil"/>
              <w:tr2bl w:val="nil"/>
            </w:tcBorders>
            <w:vAlign w:val="center"/>
          </w:tcPr>
          <w:p w14:paraId="5034F1FC">
            <w:pPr>
              <w:ind w:firstLine="0" w:firstLineChars="0"/>
              <w:jc w:val="center"/>
              <w:rPr>
                <w:sz w:val="21"/>
                <w:szCs w:val="21"/>
              </w:rPr>
            </w:pPr>
            <w:r>
              <w:rPr>
                <w:sz w:val="21"/>
                <w:szCs w:val="21"/>
              </w:rPr>
              <w:t>24</w:t>
            </w:r>
          </w:p>
        </w:tc>
        <w:tc>
          <w:tcPr>
            <w:tcW w:w="1265" w:type="dxa"/>
            <w:tcBorders>
              <w:tl2br w:val="nil"/>
              <w:tr2bl w:val="nil"/>
            </w:tcBorders>
            <w:vAlign w:val="center"/>
          </w:tcPr>
          <w:p w14:paraId="1A342D9C">
            <w:pPr>
              <w:widowControl/>
              <w:ind w:firstLine="0" w:firstLineChars="0"/>
              <w:jc w:val="center"/>
              <w:textAlignment w:val="center"/>
              <w:rPr>
                <w:sz w:val="21"/>
                <w:szCs w:val="21"/>
              </w:rPr>
            </w:pPr>
            <w:r>
              <w:rPr>
                <w:rFonts w:hint="eastAsia" w:cs="宋体"/>
                <w:sz w:val="21"/>
                <w:szCs w:val="22"/>
                <w:lang w:bidi="ar"/>
              </w:rPr>
              <w:t>50</w:t>
            </w:r>
          </w:p>
        </w:tc>
        <w:tc>
          <w:tcPr>
            <w:tcW w:w="1934" w:type="dxa"/>
            <w:tcBorders>
              <w:tl2br w:val="nil"/>
              <w:tr2bl w:val="nil"/>
            </w:tcBorders>
            <w:vAlign w:val="center"/>
          </w:tcPr>
          <w:p w14:paraId="5EC68413">
            <w:pPr>
              <w:widowControl/>
              <w:ind w:firstLine="0" w:firstLineChars="0"/>
              <w:jc w:val="center"/>
              <w:textAlignment w:val="center"/>
              <w:rPr>
                <w:sz w:val="21"/>
                <w:szCs w:val="21"/>
              </w:rPr>
            </w:pPr>
            <w:r>
              <w:rPr>
                <w:rFonts w:hint="eastAsia" w:cs="宋体"/>
                <w:sz w:val="21"/>
                <w:szCs w:val="22"/>
                <w:lang w:bidi="ar"/>
              </w:rPr>
              <w:t>0.5749</w:t>
            </w:r>
          </w:p>
        </w:tc>
        <w:tc>
          <w:tcPr>
            <w:tcW w:w="1774" w:type="dxa"/>
            <w:tcBorders>
              <w:tl2br w:val="nil"/>
              <w:tr2bl w:val="nil"/>
            </w:tcBorders>
            <w:vAlign w:val="center"/>
          </w:tcPr>
          <w:p w14:paraId="00C5B4E8">
            <w:pPr>
              <w:widowControl/>
              <w:ind w:firstLine="0" w:firstLineChars="0"/>
              <w:jc w:val="center"/>
              <w:textAlignment w:val="center"/>
              <w:rPr>
                <w:sz w:val="21"/>
                <w:szCs w:val="21"/>
              </w:rPr>
            </w:pPr>
            <w:r>
              <w:rPr>
                <w:rFonts w:hint="eastAsia" w:cs="宋体"/>
                <w:sz w:val="21"/>
                <w:szCs w:val="22"/>
                <w:lang w:bidi="ar"/>
              </w:rPr>
              <w:t>0.28745</w:t>
            </w:r>
          </w:p>
        </w:tc>
        <w:tc>
          <w:tcPr>
            <w:tcW w:w="1936" w:type="dxa"/>
            <w:tcBorders>
              <w:tl2br w:val="nil"/>
              <w:tr2bl w:val="nil"/>
            </w:tcBorders>
            <w:vAlign w:val="center"/>
          </w:tcPr>
          <w:p w14:paraId="3BB9E041">
            <w:pPr>
              <w:widowControl/>
              <w:ind w:firstLine="0" w:firstLineChars="0"/>
              <w:jc w:val="center"/>
              <w:textAlignment w:val="center"/>
              <w:rPr>
                <w:sz w:val="21"/>
                <w:szCs w:val="21"/>
              </w:rPr>
            </w:pPr>
            <w:r>
              <w:rPr>
                <w:rFonts w:hint="eastAsia" w:cs="宋体"/>
                <w:sz w:val="21"/>
                <w:szCs w:val="22"/>
                <w:lang w:bidi="ar"/>
              </w:rPr>
              <w:t>0.001621</w:t>
            </w:r>
          </w:p>
        </w:tc>
        <w:tc>
          <w:tcPr>
            <w:tcW w:w="1619" w:type="dxa"/>
            <w:tcBorders>
              <w:tl2br w:val="nil"/>
              <w:tr2bl w:val="nil"/>
            </w:tcBorders>
            <w:vAlign w:val="center"/>
          </w:tcPr>
          <w:p w14:paraId="64DCEB63">
            <w:pPr>
              <w:widowControl/>
              <w:ind w:firstLine="0" w:firstLineChars="0"/>
              <w:jc w:val="center"/>
              <w:textAlignment w:val="center"/>
              <w:rPr>
                <w:sz w:val="21"/>
                <w:szCs w:val="21"/>
              </w:rPr>
            </w:pPr>
            <w:r>
              <w:rPr>
                <w:rFonts w:hint="eastAsia" w:cs="宋体"/>
                <w:sz w:val="21"/>
                <w:szCs w:val="22"/>
                <w:lang w:bidi="ar"/>
              </w:rPr>
              <w:t>0.01621</w:t>
            </w:r>
          </w:p>
        </w:tc>
      </w:tr>
      <w:tr w14:paraId="6B121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34FEAEC5">
            <w:pPr>
              <w:ind w:firstLine="0" w:firstLineChars="0"/>
              <w:jc w:val="center"/>
              <w:rPr>
                <w:sz w:val="21"/>
                <w:szCs w:val="21"/>
              </w:rPr>
            </w:pPr>
            <w:r>
              <w:rPr>
                <w:sz w:val="21"/>
                <w:szCs w:val="21"/>
              </w:rPr>
              <w:t>25</w:t>
            </w:r>
          </w:p>
        </w:tc>
        <w:tc>
          <w:tcPr>
            <w:tcW w:w="1265" w:type="dxa"/>
            <w:tcBorders>
              <w:tl2br w:val="nil"/>
              <w:tr2bl w:val="nil"/>
            </w:tcBorders>
            <w:vAlign w:val="center"/>
          </w:tcPr>
          <w:p w14:paraId="2983897E">
            <w:pPr>
              <w:widowControl/>
              <w:ind w:firstLine="0" w:firstLineChars="0"/>
              <w:jc w:val="center"/>
              <w:textAlignment w:val="center"/>
              <w:rPr>
                <w:sz w:val="21"/>
                <w:szCs w:val="21"/>
              </w:rPr>
            </w:pPr>
            <w:r>
              <w:rPr>
                <w:rFonts w:hint="eastAsia" w:cs="宋体"/>
                <w:sz w:val="21"/>
                <w:szCs w:val="22"/>
                <w:lang w:bidi="ar"/>
              </w:rPr>
              <w:t>71</w:t>
            </w:r>
          </w:p>
        </w:tc>
        <w:tc>
          <w:tcPr>
            <w:tcW w:w="1934" w:type="dxa"/>
            <w:tcBorders>
              <w:tl2br w:val="nil"/>
              <w:tr2bl w:val="nil"/>
            </w:tcBorders>
            <w:vAlign w:val="center"/>
          </w:tcPr>
          <w:p w14:paraId="363E7D04">
            <w:pPr>
              <w:widowControl/>
              <w:ind w:firstLine="0" w:firstLineChars="0"/>
              <w:jc w:val="center"/>
              <w:textAlignment w:val="center"/>
              <w:rPr>
                <w:sz w:val="21"/>
                <w:szCs w:val="21"/>
              </w:rPr>
            </w:pPr>
            <w:r>
              <w:rPr>
                <w:rFonts w:hint="eastAsia" w:cs="宋体"/>
                <w:sz w:val="21"/>
                <w:szCs w:val="22"/>
                <w:lang w:bidi="ar"/>
              </w:rPr>
              <w:t>0.629</w:t>
            </w:r>
          </w:p>
        </w:tc>
        <w:tc>
          <w:tcPr>
            <w:tcW w:w="1774" w:type="dxa"/>
            <w:tcBorders>
              <w:tl2br w:val="nil"/>
              <w:tr2bl w:val="nil"/>
            </w:tcBorders>
            <w:vAlign w:val="center"/>
          </w:tcPr>
          <w:p w14:paraId="164EDEEB">
            <w:pPr>
              <w:widowControl/>
              <w:ind w:firstLine="0" w:firstLineChars="0"/>
              <w:jc w:val="center"/>
              <w:textAlignment w:val="center"/>
              <w:rPr>
                <w:sz w:val="21"/>
                <w:szCs w:val="21"/>
              </w:rPr>
            </w:pPr>
            <w:r>
              <w:rPr>
                <w:rFonts w:hint="eastAsia" w:cs="宋体"/>
                <w:sz w:val="21"/>
                <w:szCs w:val="22"/>
                <w:lang w:bidi="ar"/>
              </w:rPr>
              <w:t>0.3145</w:t>
            </w:r>
          </w:p>
        </w:tc>
        <w:tc>
          <w:tcPr>
            <w:tcW w:w="1936" w:type="dxa"/>
            <w:tcBorders>
              <w:tl2br w:val="nil"/>
              <w:tr2bl w:val="nil"/>
            </w:tcBorders>
            <w:vAlign w:val="center"/>
          </w:tcPr>
          <w:p w14:paraId="6ACA9664">
            <w:pPr>
              <w:widowControl/>
              <w:ind w:firstLine="0" w:firstLineChars="0"/>
              <w:jc w:val="center"/>
              <w:textAlignment w:val="center"/>
              <w:rPr>
                <w:sz w:val="21"/>
                <w:szCs w:val="21"/>
              </w:rPr>
            </w:pPr>
            <w:r>
              <w:rPr>
                <w:rFonts w:hint="eastAsia" w:cs="宋体"/>
                <w:sz w:val="21"/>
                <w:szCs w:val="22"/>
                <w:lang w:bidi="ar"/>
              </w:rPr>
              <w:t>0.00159</w:t>
            </w:r>
          </w:p>
        </w:tc>
        <w:tc>
          <w:tcPr>
            <w:tcW w:w="1619" w:type="dxa"/>
            <w:tcBorders>
              <w:tl2br w:val="nil"/>
              <w:tr2bl w:val="nil"/>
            </w:tcBorders>
            <w:vAlign w:val="center"/>
          </w:tcPr>
          <w:p w14:paraId="78F85CEE">
            <w:pPr>
              <w:widowControl/>
              <w:ind w:firstLine="0" w:firstLineChars="0"/>
              <w:jc w:val="center"/>
              <w:textAlignment w:val="center"/>
              <w:rPr>
                <w:sz w:val="21"/>
                <w:szCs w:val="21"/>
              </w:rPr>
            </w:pPr>
            <w:r>
              <w:rPr>
                <w:rFonts w:hint="eastAsia" w:cs="宋体"/>
                <w:sz w:val="21"/>
                <w:szCs w:val="22"/>
                <w:lang w:bidi="ar"/>
              </w:rPr>
              <w:t>0.0159</w:t>
            </w:r>
          </w:p>
        </w:tc>
      </w:tr>
      <w:tr w14:paraId="671F0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tcBorders>
              <w:tl2br w:val="nil"/>
              <w:tr2bl w:val="nil"/>
            </w:tcBorders>
            <w:vAlign w:val="center"/>
          </w:tcPr>
          <w:p w14:paraId="3035C6EB">
            <w:pPr>
              <w:ind w:firstLine="0" w:firstLineChars="0"/>
              <w:jc w:val="center"/>
              <w:rPr>
                <w:sz w:val="21"/>
                <w:szCs w:val="21"/>
              </w:rPr>
            </w:pPr>
            <w:r>
              <w:rPr>
                <w:sz w:val="21"/>
                <w:szCs w:val="21"/>
              </w:rPr>
              <w:t>26</w:t>
            </w:r>
          </w:p>
        </w:tc>
        <w:tc>
          <w:tcPr>
            <w:tcW w:w="1265" w:type="dxa"/>
            <w:tcBorders>
              <w:tl2br w:val="nil"/>
              <w:tr2bl w:val="nil"/>
            </w:tcBorders>
            <w:vAlign w:val="center"/>
          </w:tcPr>
          <w:p w14:paraId="1A1D001D">
            <w:pPr>
              <w:widowControl/>
              <w:ind w:firstLine="0" w:firstLineChars="0"/>
              <w:jc w:val="center"/>
              <w:textAlignment w:val="center"/>
              <w:rPr>
                <w:sz w:val="21"/>
                <w:szCs w:val="21"/>
              </w:rPr>
            </w:pPr>
            <w:r>
              <w:rPr>
                <w:rFonts w:hint="eastAsia" w:cs="宋体"/>
                <w:sz w:val="21"/>
                <w:szCs w:val="22"/>
                <w:lang w:bidi="ar"/>
              </w:rPr>
              <w:t>100</w:t>
            </w:r>
          </w:p>
        </w:tc>
        <w:tc>
          <w:tcPr>
            <w:tcW w:w="1934" w:type="dxa"/>
            <w:tcBorders>
              <w:tl2br w:val="nil"/>
              <w:tr2bl w:val="nil"/>
            </w:tcBorders>
            <w:vAlign w:val="center"/>
          </w:tcPr>
          <w:p w14:paraId="659A0ABC">
            <w:pPr>
              <w:widowControl/>
              <w:ind w:firstLine="0" w:firstLineChars="0"/>
              <w:jc w:val="center"/>
              <w:textAlignment w:val="center"/>
              <w:rPr>
                <w:sz w:val="21"/>
                <w:szCs w:val="21"/>
              </w:rPr>
            </w:pPr>
            <w:r>
              <w:rPr>
                <w:rFonts w:hint="eastAsia" w:cs="宋体"/>
                <w:sz w:val="21"/>
                <w:szCs w:val="22"/>
                <w:lang w:bidi="ar"/>
              </w:rPr>
              <w:t>0.5527</w:t>
            </w:r>
          </w:p>
        </w:tc>
        <w:tc>
          <w:tcPr>
            <w:tcW w:w="1774" w:type="dxa"/>
            <w:tcBorders>
              <w:tl2br w:val="nil"/>
              <w:tr2bl w:val="nil"/>
            </w:tcBorders>
            <w:vAlign w:val="center"/>
          </w:tcPr>
          <w:p w14:paraId="619AC2F5">
            <w:pPr>
              <w:widowControl/>
              <w:ind w:firstLine="0" w:firstLineChars="0"/>
              <w:jc w:val="center"/>
              <w:textAlignment w:val="center"/>
              <w:rPr>
                <w:sz w:val="21"/>
                <w:szCs w:val="21"/>
              </w:rPr>
            </w:pPr>
            <w:r>
              <w:rPr>
                <w:rFonts w:hint="eastAsia" w:cs="宋体"/>
                <w:sz w:val="21"/>
                <w:szCs w:val="22"/>
                <w:lang w:bidi="ar"/>
              </w:rPr>
              <w:t>0.27635</w:t>
            </w:r>
          </w:p>
        </w:tc>
        <w:tc>
          <w:tcPr>
            <w:tcW w:w="1936" w:type="dxa"/>
            <w:tcBorders>
              <w:tl2br w:val="nil"/>
              <w:tr2bl w:val="nil"/>
            </w:tcBorders>
            <w:vAlign w:val="center"/>
          </w:tcPr>
          <w:p w14:paraId="09362A17">
            <w:pPr>
              <w:widowControl/>
              <w:ind w:firstLine="0" w:firstLineChars="0"/>
              <w:jc w:val="center"/>
              <w:textAlignment w:val="center"/>
              <w:rPr>
                <w:sz w:val="21"/>
                <w:szCs w:val="21"/>
              </w:rPr>
            </w:pPr>
            <w:r>
              <w:rPr>
                <w:rFonts w:hint="eastAsia" w:cs="宋体"/>
                <w:sz w:val="21"/>
                <w:szCs w:val="22"/>
                <w:lang w:bidi="ar"/>
              </w:rPr>
              <w:t>0.001559</w:t>
            </w:r>
          </w:p>
        </w:tc>
        <w:tc>
          <w:tcPr>
            <w:tcW w:w="1619" w:type="dxa"/>
            <w:tcBorders>
              <w:tl2br w:val="nil"/>
              <w:tr2bl w:val="nil"/>
            </w:tcBorders>
            <w:vAlign w:val="center"/>
          </w:tcPr>
          <w:p w14:paraId="7DF97C35">
            <w:pPr>
              <w:widowControl/>
              <w:ind w:firstLine="0" w:firstLineChars="0"/>
              <w:jc w:val="center"/>
              <w:textAlignment w:val="center"/>
              <w:rPr>
                <w:sz w:val="21"/>
                <w:szCs w:val="21"/>
              </w:rPr>
            </w:pPr>
            <w:r>
              <w:rPr>
                <w:rFonts w:hint="eastAsia" w:cs="宋体"/>
                <w:sz w:val="21"/>
                <w:szCs w:val="22"/>
                <w:lang w:bidi="ar"/>
              </w:rPr>
              <w:t>0.01559</w:t>
            </w:r>
          </w:p>
        </w:tc>
      </w:tr>
      <w:tr w14:paraId="546B7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tcBorders>
              <w:tl2br w:val="nil"/>
              <w:tr2bl w:val="nil"/>
            </w:tcBorders>
            <w:vAlign w:val="center"/>
          </w:tcPr>
          <w:p w14:paraId="2C0AD686">
            <w:pPr>
              <w:ind w:firstLine="0" w:firstLineChars="0"/>
              <w:jc w:val="center"/>
              <w:rPr>
                <w:sz w:val="21"/>
                <w:szCs w:val="21"/>
              </w:rPr>
            </w:pPr>
            <w:r>
              <w:rPr>
                <w:sz w:val="21"/>
                <w:szCs w:val="21"/>
              </w:rPr>
              <w:t>27</w:t>
            </w:r>
          </w:p>
        </w:tc>
        <w:tc>
          <w:tcPr>
            <w:tcW w:w="1265" w:type="dxa"/>
            <w:tcBorders>
              <w:tl2br w:val="nil"/>
              <w:tr2bl w:val="nil"/>
            </w:tcBorders>
            <w:vAlign w:val="center"/>
          </w:tcPr>
          <w:p w14:paraId="36D4A1A8">
            <w:pPr>
              <w:widowControl/>
              <w:ind w:firstLine="0" w:firstLineChars="0"/>
              <w:jc w:val="center"/>
              <w:textAlignment w:val="center"/>
              <w:rPr>
                <w:sz w:val="21"/>
                <w:szCs w:val="21"/>
              </w:rPr>
            </w:pPr>
            <w:r>
              <w:rPr>
                <w:rFonts w:hint="eastAsia" w:cs="宋体"/>
                <w:sz w:val="21"/>
                <w:szCs w:val="22"/>
                <w:lang w:bidi="ar"/>
              </w:rPr>
              <w:t>200</w:t>
            </w:r>
          </w:p>
        </w:tc>
        <w:tc>
          <w:tcPr>
            <w:tcW w:w="1934" w:type="dxa"/>
            <w:tcBorders>
              <w:tl2br w:val="nil"/>
              <w:tr2bl w:val="nil"/>
            </w:tcBorders>
            <w:vAlign w:val="center"/>
          </w:tcPr>
          <w:p w14:paraId="164A6EBE">
            <w:pPr>
              <w:widowControl/>
              <w:ind w:firstLine="0" w:firstLineChars="0"/>
              <w:jc w:val="center"/>
              <w:textAlignment w:val="center"/>
              <w:rPr>
                <w:sz w:val="21"/>
                <w:szCs w:val="21"/>
              </w:rPr>
            </w:pPr>
            <w:r>
              <w:rPr>
                <w:rFonts w:hint="eastAsia" w:cs="宋体"/>
                <w:sz w:val="21"/>
                <w:szCs w:val="22"/>
                <w:lang w:bidi="ar"/>
              </w:rPr>
              <w:t>0.3436</w:t>
            </w:r>
          </w:p>
        </w:tc>
        <w:tc>
          <w:tcPr>
            <w:tcW w:w="1774" w:type="dxa"/>
            <w:tcBorders>
              <w:tl2br w:val="nil"/>
              <w:tr2bl w:val="nil"/>
            </w:tcBorders>
            <w:vAlign w:val="center"/>
          </w:tcPr>
          <w:p w14:paraId="40873827">
            <w:pPr>
              <w:widowControl/>
              <w:ind w:firstLine="0" w:firstLineChars="0"/>
              <w:jc w:val="center"/>
              <w:textAlignment w:val="center"/>
              <w:rPr>
                <w:sz w:val="21"/>
                <w:szCs w:val="21"/>
              </w:rPr>
            </w:pPr>
            <w:r>
              <w:rPr>
                <w:rFonts w:hint="eastAsia" w:cs="宋体"/>
                <w:sz w:val="21"/>
                <w:szCs w:val="22"/>
                <w:lang w:bidi="ar"/>
              </w:rPr>
              <w:t>0.1718</w:t>
            </w:r>
          </w:p>
        </w:tc>
        <w:tc>
          <w:tcPr>
            <w:tcW w:w="1936" w:type="dxa"/>
            <w:tcBorders>
              <w:tl2br w:val="nil"/>
              <w:tr2bl w:val="nil"/>
            </w:tcBorders>
            <w:vAlign w:val="center"/>
          </w:tcPr>
          <w:p w14:paraId="1E8214CD">
            <w:pPr>
              <w:widowControl/>
              <w:ind w:firstLine="0" w:firstLineChars="0"/>
              <w:jc w:val="center"/>
              <w:textAlignment w:val="center"/>
              <w:rPr>
                <w:sz w:val="21"/>
                <w:szCs w:val="21"/>
              </w:rPr>
            </w:pPr>
            <w:r>
              <w:rPr>
                <w:rFonts w:hint="eastAsia" w:cs="宋体"/>
                <w:sz w:val="21"/>
                <w:szCs w:val="22"/>
                <w:lang w:bidi="ar"/>
              </w:rPr>
              <w:t>0.01049</w:t>
            </w:r>
          </w:p>
        </w:tc>
        <w:tc>
          <w:tcPr>
            <w:tcW w:w="1619" w:type="dxa"/>
            <w:tcBorders>
              <w:tl2br w:val="nil"/>
              <w:tr2bl w:val="nil"/>
            </w:tcBorders>
            <w:vAlign w:val="center"/>
          </w:tcPr>
          <w:p w14:paraId="7F64ADC6">
            <w:pPr>
              <w:widowControl/>
              <w:ind w:firstLine="0" w:firstLineChars="0"/>
              <w:jc w:val="center"/>
              <w:textAlignment w:val="center"/>
              <w:rPr>
                <w:sz w:val="21"/>
                <w:szCs w:val="21"/>
              </w:rPr>
            </w:pPr>
            <w:r>
              <w:rPr>
                <w:rFonts w:hint="eastAsia" w:cs="宋体"/>
                <w:sz w:val="21"/>
                <w:szCs w:val="22"/>
                <w:lang w:bidi="ar"/>
              </w:rPr>
              <w:t>0.1049</w:t>
            </w:r>
          </w:p>
        </w:tc>
      </w:tr>
      <w:tr w14:paraId="0B9E4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187" w:type="pct"/>
            <w:gridSpan w:val="2"/>
            <w:tcBorders>
              <w:tl2br w:val="nil"/>
              <w:tr2bl w:val="nil"/>
            </w:tcBorders>
            <w:vAlign w:val="center"/>
          </w:tcPr>
          <w:p w14:paraId="391C1AEA">
            <w:pPr>
              <w:ind w:firstLine="0" w:firstLineChars="0"/>
              <w:jc w:val="center"/>
              <w:rPr>
                <w:rFonts w:cs="宋体"/>
                <w:sz w:val="21"/>
                <w:szCs w:val="21"/>
              </w:rPr>
            </w:pPr>
            <w:r>
              <w:rPr>
                <w:rFonts w:cs="宋体"/>
                <w:sz w:val="21"/>
                <w:szCs w:val="21"/>
              </w:rPr>
              <w:t>下风向最大质量浓度及占标率</w:t>
            </w:r>
            <w:r>
              <w:rPr>
                <w:rFonts w:hint="eastAsia" w:cs="宋体"/>
                <w:sz w:val="21"/>
                <w:szCs w:val="21"/>
              </w:rPr>
              <w:t>（</w:t>
            </w:r>
            <w:r>
              <w:rPr>
                <w:sz w:val="21"/>
                <w:szCs w:val="21"/>
              </w:rPr>
              <w:t>%</w:t>
            </w:r>
            <w:r>
              <w:rPr>
                <w:rFonts w:hint="eastAsia" w:cs="宋体"/>
                <w:sz w:val="21"/>
                <w:szCs w:val="21"/>
              </w:rPr>
              <w:t>）</w:t>
            </w:r>
          </w:p>
        </w:tc>
        <w:tc>
          <w:tcPr>
            <w:tcW w:w="1688" w:type="dxa"/>
            <w:tcBorders>
              <w:tl2br w:val="nil"/>
              <w:tr2bl w:val="nil"/>
            </w:tcBorders>
            <w:vAlign w:val="center"/>
          </w:tcPr>
          <w:p w14:paraId="06414D57">
            <w:pPr>
              <w:widowControl/>
              <w:ind w:firstLine="0" w:firstLineChars="0"/>
              <w:jc w:val="center"/>
              <w:textAlignment w:val="center"/>
              <w:rPr>
                <w:sz w:val="21"/>
                <w:szCs w:val="21"/>
              </w:rPr>
            </w:pPr>
            <w:r>
              <w:rPr>
                <w:rFonts w:hint="eastAsia" w:cs="宋体"/>
                <w:sz w:val="21"/>
                <w:szCs w:val="22"/>
                <w:lang w:bidi="ar"/>
              </w:rPr>
              <w:t>0.629</w:t>
            </w:r>
          </w:p>
        </w:tc>
        <w:tc>
          <w:tcPr>
            <w:tcW w:w="1549" w:type="dxa"/>
            <w:tcBorders>
              <w:tl2br w:val="nil"/>
              <w:tr2bl w:val="nil"/>
            </w:tcBorders>
            <w:vAlign w:val="center"/>
          </w:tcPr>
          <w:p w14:paraId="1240BD47">
            <w:pPr>
              <w:widowControl/>
              <w:ind w:firstLine="0" w:firstLineChars="0"/>
              <w:jc w:val="center"/>
              <w:textAlignment w:val="center"/>
              <w:rPr>
                <w:sz w:val="21"/>
                <w:szCs w:val="21"/>
              </w:rPr>
            </w:pPr>
            <w:r>
              <w:rPr>
                <w:rFonts w:hint="eastAsia" w:cs="宋体"/>
                <w:sz w:val="21"/>
                <w:szCs w:val="22"/>
                <w:lang w:bidi="ar"/>
              </w:rPr>
              <w:t>0.3145</w:t>
            </w:r>
          </w:p>
        </w:tc>
        <w:tc>
          <w:tcPr>
            <w:tcW w:w="1690" w:type="dxa"/>
            <w:tcBorders>
              <w:tl2br w:val="nil"/>
              <w:tr2bl w:val="nil"/>
            </w:tcBorders>
            <w:vAlign w:val="center"/>
          </w:tcPr>
          <w:p w14:paraId="58AA08E2">
            <w:pPr>
              <w:widowControl/>
              <w:ind w:firstLine="0" w:firstLineChars="0"/>
              <w:jc w:val="center"/>
              <w:textAlignment w:val="center"/>
              <w:rPr>
                <w:sz w:val="21"/>
                <w:szCs w:val="21"/>
              </w:rPr>
            </w:pPr>
            <w:r>
              <w:rPr>
                <w:rFonts w:hint="eastAsia" w:cs="宋体"/>
                <w:sz w:val="21"/>
                <w:szCs w:val="22"/>
                <w:lang w:bidi="ar"/>
              </w:rPr>
              <w:t>0.01148</w:t>
            </w:r>
          </w:p>
        </w:tc>
        <w:tc>
          <w:tcPr>
            <w:tcW w:w="1414" w:type="dxa"/>
            <w:tcBorders>
              <w:tl2br w:val="nil"/>
              <w:tr2bl w:val="nil"/>
            </w:tcBorders>
            <w:vAlign w:val="center"/>
          </w:tcPr>
          <w:p w14:paraId="0E23B9DE">
            <w:pPr>
              <w:widowControl/>
              <w:ind w:firstLine="0" w:firstLineChars="0"/>
              <w:jc w:val="center"/>
              <w:textAlignment w:val="center"/>
              <w:rPr>
                <w:sz w:val="21"/>
                <w:szCs w:val="21"/>
              </w:rPr>
            </w:pPr>
            <w:r>
              <w:rPr>
                <w:rFonts w:hint="eastAsia" w:cs="宋体"/>
                <w:sz w:val="21"/>
                <w:szCs w:val="22"/>
                <w:lang w:bidi="ar"/>
              </w:rPr>
              <w:t>0.1148</w:t>
            </w:r>
          </w:p>
        </w:tc>
      </w:tr>
      <w:tr w14:paraId="04C6E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187" w:type="pct"/>
            <w:gridSpan w:val="2"/>
            <w:tcBorders>
              <w:tl2br w:val="nil"/>
              <w:tr2bl w:val="nil"/>
            </w:tcBorders>
            <w:vAlign w:val="center"/>
          </w:tcPr>
          <w:p w14:paraId="51DC2C44">
            <w:pPr>
              <w:ind w:firstLine="0" w:firstLineChars="0"/>
              <w:jc w:val="center"/>
              <w:rPr>
                <w:sz w:val="21"/>
                <w:szCs w:val="21"/>
              </w:rPr>
            </w:pPr>
            <w:r>
              <w:rPr>
                <w:sz w:val="21"/>
                <w:szCs w:val="21"/>
              </w:rPr>
              <w:t>D</w:t>
            </w:r>
            <w:r>
              <w:rPr>
                <w:sz w:val="21"/>
                <w:szCs w:val="14"/>
              </w:rPr>
              <w:t>10%</w:t>
            </w:r>
            <w:r>
              <w:rPr>
                <w:rFonts w:cs="宋体"/>
                <w:sz w:val="21"/>
                <w:szCs w:val="21"/>
              </w:rPr>
              <w:t>最远距离</w:t>
            </w:r>
            <w:r>
              <w:rPr>
                <w:sz w:val="21"/>
                <w:szCs w:val="21"/>
              </w:rPr>
              <w:t>/m</w:t>
            </w:r>
          </w:p>
        </w:tc>
        <w:tc>
          <w:tcPr>
            <w:tcW w:w="3812" w:type="pct"/>
            <w:gridSpan w:val="4"/>
            <w:tcBorders>
              <w:tl2br w:val="nil"/>
              <w:tr2bl w:val="nil"/>
            </w:tcBorders>
            <w:vAlign w:val="center"/>
          </w:tcPr>
          <w:p w14:paraId="069B0978">
            <w:pPr>
              <w:ind w:firstLine="0" w:firstLineChars="0"/>
              <w:jc w:val="center"/>
              <w:rPr>
                <w:sz w:val="21"/>
                <w:szCs w:val="21"/>
              </w:rPr>
            </w:pPr>
            <w:r>
              <w:rPr>
                <w:rFonts w:hint="eastAsia"/>
                <w:sz w:val="21"/>
                <w:szCs w:val="21"/>
              </w:rPr>
              <w:t>71</w:t>
            </w:r>
          </w:p>
        </w:tc>
      </w:tr>
    </w:tbl>
    <w:p w14:paraId="5ED070BF">
      <w:pPr>
        <w:ind w:firstLine="480"/>
        <w:rPr>
          <w:rFonts w:cs="宋体"/>
          <w:szCs w:val="24"/>
        </w:rPr>
      </w:pPr>
      <w:r>
        <w:rPr>
          <w:rFonts w:cs="宋体"/>
          <w:szCs w:val="24"/>
        </w:rPr>
        <w:t>根据估算结果表明，</w:t>
      </w:r>
      <w:r>
        <w:rPr>
          <w:rFonts w:hint="eastAsia" w:cs="宋体"/>
          <w:szCs w:val="24"/>
        </w:rPr>
        <w:t>堆肥场的无组织排放对大气环境影响最大。</w:t>
      </w:r>
      <w:r>
        <w:rPr>
          <w:szCs w:val="24"/>
        </w:rPr>
        <w:t>NH</w:t>
      </w:r>
      <w:r>
        <w:rPr>
          <w:szCs w:val="15"/>
          <w:vertAlign w:val="subscript"/>
        </w:rPr>
        <w:t>3</w:t>
      </w:r>
      <w:r>
        <w:rPr>
          <w:rFonts w:cs="宋体"/>
          <w:szCs w:val="24"/>
        </w:rPr>
        <w:t>和</w:t>
      </w:r>
      <w:r>
        <w:rPr>
          <w:szCs w:val="24"/>
        </w:rPr>
        <w:t>H</w:t>
      </w:r>
      <w:r>
        <w:rPr>
          <w:szCs w:val="15"/>
          <w:vertAlign w:val="subscript"/>
        </w:rPr>
        <w:t>2</w:t>
      </w:r>
      <w:r>
        <w:rPr>
          <w:szCs w:val="24"/>
        </w:rPr>
        <w:t>S</w:t>
      </w:r>
      <w:r>
        <w:rPr>
          <w:rFonts w:cs="宋体"/>
          <w:szCs w:val="24"/>
        </w:rPr>
        <w:t>最大地面空气质量浓度出现在距离厂界</w:t>
      </w:r>
      <w:r>
        <w:rPr>
          <w:rFonts w:hint="eastAsia"/>
          <w:szCs w:val="24"/>
        </w:rPr>
        <w:t>167</w:t>
      </w:r>
      <w:r>
        <w:rPr>
          <w:szCs w:val="24"/>
        </w:rPr>
        <w:t>m</w:t>
      </w:r>
      <w:r>
        <w:rPr>
          <w:rFonts w:cs="宋体"/>
          <w:szCs w:val="24"/>
        </w:rPr>
        <w:t>处，最大地面空气质量浓度分别为</w:t>
      </w:r>
      <w:r>
        <w:rPr>
          <w:rFonts w:hint="eastAsia"/>
          <w:szCs w:val="24"/>
        </w:rPr>
        <w:t>5.969u</w:t>
      </w:r>
      <w:r>
        <w:rPr>
          <w:szCs w:val="24"/>
        </w:rPr>
        <w:t>g/m</w:t>
      </w:r>
      <w:r>
        <w:rPr>
          <w:szCs w:val="15"/>
          <w:vertAlign w:val="superscript"/>
        </w:rPr>
        <w:t>3</w:t>
      </w:r>
      <w:r>
        <w:rPr>
          <w:rFonts w:cs="宋体"/>
          <w:szCs w:val="24"/>
        </w:rPr>
        <w:t>和</w:t>
      </w:r>
      <w:r>
        <w:rPr>
          <w:rFonts w:hint="eastAsia" w:cs="宋体"/>
          <w:szCs w:val="24"/>
        </w:rPr>
        <w:t>2.984</w:t>
      </w:r>
      <w:r>
        <w:rPr>
          <w:rFonts w:hint="eastAsia"/>
          <w:szCs w:val="24"/>
        </w:rPr>
        <w:t>u</w:t>
      </w:r>
      <w:r>
        <w:rPr>
          <w:szCs w:val="24"/>
        </w:rPr>
        <w:t>g/m</w:t>
      </w:r>
      <w:r>
        <w:rPr>
          <w:szCs w:val="15"/>
          <w:vertAlign w:val="superscript"/>
        </w:rPr>
        <w:t>3</w:t>
      </w:r>
      <w:r>
        <w:rPr>
          <w:rFonts w:cs="宋体"/>
          <w:szCs w:val="24"/>
        </w:rPr>
        <w:t>，占标率分别为</w:t>
      </w:r>
      <w:r>
        <w:rPr>
          <w:rFonts w:hint="eastAsia"/>
          <w:szCs w:val="24"/>
        </w:rPr>
        <w:t>0.6006</w:t>
      </w:r>
      <w:r>
        <w:rPr>
          <w:szCs w:val="24"/>
        </w:rPr>
        <w:t>%</w:t>
      </w:r>
      <w:r>
        <w:rPr>
          <w:rFonts w:cs="宋体"/>
          <w:szCs w:val="24"/>
        </w:rPr>
        <w:t>和</w:t>
      </w:r>
      <w:r>
        <w:rPr>
          <w:rFonts w:hint="eastAsia"/>
          <w:szCs w:val="24"/>
        </w:rPr>
        <w:t>6.006</w:t>
      </w:r>
      <w:r>
        <w:rPr>
          <w:szCs w:val="24"/>
        </w:rPr>
        <w:t>%</w:t>
      </w:r>
      <w:r>
        <w:rPr>
          <w:rFonts w:cs="宋体"/>
          <w:szCs w:val="24"/>
        </w:rPr>
        <w:t>，均远小于《环境影响评价技术导则大气环境》</w:t>
      </w:r>
      <w:r>
        <w:rPr>
          <w:rFonts w:hint="eastAsia" w:cs="宋体"/>
          <w:szCs w:val="24"/>
        </w:rPr>
        <w:t>（</w:t>
      </w:r>
      <w:r>
        <w:rPr>
          <w:szCs w:val="24"/>
        </w:rPr>
        <w:t>0HJ2.2-2018</w:t>
      </w:r>
      <w:r>
        <w:rPr>
          <w:rFonts w:hint="eastAsia" w:cs="宋体"/>
          <w:szCs w:val="24"/>
        </w:rPr>
        <w:t>）</w:t>
      </w:r>
      <w:r>
        <w:rPr>
          <w:rFonts w:cs="宋体"/>
          <w:szCs w:val="24"/>
        </w:rPr>
        <w:t>附录</w:t>
      </w:r>
      <w:r>
        <w:rPr>
          <w:szCs w:val="24"/>
        </w:rPr>
        <w:t>D</w:t>
      </w:r>
      <w:r>
        <w:rPr>
          <w:rFonts w:cs="宋体"/>
          <w:szCs w:val="24"/>
        </w:rPr>
        <w:t>浓度限值要求</w:t>
      </w:r>
      <w:r>
        <w:rPr>
          <w:rFonts w:hint="eastAsia" w:cs="宋体"/>
          <w:szCs w:val="24"/>
        </w:rPr>
        <w:t>。</w:t>
      </w:r>
    </w:p>
    <w:p w14:paraId="7D822C38">
      <w:pPr>
        <w:ind w:firstLine="480"/>
        <w:rPr>
          <w:rFonts w:cs="宋体"/>
          <w:szCs w:val="24"/>
        </w:rPr>
      </w:pPr>
      <w:r>
        <w:rPr>
          <w:szCs w:val="24"/>
        </w:rPr>
        <w:t>3</w:t>
      </w:r>
      <w:r>
        <w:rPr>
          <w:rFonts w:cs="宋体"/>
          <w:szCs w:val="24"/>
        </w:rPr>
        <w:t>、污染物排放量核算</w:t>
      </w:r>
    </w:p>
    <w:p w14:paraId="05E76293">
      <w:pPr>
        <w:ind w:firstLine="480"/>
        <w:rPr>
          <w:rFonts w:cs="宋体"/>
          <w:szCs w:val="24"/>
        </w:rPr>
      </w:pPr>
      <w:r>
        <w:rPr>
          <w:rFonts w:cs="宋体"/>
          <w:szCs w:val="24"/>
        </w:rPr>
        <w:t>大气污染物年排放量核算详见表</w:t>
      </w:r>
      <w:r>
        <w:rPr>
          <w:rFonts w:hint="eastAsia"/>
          <w:szCs w:val="24"/>
        </w:rPr>
        <w:t>5</w:t>
      </w:r>
      <w:r>
        <w:rPr>
          <w:szCs w:val="24"/>
        </w:rPr>
        <w:t>.2-8</w:t>
      </w:r>
      <w:r>
        <w:rPr>
          <w:rFonts w:hint="eastAsia" w:cs="宋体"/>
          <w:szCs w:val="24"/>
        </w:rPr>
        <w:t>。</w:t>
      </w:r>
    </w:p>
    <w:p w14:paraId="18BD4931">
      <w:pPr>
        <w:ind w:firstLine="0" w:firstLineChars="0"/>
        <w:jc w:val="center"/>
        <w:rPr>
          <w:rFonts w:cs="黑体"/>
          <w:b/>
          <w:bCs/>
          <w:szCs w:val="21"/>
        </w:rPr>
      </w:pPr>
      <w:r>
        <w:rPr>
          <w:rFonts w:cs="黑体"/>
          <w:b/>
          <w:bCs/>
          <w:szCs w:val="21"/>
        </w:rPr>
        <w:t>表</w:t>
      </w:r>
      <w:r>
        <w:rPr>
          <w:rFonts w:hint="eastAsia"/>
          <w:b/>
          <w:bCs/>
          <w:szCs w:val="21"/>
        </w:rPr>
        <w:t>5</w:t>
      </w:r>
      <w:r>
        <w:rPr>
          <w:b/>
          <w:bCs/>
          <w:szCs w:val="21"/>
        </w:rPr>
        <w:t>.2-8</w:t>
      </w:r>
      <w:r>
        <w:rPr>
          <w:rFonts w:cs="黑体"/>
          <w:b/>
          <w:bCs/>
          <w:szCs w:val="21"/>
        </w:rPr>
        <w:t>大气污染物年排放量核算表</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25"/>
        <w:gridCol w:w="2929"/>
        <w:gridCol w:w="3456"/>
      </w:tblGrid>
      <w:tr w14:paraId="1AA9E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58" w:type="pct"/>
            <w:vAlign w:val="center"/>
          </w:tcPr>
          <w:p w14:paraId="30ADA196">
            <w:pPr>
              <w:ind w:firstLine="0" w:firstLineChars="0"/>
              <w:jc w:val="center"/>
              <w:rPr>
                <w:rFonts w:cs="宋体"/>
                <w:sz w:val="21"/>
                <w:szCs w:val="21"/>
              </w:rPr>
            </w:pPr>
            <w:r>
              <w:rPr>
                <w:rFonts w:cs="宋体"/>
                <w:sz w:val="21"/>
                <w:szCs w:val="21"/>
              </w:rPr>
              <w:t>序号</w:t>
            </w:r>
          </w:p>
        </w:tc>
        <w:tc>
          <w:tcPr>
            <w:tcW w:w="1762" w:type="pct"/>
            <w:vAlign w:val="center"/>
          </w:tcPr>
          <w:p w14:paraId="101CC798">
            <w:pPr>
              <w:ind w:firstLine="0" w:firstLineChars="0"/>
              <w:jc w:val="center"/>
              <w:rPr>
                <w:rFonts w:cs="宋体"/>
                <w:sz w:val="21"/>
                <w:szCs w:val="21"/>
              </w:rPr>
            </w:pPr>
            <w:r>
              <w:rPr>
                <w:rFonts w:cs="宋体"/>
                <w:sz w:val="21"/>
                <w:szCs w:val="21"/>
              </w:rPr>
              <w:t>污染物</w:t>
            </w:r>
          </w:p>
        </w:tc>
        <w:tc>
          <w:tcPr>
            <w:tcW w:w="2079" w:type="pct"/>
            <w:vAlign w:val="center"/>
          </w:tcPr>
          <w:p w14:paraId="3B21CC5D">
            <w:pPr>
              <w:ind w:firstLine="0" w:firstLineChars="0"/>
              <w:jc w:val="center"/>
              <w:rPr>
                <w:rFonts w:cs="宋体"/>
                <w:sz w:val="21"/>
                <w:szCs w:val="21"/>
              </w:rPr>
            </w:pPr>
            <w:r>
              <w:rPr>
                <w:rFonts w:cs="宋体"/>
                <w:sz w:val="21"/>
                <w:szCs w:val="21"/>
              </w:rPr>
              <w:t>年排放量</w:t>
            </w:r>
            <w:r>
              <w:rPr>
                <w:rFonts w:hint="eastAsia" w:cs="宋体"/>
                <w:sz w:val="21"/>
                <w:szCs w:val="21"/>
              </w:rPr>
              <w:t>（</w:t>
            </w:r>
            <w:r>
              <w:rPr>
                <w:sz w:val="21"/>
                <w:szCs w:val="21"/>
              </w:rPr>
              <w:t>t/a</w:t>
            </w:r>
            <w:r>
              <w:rPr>
                <w:rFonts w:hint="eastAsia" w:cs="宋体"/>
                <w:sz w:val="21"/>
                <w:szCs w:val="21"/>
              </w:rPr>
              <w:t>）</w:t>
            </w:r>
          </w:p>
        </w:tc>
      </w:tr>
      <w:tr w14:paraId="25580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158" w:type="pct"/>
            <w:vAlign w:val="center"/>
          </w:tcPr>
          <w:p w14:paraId="0295FFE8">
            <w:pPr>
              <w:ind w:firstLine="0" w:firstLineChars="0"/>
              <w:jc w:val="center"/>
              <w:rPr>
                <w:sz w:val="21"/>
                <w:szCs w:val="21"/>
              </w:rPr>
            </w:pPr>
            <w:r>
              <w:rPr>
                <w:sz w:val="21"/>
                <w:szCs w:val="21"/>
              </w:rPr>
              <w:t>1</w:t>
            </w:r>
          </w:p>
        </w:tc>
        <w:tc>
          <w:tcPr>
            <w:tcW w:w="1762" w:type="pct"/>
            <w:vAlign w:val="center"/>
          </w:tcPr>
          <w:p w14:paraId="4F870A1F">
            <w:pPr>
              <w:ind w:firstLine="0" w:firstLineChars="0"/>
              <w:jc w:val="center"/>
              <w:rPr>
                <w:sz w:val="21"/>
                <w:szCs w:val="14"/>
              </w:rPr>
            </w:pPr>
            <w:r>
              <w:rPr>
                <w:sz w:val="21"/>
                <w:szCs w:val="21"/>
              </w:rPr>
              <w:t>NH</w:t>
            </w:r>
            <w:r>
              <w:rPr>
                <w:sz w:val="21"/>
                <w:szCs w:val="14"/>
                <w:vertAlign w:val="subscript"/>
              </w:rPr>
              <w:t>3</w:t>
            </w:r>
          </w:p>
        </w:tc>
        <w:tc>
          <w:tcPr>
            <w:tcW w:w="2079" w:type="pct"/>
            <w:vAlign w:val="center"/>
          </w:tcPr>
          <w:p w14:paraId="0A9C32DD">
            <w:pPr>
              <w:ind w:firstLine="0" w:firstLineChars="0"/>
              <w:jc w:val="center"/>
              <w:rPr>
                <w:sz w:val="21"/>
                <w:szCs w:val="21"/>
              </w:rPr>
            </w:pPr>
            <w:r>
              <w:rPr>
                <w:rFonts w:hint="eastAsia"/>
                <w:sz w:val="21"/>
                <w:szCs w:val="21"/>
              </w:rPr>
              <w:t>0.029</w:t>
            </w:r>
          </w:p>
        </w:tc>
      </w:tr>
      <w:tr w14:paraId="6B6FE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58" w:type="pct"/>
            <w:vAlign w:val="center"/>
          </w:tcPr>
          <w:p w14:paraId="3DE33CAC">
            <w:pPr>
              <w:ind w:firstLine="0" w:firstLineChars="0"/>
              <w:jc w:val="center"/>
              <w:rPr>
                <w:sz w:val="21"/>
                <w:szCs w:val="21"/>
              </w:rPr>
            </w:pPr>
            <w:r>
              <w:rPr>
                <w:sz w:val="21"/>
                <w:szCs w:val="21"/>
              </w:rPr>
              <w:t>2</w:t>
            </w:r>
          </w:p>
        </w:tc>
        <w:tc>
          <w:tcPr>
            <w:tcW w:w="1762" w:type="pct"/>
            <w:vAlign w:val="center"/>
          </w:tcPr>
          <w:p w14:paraId="519B6D99">
            <w:pPr>
              <w:ind w:firstLine="0" w:firstLineChars="0"/>
              <w:jc w:val="center"/>
              <w:rPr>
                <w:sz w:val="21"/>
                <w:szCs w:val="21"/>
              </w:rPr>
            </w:pPr>
            <w:r>
              <w:rPr>
                <w:sz w:val="21"/>
                <w:szCs w:val="21"/>
              </w:rPr>
              <w:t>H</w:t>
            </w:r>
            <w:r>
              <w:rPr>
                <w:sz w:val="21"/>
                <w:szCs w:val="14"/>
                <w:vertAlign w:val="subscript"/>
              </w:rPr>
              <w:t>2</w:t>
            </w:r>
            <w:r>
              <w:rPr>
                <w:sz w:val="21"/>
                <w:szCs w:val="21"/>
              </w:rPr>
              <w:t>S</w:t>
            </w:r>
          </w:p>
        </w:tc>
        <w:tc>
          <w:tcPr>
            <w:tcW w:w="2079" w:type="pct"/>
            <w:vAlign w:val="center"/>
          </w:tcPr>
          <w:p w14:paraId="52C85BA0">
            <w:pPr>
              <w:ind w:firstLine="0" w:firstLineChars="0"/>
              <w:jc w:val="center"/>
              <w:rPr>
                <w:sz w:val="21"/>
                <w:szCs w:val="21"/>
              </w:rPr>
            </w:pPr>
            <w:r>
              <w:rPr>
                <w:rFonts w:hint="eastAsia"/>
                <w:sz w:val="21"/>
                <w:szCs w:val="21"/>
              </w:rPr>
              <w:t>0.0028</w:t>
            </w:r>
          </w:p>
        </w:tc>
      </w:tr>
    </w:tbl>
    <w:p w14:paraId="3F5184AB">
      <w:pPr>
        <w:ind w:firstLine="482"/>
        <w:rPr>
          <w:rFonts w:cs="宋体"/>
          <w:b/>
          <w:bCs/>
          <w:szCs w:val="24"/>
        </w:rPr>
      </w:pPr>
      <w:r>
        <w:rPr>
          <w:rFonts w:hint="eastAsia"/>
          <w:b/>
          <w:bCs/>
          <w:szCs w:val="24"/>
        </w:rPr>
        <w:t>5</w:t>
      </w:r>
      <w:r>
        <w:rPr>
          <w:b/>
          <w:bCs/>
          <w:szCs w:val="24"/>
        </w:rPr>
        <w:t>.2.1.2</w:t>
      </w:r>
      <w:r>
        <w:rPr>
          <w:rFonts w:cs="宋体"/>
          <w:b/>
          <w:bCs/>
          <w:szCs w:val="24"/>
        </w:rPr>
        <w:t>防护距离</w:t>
      </w:r>
    </w:p>
    <w:p w14:paraId="355B70CF">
      <w:pPr>
        <w:ind w:firstLine="480"/>
        <w:rPr>
          <w:rFonts w:cs="宋体"/>
          <w:szCs w:val="24"/>
        </w:rPr>
      </w:pPr>
      <w:r>
        <w:rPr>
          <w:rFonts w:hint="eastAsia" w:cs="宋体"/>
          <w:szCs w:val="24"/>
        </w:rPr>
        <w:t>（</w:t>
      </w:r>
      <w:r>
        <w:rPr>
          <w:szCs w:val="24"/>
        </w:rPr>
        <w:t>1</w:t>
      </w:r>
      <w:r>
        <w:rPr>
          <w:rFonts w:hint="eastAsia" w:cs="宋体"/>
          <w:szCs w:val="24"/>
        </w:rPr>
        <w:t>）</w:t>
      </w:r>
      <w:r>
        <w:rPr>
          <w:rFonts w:cs="宋体"/>
          <w:szCs w:val="24"/>
        </w:rPr>
        <w:t>大气环境防护距离</w:t>
      </w:r>
    </w:p>
    <w:p w14:paraId="10038321">
      <w:pPr>
        <w:ind w:firstLine="480"/>
        <w:rPr>
          <w:rFonts w:cs="宋体"/>
          <w:szCs w:val="24"/>
        </w:rPr>
      </w:pPr>
      <w:r>
        <w:rPr>
          <w:rFonts w:cs="宋体"/>
          <w:szCs w:val="24"/>
        </w:rPr>
        <w:t>因为养殖场环境空气主要污染物是恶臭，也是居民在心理上最关心的</w:t>
      </w:r>
      <w:r>
        <w:rPr>
          <w:rFonts w:hint="eastAsia" w:cs="宋体"/>
          <w:szCs w:val="24"/>
        </w:rPr>
        <w:t>。</w:t>
      </w:r>
      <w:r>
        <w:rPr>
          <w:rFonts w:cs="宋体"/>
          <w:szCs w:val="24"/>
        </w:rPr>
        <w:t>在</w:t>
      </w:r>
      <w:r>
        <w:rPr>
          <w:rFonts w:hint="eastAsia" w:cs="宋体"/>
          <w:szCs w:val="24"/>
        </w:rPr>
        <w:t>《畜禽养殖产地环境评价规范》（HJ568-2010）</w:t>
      </w:r>
      <w:r>
        <w:rPr>
          <w:rFonts w:cs="宋体"/>
          <w:szCs w:val="24"/>
        </w:rPr>
        <w:t>中硫化氢的最高允许浓度为</w:t>
      </w:r>
      <w:r>
        <w:rPr>
          <w:rFonts w:hint="eastAsia"/>
          <w:szCs w:val="24"/>
        </w:rPr>
        <w:t>2</w:t>
      </w:r>
      <w:r>
        <w:rPr>
          <w:szCs w:val="24"/>
        </w:rPr>
        <w:t>mg/m</w:t>
      </w:r>
      <w:r>
        <w:rPr>
          <w:szCs w:val="15"/>
          <w:vertAlign w:val="superscript"/>
        </w:rPr>
        <w:t>3</w:t>
      </w:r>
      <w:r>
        <w:rPr>
          <w:rFonts w:cs="宋体"/>
          <w:szCs w:val="24"/>
        </w:rPr>
        <w:t>，氨气的最高允许浓度为</w:t>
      </w:r>
      <w:r>
        <w:rPr>
          <w:rFonts w:hint="eastAsia"/>
          <w:szCs w:val="24"/>
        </w:rPr>
        <w:t>5</w:t>
      </w:r>
      <w:r>
        <w:rPr>
          <w:szCs w:val="24"/>
        </w:rPr>
        <w:t>mg/m</w:t>
      </w:r>
      <w:r>
        <w:rPr>
          <w:szCs w:val="15"/>
          <w:vertAlign w:val="superscript"/>
        </w:rPr>
        <w:t>3</w:t>
      </w:r>
      <w:r>
        <w:rPr>
          <w:rFonts w:hint="eastAsia" w:cs="宋体"/>
          <w:szCs w:val="24"/>
        </w:rPr>
        <w:t>。</w:t>
      </w:r>
      <w:r>
        <w:rPr>
          <w:rFonts w:cs="宋体"/>
          <w:szCs w:val="24"/>
        </w:rPr>
        <w:t>本次评价采用《环境影响评价技术导则大气环境》</w:t>
      </w:r>
      <w:r>
        <w:rPr>
          <w:rFonts w:hint="eastAsia" w:cs="宋体"/>
          <w:szCs w:val="24"/>
        </w:rPr>
        <w:t>（</w:t>
      </w:r>
      <w:r>
        <w:rPr>
          <w:szCs w:val="24"/>
        </w:rPr>
        <w:t>HJ2.2-2018</w:t>
      </w:r>
      <w:r>
        <w:rPr>
          <w:rFonts w:hint="eastAsia" w:cs="宋体"/>
          <w:szCs w:val="24"/>
        </w:rPr>
        <w:t>）</w:t>
      </w:r>
      <w:r>
        <w:rPr>
          <w:rFonts w:cs="宋体"/>
          <w:szCs w:val="24"/>
        </w:rPr>
        <w:t>推荐的估算模型</w:t>
      </w:r>
      <w:r>
        <w:rPr>
          <w:szCs w:val="24"/>
        </w:rPr>
        <w:t>AERSCREEN</w:t>
      </w:r>
      <w:r>
        <w:rPr>
          <w:rFonts w:cs="宋体"/>
          <w:szCs w:val="24"/>
        </w:rPr>
        <w:t>计算，本项目恶臭气体无组织排放未出现超标现象，因此项目不需设大气环境防护距离</w:t>
      </w:r>
      <w:r>
        <w:rPr>
          <w:rFonts w:hint="eastAsia" w:cs="宋体"/>
          <w:szCs w:val="24"/>
        </w:rPr>
        <w:t>。</w:t>
      </w:r>
    </w:p>
    <w:p w14:paraId="71CA38DD">
      <w:pPr>
        <w:ind w:firstLine="480"/>
        <w:rPr>
          <w:rFonts w:cs="宋体"/>
          <w:szCs w:val="24"/>
        </w:rPr>
      </w:pPr>
      <w:r>
        <w:rPr>
          <w:rFonts w:hint="eastAsia" w:cs="宋体"/>
          <w:szCs w:val="24"/>
        </w:rPr>
        <w:t>（</w:t>
      </w:r>
      <w:r>
        <w:rPr>
          <w:szCs w:val="24"/>
        </w:rPr>
        <w:t>2</w:t>
      </w:r>
      <w:r>
        <w:rPr>
          <w:rFonts w:hint="eastAsia" w:cs="宋体"/>
          <w:szCs w:val="24"/>
        </w:rPr>
        <w:t>）</w:t>
      </w:r>
      <w:r>
        <w:rPr>
          <w:rFonts w:cs="宋体"/>
          <w:szCs w:val="24"/>
        </w:rPr>
        <w:t>本项目无相关卫生距离标准，根据《畜禽养殖业污染防治技术规范》</w:t>
      </w:r>
      <w:r>
        <w:rPr>
          <w:rFonts w:hint="eastAsia" w:cs="宋体"/>
          <w:szCs w:val="24"/>
        </w:rPr>
        <w:t>（</w:t>
      </w:r>
      <w:r>
        <w:rPr>
          <w:szCs w:val="24"/>
        </w:rPr>
        <w:t>HJ/T81-2001</w:t>
      </w:r>
      <w:r>
        <w:rPr>
          <w:rFonts w:hint="eastAsia" w:cs="宋体"/>
          <w:szCs w:val="24"/>
        </w:rPr>
        <w:t>）</w:t>
      </w:r>
      <w:r>
        <w:rPr>
          <w:rFonts w:cs="宋体"/>
          <w:szCs w:val="24"/>
        </w:rPr>
        <w:t>中要求，新建、改建、扩建的畜禽养殖场场界与该标准中规定的禁建区域的最小距离不得小于</w:t>
      </w:r>
      <w:r>
        <w:rPr>
          <w:szCs w:val="24"/>
        </w:rPr>
        <w:t>500m</w:t>
      </w:r>
      <w:r>
        <w:rPr>
          <w:rFonts w:cs="宋体"/>
          <w:szCs w:val="24"/>
        </w:rPr>
        <w:t>，禁建区域包括：生活饮用水水源保护区、风景名胜区、自然保护区的核心区及缓冲区；城市和城镇居民区，包括文教科研区、医疗区、商业区、工业区、游览区等人口集中地区；县级人民政府依法划定的禁养区域；国家或地方法律、法规规定需特殊保护的其它区域</w:t>
      </w:r>
      <w:r>
        <w:rPr>
          <w:rFonts w:hint="eastAsia" w:cs="宋体"/>
          <w:szCs w:val="24"/>
        </w:rPr>
        <w:t>。</w:t>
      </w:r>
      <w:r>
        <w:rPr>
          <w:rFonts w:cs="宋体"/>
          <w:szCs w:val="24"/>
        </w:rPr>
        <w:t>因此确定本项目卫生防护距离为</w:t>
      </w:r>
      <w:r>
        <w:rPr>
          <w:szCs w:val="24"/>
        </w:rPr>
        <w:t>500m</w:t>
      </w:r>
      <w:r>
        <w:rPr>
          <w:rFonts w:hint="eastAsia" w:cs="宋体"/>
          <w:szCs w:val="24"/>
        </w:rPr>
        <w:t>。</w:t>
      </w:r>
    </w:p>
    <w:p w14:paraId="75F4791B">
      <w:pPr>
        <w:ind w:firstLine="480"/>
        <w:rPr>
          <w:rFonts w:cs="宋体"/>
          <w:szCs w:val="24"/>
        </w:rPr>
      </w:pPr>
      <w:r>
        <w:rPr>
          <w:rFonts w:hint="eastAsia" w:cs="宋体"/>
          <w:szCs w:val="24"/>
        </w:rPr>
        <w:t>（</w:t>
      </w:r>
      <w:r>
        <w:rPr>
          <w:szCs w:val="24"/>
        </w:rPr>
        <w:t>3</w:t>
      </w:r>
      <w:r>
        <w:rPr>
          <w:rFonts w:hint="eastAsia" w:cs="宋体"/>
          <w:szCs w:val="24"/>
        </w:rPr>
        <w:t>）</w:t>
      </w:r>
      <w:r>
        <w:rPr>
          <w:rFonts w:cs="宋体"/>
          <w:szCs w:val="24"/>
        </w:rPr>
        <w:t>防护距离结论</w:t>
      </w:r>
    </w:p>
    <w:p w14:paraId="3ED706B5">
      <w:pPr>
        <w:ind w:firstLine="480"/>
        <w:rPr>
          <w:rFonts w:cs="宋体"/>
          <w:szCs w:val="24"/>
        </w:rPr>
      </w:pPr>
      <w:r>
        <w:rPr>
          <w:rFonts w:cs="宋体"/>
          <w:szCs w:val="24"/>
        </w:rPr>
        <w:t>综合上述分析，确定本项目的防护距离为</w:t>
      </w:r>
      <w:r>
        <w:rPr>
          <w:szCs w:val="24"/>
        </w:rPr>
        <w:t>500m</w:t>
      </w:r>
      <w:r>
        <w:rPr>
          <w:rFonts w:hint="eastAsia" w:cs="宋体"/>
          <w:szCs w:val="24"/>
        </w:rPr>
        <w:t>。</w:t>
      </w:r>
    </w:p>
    <w:p w14:paraId="5A291802">
      <w:pPr>
        <w:ind w:firstLine="480"/>
        <w:rPr>
          <w:rFonts w:cs="宋体"/>
          <w:szCs w:val="24"/>
        </w:rPr>
      </w:pPr>
      <w:r>
        <w:rPr>
          <w:rFonts w:cs="宋体"/>
          <w:szCs w:val="24"/>
        </w:rPr>
        <w:t>根据现场调查，以拟建养殖场场界为起点外扩</w:t>
      </w:r>
      <w:r>
        <w:rPr>
          <w:szCs w:val="24"/>
        </w:rPr>
        <w:t>500m</w:t>
      </w:r>
      <w:r>
        <w:rPr>
          <w:rFonts w:cs="宋体"/>
          <w:szCs w:val="24"/>
        </w:rPr>
        <w:t>范围内无环境敏感点分布，满足项目环境防护距离要求</w:t>
      </w:r>
      <w:r>
        <w:rPr>
          <w:rFonts w:hint="eastAsia" w:cs="宋体"/>
          <w:szCs w:val="24"/>
        </w:rPr>
        <w:t>。</w:t>
      </w:r>
    </w:p>
    <w:p w14:paraId="758ADECA">
      <w:pPr>
        <w:ind w:firstLine="482"/>
        <w:rPr>
          <w:rFonts w:cs="宋体"/>
          <w:b/>
          <w:bCs/>
          <w:szCs w:val="24"/>
        </w:rPr>
      </w:pPr>
      <w:r>
        <w:rPr>
          <w:rFonts w:hint="eastAsia" w:cs="宋体"/>
          <w:b/>
          <w:bCs/>
          <w:szCs w:val="24"/>
        </w:rPr>
        <w:t>5.2.1.3</w:t>
      </w:r>
      <w:r>
        <w:rPr>
          <w:rFonts w:cs="宋体"/>
          <w:b/>
          <w:bCs/>
          <w:szCs w:val="24"/>
        </w:rPr>
        <w:t>大气环境影响评价自查表</w:t>
      </w:r>
    </w:p>
    <w:p w14:paraId="6B91D1F5">
      <w:pPr>
        <w:ind w:firstLine="480"/>
        <w:rPr>
          <w:rFonts w:cs="宋体"/>
          <w:szCs w:val="24"/>
        </w:rPr>
      </w:pPr>
      <w:r>
        <w:rPr>
          <w:rFonts w:cs="宋体"/>
          <w:szCs w:val="24"/>
        </w:rPr>
        <w:t>建设项目大气环境影响评价自查表详见表</w:t>
      </w:r>
      <w:r>
        <w:rPr>
          <w:rFonts w:hint="eastAsia"/>
          <w:szCs w:val="24"/>
        </w:rPr>
        <w:t>5</w:t>
      </w:r>
      <w:r>
        <w:rPr>
          <w:szCs w:val="24"/>
        </w:rPr>
        <w:t>.2-9</w:t>
      </w:r>
      <w:r>
        <w:rPr>
          <w:rFonts w:hint="eastAsia" w:cs="宋体"/>
          <w:szCs w:val="24"/>
        </w:rPr>
        <w:t>。</w:t>
      </w:r>
    </w:p>
    <w:p w14:paraId="54309778">
      <w:pPr>
        <w:ind w:firstLine="0" w:firstLineChars="0"/>
        <w:jc w:val="center"/>
        <w:rPr>
          <w:rFonts w:cs="黑体"/>
          <w:b/>
          <w:bCs/>
          <w:szCs w:val="21"/>
        </w:rPr>
      </w:pPr>
      <w:r>
        <w:rPr>
          <w:rFonts w:cs="黑体"/>
          <w:b/>
          <w:bCs/>
          <w:szCs w:val="21"/>
        </w:rPr>
        <w:t>表</w:t>
      </w:r>
      <w:r>
        <w:rPr>
          <w:rFonts w:hint="eastAsia"/>
          <w:b/>
          <w:bCs/>
          <w:szCs w:val="21"/>
        </w:rPr>
        <w:t>5</w:t>
      </w:r>
      <w:r>
        <w:rPr>
          <w:b/>
          <w:bCs/>
          <w:szCs w:val="21"/>
        </w:rPr>
        <w:t>.2-9</w:t>
      </w:r>
      <w:r>
        <w:rPr>
          <w:rFonts w:cs="黑体"/>
          <w:b/>
          <w:bCs/>
          <w:szCs w:val="21"/>
        </w:rPr>
        <w:t>建设项目大气环境影响评价自查表</w:t>
      </w:r>
    </w:p>
    <w:tbl>
      <w:tblPr>
        <w:tblStyle w:val="183"/>
        <w:tblW w:w="50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0"/>
        <w:gridCol w:w="1295"/>
        <w:gridCol w:w="1175"/>
        <w:gridCol w:w="186"/>
        <w:gridCol w:w="183"/>
        <w:gridCol w:w="185"/>
        <w:gridCol w:w="186"/>
        <w:gridCol w:w="1342"/>
        <w:gridCol w:w="1080"/>
        <w:gridCol w:w="455"/>
        <w:gridCol w:w="357"/>
        <w:gridCol w:w="221"/>
        <w:gridCol w:w="204"/>
        <w:gridCol w:w="977"/>
      </w:tblGrid>
      <w:tr w14:paraId="0CB20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11" w:type="pct"/>
            <w:gridSpan w:val="2"/>
            <w:tcBorders>
              <w:tl2br w:val="nil"/>
              <w:tr2bl w:val="nil"/>
            </w:tcBorders>
            <w:vAlign w:val="center"/>
          </w:tcPr>
          <w:p w14:paraId="672FACFC">
            <w:pPr>
              <w:ind w:firstLine="0" w:firstLineChars="0"/>
              <w:jc w:val="center"/>
              <w:rPr>
                <w:rFonts w:cs="宋体"/>
                <w:sz w:val="21"/>
                <w:szCs w:val="21"/>
              </w:rPr>
            </w:pPr>
            <w:r>
              <w:rPr>
                <w:rFonts w:cs="宋体"/>
                <w:sz w:val="21"/>
                <w:szCs w:val="21"/>
              </w:rPr>
              <w:t>工作内容</w:t>
            </w:r>
          </w:p>
        </w:tc>
        <w:tc>
          <w:tcPr>
            <w:tcW w:w="3888" w:type="pct"/>
            <w:gridSpan w:val="12"/>
            <w:tcBorders>
              <w:tl2br w:val="nil"/>
              <w:tr2bl w:val="nil"/>
            </w:tcBorders>
            <w:vAlign w:val="center"/>
          </w:tcPr>
          <w:p w14:paraId="2B0C29F2">
            <w:pPr>
              <w:ind w:firstLine="0" w:firstLineChars="0"/>
              <w:jc w:val="center"/>
              <w:rPr>
                <w:rFonts w:cs="宋体"/>
                <w:sz w:val="21"/>
                <w:szCs w:val="21"/>
              </w:rPr>
            </w:pPr>
            <w:r>
              <w:rPr>
                <w:rFonts w:cs="宋体"/>
                <w:sz w:val="21"/>
                <w:szCs w:val="21"/>
              </w:rPr>
              <w:t>自查项目</w:t>
            </w:r>
          </w:p>
        </w:tc>
      </w:tr>
      <w:tr w14:paraId="76CC2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restart"/>
            <w:tcBorders>
              <w:tl2br w:val="nil"/>
              <w:tr2bl w:val="nil"/>
            </w:tcBorders>
            <w:vAlign w:val="center"/>
          </w:tcPr>
          <w:p w14:paraId="23B8FC71">
            <w:pPr>
              <w:ind w:firstLine="0" w:firstLineChars="0"/>
              <w:jc w:val="center"/>
              <w:rPr>
                <w:rFonts w:cs="宋体"/>
                <w:sz w:val="21"/>
                <w:szCs w:val="21"/>
              </w:rPr>
            </w:pPr>
            <w:r>
              <w:rPr>
                <w:rFonts w:cs="宋体"/>
                <w:sz w:val="21"/>
                <w:szCs w:val="21"/>
              </w:rPr>
              <w:t>评价等级与范围</w:t>
            </w:r>
          </w:p>
        </w:tc>
        <w:tc>
          <w:tcPr>
            <w:tcW w:w="799" w:type="pct"/>
            <w:tcBorders>
              <w:tl2br w:val="nil"/>
              <w:tr2bl w:val="nil"/>
            </w:tcBorders>
            <w:vAlign w:val="center"/>
          </w:tcPr>
          <w:p w14:paraId="0AB94F59">
            <w:pPr>
              <w:ind w:firstLine="0" w:firstLineChars="0"/>
              <w:jc w:val="center"/>
              <w:rPr>
                <w:rFonts w:cs="宋体"/>
                <w:sz w:val="21"/>
                <w:szCs w:val="21"/>
              </w:rPr>
            </w:pPr>
            <w:r>
              <w:rPr>
                <w:rFonts w:cs="宋体"/>
                <w:sz w:val="21"/>
                <w:szCs w:val="21"/>
              </w:rPr>
              <w:t>评价等级</w:t>
            </w:r>
          </w:p>
        </w:tc>
        <w:tc>
          <w:tcPr>
            <w:tcW w:w="1117" w:type="pct"/>
            <w:gridSpan w:val="5"/>
            <w:tcBorders>
              <w:tl2br w:val="nil"/>
              <w:tr2bl w:val="nil"/>
            </w:tcBorders>
            <w:vAlign w:val="center"/>
          </w:tcPr>
          <w:p w14:paraId="0225CA13">
            <w:pPr>
              <w:ind w:firstLine="0" w:firstLineChars="0"/>
              <w:jc w:val="center"/>
              <w:rPr>
                <w:sz w:val="21"/>
                <w:szCs w:val="21"/>
              </w:rPr>
            </w:pPr>
            <w:r>
              <w:rPr>
                <w:rFonts w:cs="宋体"/>
                <w:sz w:val="21"/>
                <w:szCs w:val="21"/>
              </w:rPr>
              <w:t>一级</w:t>
            </w:r>
            <w:r>
              <w:rPr>
                <w:sz w:val="21"/>
                <w:szCs w:val="21"/>
              </w:rPr>
              <w:t>□</w:t>
            </w:r>
          </w:p>
        </w:tc>
        <w:tc>
          <w:tcPr>
            <w:tcW w:w="1863" w:type="pct"/>
            <w:gridSpan w:val="4"/>
            <w:tcBorders>
              <w:tl2br w:val="nil"/>
              <w:tr2bl w:val="nil"/>
            </w:tcBorders>
            <w:vAlign w:val="center"/>
          </w:tcPr>
          <w:p w14:paraId="7EC5EBFA">
            <w:pPr>
              <w:ind w:firstLine="0" w:firstLineChars="0"/>
              <w:jc w:val="center"/>
              <w:rPr>
                <w:rFonts w:cs="MS Gothic"/>
                <w:sz w:val="21"/>
                <w:szCs w:val="21"/>
              </w:rPr>
            </w:pPr>
            <w:r>
              <w:rPr>
                <w:rFonts w:cs="宋体"/>
                <w:sz w:val="21"/>
                <w:szCs w:val="21"/>
              </w:rPr>
              <w:t>二级</w:t>
            </w:r>
            <w:r>
              <w:rPr>
                <w:rFonts w:hint="eastAsia" w:cs="MS Gothic"/>
                <w:sz w:val="21"/>
                <w:szCs w:val="21"/>
              </w:rPr>
              <w:t>☑</w:t>
            </w:r>
          </w:p>
        </w:tc>
        <w:tc>
          <w:tcPr>
            <w:tcW w:w="908" w:type="pct"/>
            <w:gridSpan w:val="3"/>
            <w:tcBorders>
              <w:tl2br w:val="nil"/>
              <w:tr2bl w:val="nil"/>
            </w:tcBorders>
            <w:vAlign w:val="center"/>
          </w:tcPr>
          <w:p w14:paraId="09FAD50E">
            <w:pPr>
              <w:ind w:firstLine="0" w:firstLineChars="0"/>
              <w:jc w:val="center"/>
              <w:rPr>
                <w:rFonts w:cs="宋体"/>
                <w:sz w:val="21"/>
                <w:szCs w:val="21"/>
              </w:rPr>
            </w:pPr>
            <w:r>
              <w:rPr>
                <w:rFonts w:cs="宋体"/>
                <w:sz w:val="21"/>
                <w:szCs w:val="21"/>
              </w:rPr>
              <w:t>三级</w:t>
            </w:r>
            <w:r>
              <w:rPr>
                <w:rFonts w:hint="eastAsia" w:cs="宋体"/>
                <w:sz w:val="21"/>
                <w:szCs w:val="21"/>
              </w:rPr>
              <w:t>□</w:t>
            </w:r>
          </w:p>
        </w:tc>
      </w:tr>
      <w:tr w14:paraId="51BAF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continue"/>
            <w:tcBorders>
              <w:tl2br w:val="nil"/>
              <w:tr2bl w:val="nil"/>
            </w:tcBorders>
            <w:vAlign w:val="center"/>
          </w:tcPr>
          <w:p w14:paraId="1224FD2D">
            <w:pPr>
              <w:ind w:firstLine="0" w:firstLineChars="0"/>
              <w:jc w:val="center"/>
              <w:rPr>
                <w:sz w:val="21"/>
              </w:rPr>
            </w:pPr>
          </w:p>
        </w:tc>
        <w:tc>
          <w:tcPr>
            <w:tcW w:w="799" w:type="pct"/>
            <w:tcBorders>
              <w:tl2br w:val="nil"/>
              <w:tr2bl w:val="nil"/>
            </w:tcBorders>
            <w:vAlign w:val="center"/>
          </w:tcPr>
          <w:p w14:paraId="30116D68">
            <w:pPr>
              <w:ind w:firstLine="0" w:firstLineChars="0"/>
              <w:jc w:val="center"/>
              <w:rPr>
                <w:rFonts w:cs="宋体"/>
                <w:sz w:val="21"/>
                <w:szCs w:val="21"/>
              </w:rPr>
            </w:pPr>
            <w:r>
              <w:rPr>
                <w:rFonts w:cs="宋体"/>
                <w:sz w:val="21"/>
                <w:szCs w:val="21"/>
              </w:rPr>
              <w:t>评价范围</w:t>
            </w:r>
          </w:p>
        </w:tc>
        <w:tc>
          <w:tcPr>
            <w:tcW w:w="1117" w:type="pct"/>
            <w:gridSpan w:val="5"/>
            <w:tcBorders>
              <w:tl2br w:val="nil"/>
              <w:tr2bl w:val="nil"/>
            </w:tcBorders>
            <w:vAlign w:val="center"/>
          </w:tcPr>
          <w:p w14:paraId="279F0241">
            <w:pPr>
              <w:ind w:firstLine="0" w:firstLineChars="0"/>
              <w:jc w:val="center"/>
              <w:rPr>
                <w:sz w:val="21"/>
                <w:szCs w:val="21"/>
              </w:rPr>
            </w:pPr>
            <w:r>
              <w:rPr>
                <w:rFonts w:cs="宋体"/>
                <w:sz w:val="21"/>
                <w:szCs w:val="21"/>
              </w:rPr>
              <w:t>边长</w:t>
            </w:r>
            <w:r>
              <w:rPr>
                <w:sz w:val="21"/>
                <w:szCs w:val="21"/>
              </w:rPr>
              <w:t>=50km□</w:t>
            </w:r>
          </w:p>
        </w:tc>
        <w:tc>
          <w:tcPr>
            <w:tcW w:w="1863" w:type="pct"/>
            <w:gridSpan w:val="4"/>
            <w:tcBorders>
              <w:tl2br w:val="nil"/>
              <w:tr2bl w:val="nil"/>
            </w:tcBorders>
            <w:vAlign w:val="center"/>
          </w:tcPr>
          <w:p w14:paraId="1A26386E">
            <w:pPr>
              <w:ind w:firstLine="0" w:firstLineChars="0"/>
              <w:jc w:val="center"/>
              <w:rPr>
                <w:sz w:val="21"/>
                <w:szCs w:val="21"/>
              </w:rPr>
            </w:pPr>
            <w:r>
              <w:rPr>
                <w:rFonts w:cs="宋体"/>
                <w:sz w:val="21"/>
                <w:szCs w:val="21"/>
              </w:rPr>
              <w:t>边长</w:t>
            </w:r>
            <w:r>
              <w:rPr>
                <w:sz w:val="21"/>
                <w:szCs w:val="21"/>
              </w:rPr>
              <w:t>5</w:t>
            </w:r>
            <w:r>
              <w:rPr>
                <w:rFonts w:cs="宋体"/>
                <w:sz w:val="21"/>
                <w:szCs w:val="21"/>
              </w:rPr>
              <w:t>~</w:t>
            </w:r>
            <w:r>
              <w:rPr>
                <w:sz w:val="21"/>
                <w:szCs w:val="21"/>
              </w:rPr>
              <w:t>50km□</w:t>
            </w:r>
          </w:p>
        </w:tc>
        <w:tc>
          <w:tcPr>
            <w:tcW w:w="908" w:type="pct"/>
            <w:gridSpan w:val="3"/>
            <w:tcBorders>
              <w:tl2br w:val="nil"/>
              <w:tr2bl w:val="nil"/>
            </w:tcBorders>
            <w:vAlign w:val="center"/>
          </w:tcPr>
          <w:p w14:paraId="474F8C02">
            <w:pPr>
              <w:ind w:firstLine="0" w:firstLineChars="0"/>
              <w:jc w:val="center"/>
              <w:rPr>
                <w:rFonts w:cs="MS Gothic"/>
                <w:sz w:val="21"/>
                <w:szCs w:val="21"/>
              </w:rPr>
            </w:pPr>
            <w:r>
              <w:rPr>
                <w:rFonts w:cs="宋体"/>
                <w:sz w:val="21"/>
                <w:szCs w:val="21"/>
              </w:rPr>
              <w:t>边长</w:t>
            </w:r>
            <w:r>
              <w:rPr>
                <w:sz w:val="21"/>
                <w:szCs w:val="21"/>
              </w:rPr>
              <w:t>=5km</w:t>
            </w:r>
            <w:r>
              <w:rPr>
                <w:rFonts w:cs="MS Gothic"/>
                <w:sz w:val="21"/>
                <w:szCs w:val="21"/>
              </w:rPr>
              <w:t>☑</w:t>
            </w:r>
          </w:p>
        </w:tc>
      </w:tr>
      <w:tr w14:paraId="48FE0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311" w:type="pct"/>
            <w:vMerge w:val="restart"/>
            <w:tcBorders>
              <w:tl2br w:val="nil"/>
              <w:tr2bl w:val="nil"/>
            </w:tcBorders>
            <w:vAlign w:val="center"/>
          </w:tcPr>
          <w:p w14:paraId="0D9ACF25">
            <w:pPr>
              <w:ind w:firstLine="0" w:firstLineChars="0"/>
              <w:jc w:val="center"/>
              <w:rPr>
                <w:rFonts w:cs="宋体"/>
                <w:sz w:val="21"/>
                <w:szCs w:val="21"/>
              </w:rPr>
            </w:pPr>
            <w:r>
              <w:rPr>
                <w:rFonts w:cs="宋体"/>
                <w:sz w:val="21"/>
                <w:szCs w:val="21"/>
              </w:rPr>
              <w:t>评价因子</w:t>
            </w:r>
          </w:p>
        </w:tc>
        <w:tc>
          <w:tcPr>
            <w:tcW w:w="799" w:type="pct"/>
            <w:tcBorders>
              <w:tl2br w:val="nil"/>
              <w:tr2bl w:val="nil"/>
            </w:tcBorders>
            <w:vAlign w:val="center"/>
          </w:tcPr>
          <w:p w14:paraId="07097D29">
            <w:pPr>
              <w:ind w:firstLine="0" w:firstLineChars="0"/>
              <w:jc w:val="center"/>
              <w:rPr>
                <w:rFonts w:cs="宋体"/>
                <w:sz w:val="21"/>
                <w:szCs w:val="21"/>
              </w:rPr>
            </w:pPr>
            <w:r>
              <w:rPr>
                <w:sz w:val="21"/>
                <w:szCs w:val="21"/>
              </w:rPr>
              <w:t>SO</w:t>
            </w:r>
            <w:r>
              <w:rPr>
                <w:sz w:val="21"/>
                <w:szCs w:val="14"/>
                <w:vertAlign w:val="subscript"/>
              </w:rPr>
              <w:t>2</w:t>
            </w:r>
            <w:r>
              <w:rPr>
                <w:sz w:val="21"/>
                <w:szCs w:val="21"/>
              </w:rPr>
              <w:t>+NO</w:t>
            </w:r>
            <w:r>
              <w:rPr>
                <w:iCs/>
                <w:sz w:val="21"/>
                <w:szCs w:val="21"/>
              </w:rPr>
              <w:t>x</w:t>
            </w:r>
            <w:r>
              <w:rPr>
                <w:rFonts w:cs="宋体"/>
                <w:sz w:val="21"/>
                <w:szCs w:val="21"/>
              </w:rPr>
              <w:t>排放量</w:t>
            </w:r>
          </w:p>
        </w:tc>
        <w:tc>
          <w:tcPr>
            <w:tcW w:w="826" w:type="pct"/>
            <w:gridSpan w:val="2"/>
            <w:tcBorders>
              <w:tl2br w:val="nil"/>
              <w:tr2bl w:val="nil"/>
            </w:tcBorders>
            <w:vAlign w:val="center"/>
          </w:tcPr>
          <w:p w14:paraId="121342A6">
            <w:pPr>
              <w:ind w:firstLine="0" w:firstLineChars="0"/>
              <w:jc w:val="center"/>
              <w:rPr>
                <w:rFonts w:cs="宋体"/>
                <w:sz w:val="21"/>
                <w:szCs w:val="21"/>
              </w:rPr>
            </w:pPr>
            <w:r>
              <w:rPr>
                <w:rFonts w:cs="宋体"/>
                <w:sz w:val="21"/>
                <w:szCs w:val="21"/>
              </w:rPr>
              <w:t>≥</w:t>
            </w:r>
            <w:r>
              <w:rPr>
                <w:sz w:val="21"/>
                <w:szCs w:val="21"/>
              </w:rPr>
              <w:t>2000t/a</w:t>
            </w:r>
            <w:r>
              <w:rPr>
                <w:rFonts w:cs="宋体"/>
                <w:sz w:val="21"/>
                <w:szCs w:val="21"/>
              </w:rPr>
              <w:t>□</w:t>
            </w:r>
          </w:p>
        </w:tc>
        <w:tc>
          <w:tcPr>
            <w:tcW w:w="2154" w:type="pct"/>
            <w:gridSpan w:val="7"/>
            <w:tcBorders>
              <w:tl2br w:val="nil"/>
              <w:tr2bl w:val="nil"/>
            </w:tcBorders>
            <w:vAlign w:val="center"/>
          </w:tcPr>
          <w:p w14:paraId="07F088FD">
            <w:pPr>
              <w:ind w:firstLine="0" w:firstLineChars="0"/>
              <w:jc w:val="center"/>
              <w:rPr>
                <w:sz w:val="21"/>
                <w:szCs w:val="21"/>
              </w:rPr>
            </w:pPr>
            <w:r>
              <w:rPr>
                <w:sz w:val="21"/>
                <w:szCs w:val="21"/>
              </w:rPr>
              <w:t>500~2000t/a□</w:t>
            </w:r>
          </w:p>
        </w:tc>
        <w:tc>
          <w:tcPr>
            <w:tcW w:w="908" w:type="pct"/>
            <w:gridSpan w:val="3"/>
            <w:tcBorders>
              <w:tl2br w:val="nil"/>
              <w:tr2bl w:val="nil"/>
            </w:tcBorders>
            <w:vAlign w:val="center"/>
          </w:tcPr>
          <w:p w14:paraId="31C40B9B">
            <w:pPr>
              <w:ind w:firstLine="0" w:firstLineChars="0"/>
              <w:jc w:val="center"/>
              <w:rPr>
                <w:rFonts w:cs="MS Gothic"/>
                <w:sz w:val="21"/>
                <w:szCs w:val="21"/>
              </w:rPr>
            </w:pPr>
            <w:r>
              <w:rPr>
                <w:rFonts w:cs="宋体"/>
                <w:sz w:val="21"/>
                <w:szCs w:val="21"/>
              </w:rPr>
              <w:t>＜</w:t>
            </w:r>
            <w:r>
              <w:rPr>
                <w:sz w:val="21"/>
                <w:szCs w:val="21"/>
              </w:rPr>
              <w:t>500t/a</w:t>
            </w:r>
            <w:r>
              <w:rPr>
                <w:rFonts w:cs="MS Gothic"/>
                <w:sz w:val="21"/>
                <w:szCs w:val="21"/>
              </w:rPr>
              <w:t>☑</w:t>
            </w:r>
          </w:p>
        </w:tc>
      </w:tr>
      <w:tr w14:paraId="4F461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311" w:type="pct"/>
            <w:vMerge w:val="continue"/>
            <w:tcBorders>
              <w:tl2br w:val="nil"/>
              <w:tr2bl w:val="nil"/>
            </w:tcBorders>
            <w:vAlign w:val="center"/>
          </w:tcPr>
          <w:p w14:paraId="55683387">
            <w:pPr>
              <w:ind w:firstLine="0" w:firstLineChars="0"/>
              <w:jc w:val="center"/>
              <w:rPr>
                <w:sz w:val="21"/>
              </w:rPr>
            </w:pPr>
          </w:p>
        </w:tc>
        <w:tc>
          <w:tcPr>
            <w:tcW w:w="799" w:type="pct"/>
            <w:vMerge w:val="restart"/>
            <w:tcBorders>
              <w:tl2br w:val="nil"/>
              <w:tr2bl w:val="nil"/>
            </w:tcBorders>
            <w:vAlign w:val="center"/>
          </w:tcPr>
          <w:p w14:paraId="198DAF5E">
            <w:pPr>
              <w:ind w:firstLine="0" w:firstLineChars="0"/>
              <w:jc w:val="center"/>
              <w:rPr>
                <w:rFonts w:cs="宋体"/>
                <w:sz w:val="21"/>
                <w:szCs w:val="21"/>
              </w:rPr>
            </w:pPr>
            <w:r>
              <w:rPr>
                <w:rFonts w:cs="宋体"/>
                <w:sz w:val="21"/>
                <w:szCs w:val="21"/>
              </w:rPr>
              <w:t>评价因子</w:t>
            </w:r>
          </w:p>
        </w:tc>
        <w:tc>
          <w:tcPr>
            <w:tcW w:w="1945" w:type="pct"/>
            <w:gridSpan w:val="6"/>
            <w:tcBorders>
              <w:tl2br w:val="nil"/>
              <w:tr2bl w:val="nil"/>
            </w:tcBorders>
            <w:vAlign w:val="center"/>
          </w:tcPr>
          <w:p w14:paraId="6B8D5D25">
            <w:pPr>
              <w:ind w:firstLine="0" w:firstLineChars="0"/>
              <w:jc w:val="center"/>
              <w:rPr>
                <w:sz w:val="21"/>
                <w:szCs w:val="21"/>
              </w:rPr>
            </w:pPr>
            <w:r>
              <w:rPr>
                <w:rFonts w:cs="宋体"/>
                <w:sz w:val="21"/>
                <w:szCs w:val="21"/>
              </w:rPr>
              <w:t>基本污染物</w:t>
            </w:r>
            <w:r>
              <w:rPr>
                <w:rFonts w:hint="eastAsia"/>
                <w:sz w:val="21"/>
                <w:szCs w:val="21"/>
              </w:rPr>
              <w:t>（</w:t>
            </w:r>
            <w:r>
              <w:rPr>
                <w:sz w:val="21"/>
                <w:szCs w:val="21"/>
              </w:rPr>
              <w:t>PM</w:t>
            </w:r>
            <w:r>
              <w:rPr>
                <w:sz w:val="21"/>
                <w:szCs w:val="14"/>
                <w:vertAlign w:val="subscript"/>
              </w:rPr>
              <w:t>10</w:t>
            </w:r>
            <w:r>
              <w:rPr>
                <w:rFonts w:cs="宋体"/>
                <w:sz w:val="21"/>
                <w:szCs w:val="21"/>
              </w:rPr>
              <w:t>、</w:t>
            </w:r>
            <w:r>
              <w:rPr>
                <w:sz w:val="21"/>
                <w:szCs w:val="21"/>
              </w:rPr>
              <w:t>PM</w:t>
            </w:r>
            <w:r>
              <w:rPr>
                <w:sz w:val="21"/>
                <w:szCs w:val="14"/>
                <w:vertAlign w:val="subscript"/>
              </w:rPr>
              <w:t>2.5</w:t>
            </w:r>
            <w:r>
              <w:rPr>
                <w:rFonts w:cs="宋体"/>
                <w:sz w:val="21"/>
                <w:szCs w:val="21"/>
              </w:rPr>
              <w:t>、</w:t>
            </w:r>
            <w:r>
              <w:rPr>
                <w:sz w:val="21"/>
                <w:szCs w:val="21"/>
              </w:rPr>
              <w:t>SO</w:t>
            </w:r>
            <w:r>
              <w:rPr>
                <w:sz w:val="21"/>
                <w:szCs w:val="14"/>
                <w:vertAlign w:val="subscript"/>
              </w:rPr>
              <w:t>2</w:t>
            </w:r>
            <w:r>
              <w:rPr>
                <w:rFonts w:cs="宋体"/>
                <w:sz w:val="21"/>
                <w:szCs w:val="21"/>
              </w:rPr>
              <w:t>、</w:t>
            </w:r>
            <w:r>
              <w:rPr>
                <w:sz w:val="21"/>
                <w:szCs w:val="21"/>
              </w:rPr>
              <w:t>NOx</w:t>
            </w:r>
            <w:r>
              <w:rPr>
                <w:rFonts w:cs="宋体"/>
                <w:sz w:val="21"/>
                <w:szCs w:val="21"/>
              </w:rPr>
              <w:t>、</w:t>
            </w:r>
            <w:r>
              <w:rPr>
                <w:sz w:val="21"/>
                <w:szCs w:val="21"/>
              </w:rPr>
              <w:t>CO</w:t>
            </w:r>
            <w:r>
              <w:rPr>
                <w:rFonts w:cs="宋体"/>
                <w:sz w:val="21"/>
                <w:szCs w:val="21"/>
              </w:rPr>
              <w:t>、</w:t>
            </w:r>
            <w:r>
              <w:rPr>
                <w:sz w:val="21"/>
                <w:szCs w:val="21"/>
              </w:rPr>
              <w:t>O</w:t>
            </w:r>
            <w:r>
              <w:rPr>
                <w:sz w:val="21"/>
                <w:szCs w:val="14"/>
                <w:vertAlign w:val="subscript"/>
              </w:rPr>
              <w:t>3</w:t>
            </w:r>
            <w:r>
              <w:rPr>
                <w:rFonts w:hint="eastAsia"/>
                <w:sz w:val="21"/>
                <w:szCs w:val="21"/>
              </w:rPr>
              <w:t>）</w:t>
            </w:r>
          </w:p>
        </w:tc>
        <w:tc>
          <w:tcPr>
            <w:tcW w:w="1942" w:type="pct"/>
            <w:gridSpan w:val="6"/>
            <w:vMerge w:val="restart"/>
            <w:tcBorders>
              <w:tl2br w:val="nil"/>
              <w:tr2bl w:val="nil"/>
            </w:tcBorders>
            <w:vAlign w:val="center"/>
          </w:tcPr>
          <w:p w14:paraId="293B56E5">
            <w:pPr>
              <w:ind w:firstLine="0" w:firstLineChars="0"/>
              <w:jc w:val="center"/>
              <w:rPr>
                <w:sz w:val="21"/>
                <w:szCs w:val="21"/>
              </w:rPr>
            </w:pPr>
            <w:r>
              <w:rPr>
                <w:rFonts w:cs="宋体"/>
                <w:sz w:val="21"/>
                <w:szCs w:val="21"/>
              </w:rPr>
              <w:t>包括二次</w:t>
            </w:r>
            <w:r>
              <w:rPr>
                <w:sz w:val="21"/>
                <w:szCs w:val="21"/>
              </w:rPr>
              <w:t>PM</w:t>
            </w:r>
            <w:r>
              <w:rPr>
                <w:sz w:val="21"/>
                <w:szCs w:val="14"/>
                <w:vertAlign w:val="subscript"/>
              </w:rPr>
              <w:t>2.5</w:t>
            </w:r>
            <w:r>
              <w:rPr>
                <w:sz w:val="21"/>
                <w:szCs w:val="21"/>
              </w:rPr>
              <w:t>□</w:t>
            </w:r>
          </w:p>
          <w:p w14:paraId="64814BCE">
            <w:pPr>
              <w:ind w:firstLine="0" w:firstLineChars="0"/>
              <w:jc w:val="center"/>
              <w:rPr>
                <w:rFonts w:cs="MS Gothic"/>
                <w:sz w:val="21"/>
                <w:szCs w:val="21"/>
              </w:rPr>
            </w:pPr>
            <w:r>
              <w:rPr>
                <w:rFonts w:cs="宋体"/>
                <w:sz w:val="21"/>
                <w:szCs w:val="21"/>
              </w:rPr>
              <w:t>不包括二次</w:t>
            </w:r>
            <w:r>
              <w:rPr>
                <w:sz w:val="21"/>
                <w:szCs w:val="21"/>
              </w:rPr>
              <w:t>PM</w:t>
            </w:r>
            <w:r>
              <w:rPr>
                <w:sz w:val="21"/>
                <w:szCs w:val="14"/>
                <w:vertAlign w:val="subscript"/>
              </w:rPr>
              <w:t>2.5</w:t>
            </w:r>
            <w:r>
              <w:rPr>
                <w:rFonts w:cs="MS Gothic"/>
                <w:sz w:val="21"/>
                <w:szCs w:val="21"/>
              </w:rPr>
              <w:t>☑</w:t>
            </w:r>
          </w:p>
        </w:tc>
      </w:tr>
      <w:tr w14:paraId="11580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311" w:type="pct"/>
            <w:vMerge w:val="continue"/>
            <w:tcBorders>
              <w:tl2br w:val="nil"/>
              <w:tr2bl w:val="nil"/>
            </w:tcBorders>
            <w:vAlign w:val="center"/>
          </w:tcPr>
          <w:p w14:paraId="4FAD9ACC">
            <w:pPr>
              <w:ind w:firstLine="0" w:firstLineChars="0"/>
              <w:jc w:val="center"/>
              <w:rPr>
                <w:sz w:val="21"/>
              </w:rPr>
            </w:pPr>
          </w:p>
        </w:tc>
        <w:tc>
          <w:tcPr>
            <w:tcW w:w="799" w:type="pct"/>
            <w:vMerge w:val="continue"/>
            <w:tcBorders>
              <w:tl2br w:val="nil"/>
              <w:tr2bl w:val="nil"/>
            </w:tcBorders>
            <w:vAlign w:val="center"/>
          </w:tcPr>
          <w:p w14:paraId="521859AD">
            <w:pPr>
              <w:ind w:firstLine="0" w:firstLineChars="0"/>
              <w:jc w:val="center"/>
              <w:rPr>
                <w:sz w:val="21"/>
              </w:rPr>
            </w:pPr>
          </w:p>
        </w:tc>
        <w:tc>
          <w:tcPr>
            <w:tcW w:w="1945" w:type="pct"/>
            <w:gridSpan w:val="6"/>
            <w:tcBorders>
              <w:tl2br w:val="nil"/>
              <w:tr2bl w:val="nil"/>
            </w:tcBorders>
            <w:vAlign w:val="center"/>
          </w:tcPr>
          <w:p w14:paraId="0B352C53">
            <w:pPr>
              <w:ind w:firstLine="0" w:firstLineChars="0"/>
              <w:jc w:val="center"/>
              <w:rPr>
                <w:sz w:val="21"/>
                <w:szCs w:val="21"/>
              </w:rPr>
            </w:pPr>
            <w:r>
              <w:rPr>
                <w:rFonts w:cs="宋体"/>
                <w:sz w:val="21"/>
                <w:szCs w:val="21"/>
              </w:rPr>
              <w:t>其他污染物</w:t>
            </w:r>
            <w:r>
              <w:rPr>
                <w:rFonts w:hint="eastAsia"/>
                <w:sz w:val="21"/>
                <w:szCs w:val="21"/>
              </w:rPr>
              <w:t>（</w:t>
            </w:r>
            <w:r>
              <w:rPr>
                <w:sz w:val="21"/>
                <w:szCs w:val="21"/>
              </w:rPr>
              <w:t>NH</w:t>
            </w:r>
            <w:r>
              <w:rPr>
                <w:sz w:val="21"/>
                <w:szCs w:val="14"/>
                <w:vertAlign w:val="subscript"/>
              </w:rPr>
              <w:t>3</w:t>
            </w:r>
            <w:r>
              <w:rPr>
                <w:rFonts w:cs="宋体"/>
                <w:sz w:val="21"/>
                <w:szCs w:val="21"/>
              </w:rPr>
              <w:t>、</w:t>
            </w:r>
            <w:r>
              <w:rPr>
                <w:sz w:val="21"/>
                <w:szCs w:val="21"/>
              </w:rPr>
              <w:t>H</w:t>
            </w:r>
            <w:r>
              <w:rPr>
                <w:sz w:val="21"/>
                <w:szCs w:val="14"/>
                <w:vertAlign w:val="subscript"/>
              </w:rPr>
              <w:t>2</w:t>
            </w:r>
            <w:r>
              <w:rPr>
                <w:sz w:val="21"/>
                <w:szCs w:val="21"/>
              </w:rPr>
              <w:t>S</w:t>
            </w:r>
            <w:r>
              <w:rPr>
                <w:rFonts w:hint="eastAsia"/>
                <w:sz w:val="21"/>
                <w:szCs w:val="21"/>
              </w:rPr>
              <w:t>）</w:t>
            </w:r>
          </w:p>
        </w:tc>
        <w:tc>
          <w:tcPr>
            <w:tcW w:w="1942" w:type="pct"/>
            <w:gridSpan w:val="6"/>
            <w:vMerge w:val="continue"/>
            <w:tcBorders>
              <w:tl2br w:val="nil"/>
              <w:tr2bl w:val="nil"/>
            </w:tcBorders>
            <w:vAlign w:val="center"/>
          </w:tcPr>
          <w:p w14:paraId="11F223E7">
            <w:pPr>
              <w:ind w:firstLine="0" w:firstLineChars="0"/>
              <w:jc w:val="center"/>
              <w:rPr>
                <w:sz w:val="21"/>
              </w:rPr>
            </w:pPr>
          </w:p>
        </w:tc>
      </w:tr>
      <w:tr w14:paraId="73498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tcBorders>
              <w:tl2br w:val="nil"/>
              <w:tr2bl w:val="nil"/>
            </w:tcBorders>
            <w:vAlign w:val="center"/>
          </w:tcPr>
          <w:p w14:paraId="7A15D30C">
            <w:pPr>
              <w:ind w:firstLine="0" w:firstLineChars="0"/>
              <w:jc w:val="center"/>
              <w:rPr>
                <w:rFonts w:cs="宋体"/>
                <w:sz w:val="21"/>
                <w:szCs w:val="21"/>
              </w:rPr>
            </w:pPr>
            <w:r>
              <w:rPr>
                <w:rFonts w:cs="宋体"/>
                <w:sz w:val="21"/>
                <w:szCs w:val="21"/>
              </w:rPr>
              <w:t>评价标准</w:t>
            </w:r>
          </w:p>
        </w:tc>
        <w:tc>
          <w:tcPr>
            <w:tcW w:w="799" w:type="pct"/>
            <w:tcBorders>
              <w:tl2br w:val="nil"/>
              <w:tr2bl w:val="nil"/>
            </w:tcBorders>
            <w:vAlign w:val="center"/>
          </w:tcPr>
          <w:p w14:paraId="324E7D4E">
            <w:pPr>
              <w:ind w:firstLine="0" w:firstLineChars="0"/>
              <w:jc w:val="center"/>
              <w:rPr>
                <w:rFonts w:cs="宋体"/>
                <w:sz w:val="21"/>
                <w:szCs w:val="21"/>
              </w:rPr>
            </w:pPr>
            <w:r>
              <w:rPr>
                <w:rFonts w:cs="宋体"/>
                <w:sz w:val="21"/>
                <w:szCs w:val="21"/>
              </w:rPr>
              <w:t>评价标准</w:t>
            </w:r>
          </w:p>
        </w:tc>
        <w:tc>
          <w:tcPr>
            <w:tcW w:w="1117" w:type="pct"/>
            <w:gridSpan w:val="5"/>
            <w:tcBorders>
              <w:tl2br w:val="nil"/>
              <w:tr2bl w:val="nil"/>
            </w:tcBorders>
            <w:vAlign w:val="center"/>
          </w:tcPr>
          <w:p w14:paraId="0829DC40">
            <w:pPr>
              <w:ind w:firstLine="0" w:firstLineChars="0"/>
              <w:jc w:val="center"/>
              <w:rPr>
                <w:rFonts w:cs="MS Gothic"/>
                <w:sz w:val="21"/>
                <w:szCs w:val="21"/>
              </w:rPr>
            </w:pPr>
            <w:r>
              <w:rPr>
                <w:rFonts w:cs="宋体"/>
                <w:sz w:val="21"/>
                <w:szCs w:val="21"/>
              </w:rPr>
              <w:t>国家标准</w:t>
            </w:r>
            <w:r>
              <w:rPr>
                <w:rFonts w:cs="MS Gothic"/>
                <w:sz w:val="21"/>
                <w:szCs w:val="21"/>
              </w:rPr>
              <w:t>☑</w:t>
            </w:r>
          </w:p>
        </w:tc>
        <w:tc>
          <w:tcPr>
            <w:tcW w:w="828" w:type="pct"/>
            <w:tcBorders>
              <w:tl2br w:val="nil"/>
              <w:tr2bl w:val="nil"/>
            </w:tcBorders>
            <w:vAlign w:val="center"/>
          </w:tcPr>
          <w:p w14:paraId="48F33E98">
            <w:pPr>
              <w:ind w:firstLine="0" w:firstLineChars="0"/>
              <w:jc w:val="center"/>
              <w:rPr>
                <w:rFonts w:cs="宋体"/>
                <w:sz w:val="21"/>
                <w:szCs w:val="21"/>
              </w:rPr>
            </w:pPr>
            <w:r>
              <w:rPr>
                <w:rFonts w:cs="宋体"/>
                <w:sz w:val="21"/>
                <w:szCs w:val="21"/>
              </w:rPr>
              <w:t>地方标准□</w:t>
            </w:r>
          </w:p>
        </w:tc>
        <w:tc>
          <w:tcPr>
            <w:tcW w:w="1334" w:type="pct"/>
            <w:gridSpan w:val="5"/>
            <w:tcBorders>
              <w:tl2br w:val="nil"/>
              <w:tr2bl w:val="nil"/>
            </w:tcBorders>
            <w:vAlign w:val="center"/>
          </w:tcPr>
          <w:p w14:paraId="36B521AA">
            <w:pPr>
              <w:ind w:firstLine="0" w:firstLineChars="0"/>
              <w:jc w:val="center"/>
              <w:rPr>
                <w:rFonts w:cs="MS Gothic"/>
                <w:sz w:val="21"/>
                <w:szCs w:val="21"/>
              </w:rPr>
            </w:pPr>
            <w:r>
              <w:rPr>
                <w:rFonts w:cs="宋体"/>
                <w:sz w:val="21"/>
                <w:szCs w:val="21"/>
              </w:rPr>
              <w:t>附录</w:t>
            </w:r>
            <w:r>
              <w:rPr>
                <w:sz w:val="21"/>
                <w:szCs w:val="21"/>
              </w:rPr>
              <w:t>D</w:t>
            </w:r>
            <w:r>
              <w:rPr>
                <w:rFonts w:cs="MS Gothic"/>
                <w:sz w:val="21"/>
                <w:szCs w:val="21"/>
              </w:rPr>
              <w:t>☑</w:t>
            </w:r>
          </w:p>
        </w:tc>
        <w:tc>
          <w:tcPr>
            <w:tcW w:w="608" w:type="pct"/>
            <w:tcBorders>
              <w:tl2br w:val="nil"/>
              <w:tr2bl w:val="nil"/>
            </w:tcBorders>
            <w:vAlign w:val="center"/>
          </w:tcPr>
          <w:p w14:paraId="5DD9456E">
            <w:pPr>
              <w:ind w:firstLine="0" w:firstLineChars="0"/>
              <w:jc w:val="center"/>
              <w:rPr>
                <w:rFonts w:cs="宋体"/>
                <w:sz w:val="21"/>
                <w:szCs w:val="21"/>
              </w:rPr>
            </w:pPr>
            <w:r>
              <w:rPr>
                <w:rFonts w:cs="宋体"/>
                <w:sz w:val="21"/>
                <w:szCs w:val="21"/>
              </w:rPr>
              <w:t>其他标准□</w:t>
            </w:r>
          </w:p>
        </w:tc>
      </w:tr>
      <w:tr w14:paraId="3A035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restart"/>
            <w:tcBorders>
              <w:tl2br w:val="nil"/>
              <w:tr2bl w:val="nil"/>
            </w:tcBorders>
            <w:vAlign w:val="center"/>
          </w:tcPr>
          <w:p w14:paraId="6621284B">
            <w:pPr>
              <w:ind w:firstLine="0" w:firstLineChars="0"/>
              <w:jc w:val="center"/>
              <w:rPr>
                <w:rFonts w:cs="宋体"/>
                <w:sz w:val="21"/>
                <w:szCs w:val="21"/>
              </w:rPr>
            </w:pPr>
            <w:r>
              <w:rPr>
                <w:rFonts w:cs="宋体"/>
                <w:sz w:val="21"/>
                <w:szCs w:val="21"/>
              </w:rPr>
              <w:t>现状评价</w:t>
            </w:r>
          </w:p>
        </w:tc>
        <w:tc>
          <w:tcPr>
            <w:tcW w:w="799" w:type="pct"/>
            <w:tcBorders>
              <w:tl2br w:val="nil"/>
              <w:tr2bl w:val="nil"/>
            </w:tcBorders>
            <w:vAlign w:val="center"/>
          </w:tcPr>
          <w:p w14:paraId="2113A861">
            <w:pPr>
              <w:ind w:firstLine="0" w:firstLineChars="0"/>
              <w:jc w:val="center"/>
              <w:rPr>
                <w:rFonts w:cs="宋体"/>
                <w:sz w:val="21"/>
                <w:szCs w:val="21"/>
              </w:rPr>
            </w:pPr>
            <w:r>
              <w:rPr>
                <w:rFonts w:cs="宋体"/>
                <w:sz w:val="21"/>
                <w:szCs w:val="21"/>
              </w:rPr>
              <w:t>环境功能区</w:t>
            </w:r>
          </w:p>
        </w:tc>
        <w:tc>
          <w:tcPr>
            <w:tcW w:w="1117" w:type="pct"/>
            <w:gridSpan w:val="5"/>
            <w:tcBorders>
              <w:tl2br w:val="nil"/>
              <w:tr2bl w:val="nil"/>
            </w:tcBorders>
            <w:vAlign w:val="center"/>
          </w:tcPr>
          <w:p w14:paraId="0A2F50A2">
            <w:pPr>
              <w:ind w:firstLine="0" w:firstLineChars="0"/>
              <w:jc w:val="center"/>
              <w:rPr>
                <w:sz w:val="21"/>
                <w:szCs w:val="21"/>
              </w:rPr>
            </w:pPr>
            <w:r>
              <w:rPr>
                <w:rFonts w:cs="宋体"/>
                <w:sz w:val="21"/>
                <w:szCs w:val="21"/>
              </w:rPr>
              <w:t>一类区</w:t>
            </w:r>
            <w:r>
              <w:rPr>
                <w:sz w:val="21"/>
                <w:szCs w:val="21"/>
              </w:rPr>
              <w:t>□</w:t>
            </w:r>
          </w:p>
        </w:tc>
        <w:tc>
          <w:tcPr>
            <w:tcW w:w="1863" w:type="pct"/>
            <w:gridSpan w:val="4"/>
            <w:tcBorders>
              <w:tl2br w:val="nil"/>
              <w:tr2bl w:val="nil"/>
            </w:tcBorders>
            <w:vAlign w:val="center"/>
          </w:tcPr>
          <w:p w14:paraId="5434FD97">
            <w:pPr>
              <w:ind w:firstLine="0" w:firstLineChars="0"/>
              <w:jc w:val="center"/>
              <w:rPr>
                <w:rFonts w:cs="MS Gothic"/>
                <w:sz w:val="21"/>
                <w:szCs w:val="21"/>
              </w:rPr>
            </w:pPr>
            <w:r>
              <w:rPr>
                <w:rFonts w:cs="宋体"/>
                <w:sz w:val="21"/>
                <w:szCs w:val="21"/>
              </w:rPr>
              <w:t>二类区</w:t>
            </w:r>
            <w:r>
              <w:rPr>
                <w:rFonts w:cs="MS Gothic"/>
                <w:sz w:val="21"/>
                <w:szCs w:val="21"/>
              </w:rPr>
              <w:t>☑</w:t>
            </w:r>
          </w:p>
        </w:tc>
        <w:tc>
          <w:tcPr>
            <w:tcW w:w="908" w:type="pct"/>
            <w:gridSpan w:val="3"/>
            <w:tcBorders>
              <w:tl2br w:val="nil"/>
              <w:tr2bl w:val="nil"/>
            </w:tcBorders>
            <w:vAlign w:val="center"/>
          </w:tcPr>
          <w:p w14:paraId="0FF1602D">
            <w:pPr>
              <w:ind w:firstLine="0" w:firstLineChars="0"/>
              <w:jc w:val="center"/>
              <w:rPr>
                <w:sz w:val="21"/>
                <w:szCs w:val="21"/>
              </w:rPr>
            </w:pPr>
            <w:r>
              <w:rPr>
                <w:rFonts w:cs="宋体"/>
                <w:sz w:val="21"/>
                <w:szCs w:val="21"/>
              </w:rPr>
              <w:t>一类区和二类区</w:t>
            </w:r>
            <w:r>
              <w:rPr>
                <w:sz w:val="21"/>
                <w:szCs w:val="21"/>
              </w:rPr>
              <w:t>□</w:t>
            </w:r>
          </w:p>
        </w:tc>
      </w:tr>
      <w:tr w14:paraId="0F41B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2DD6CCC6">
            <w:pPr>
              <w:ind w:firstLine="0" w:firstLineChars="0"/>
              <w:jc w:val="center"/>
              <w:rPr>
                <w:sz w:val="21"/>
              </w:rPr>
            </w:pPr>
          </w:p>
        </w:tc>
        <w:tc>
          <w:tcPr>
            <w:tcW w:w="799" w:type="pct"/>
            <w:tcBorders>
              <w:tl2br w:val="nil"/>
              <w:tr2bl w:val="nil"/>
            </w:tcBorders>
            <w:vAlign w:val="center"/>
          </w:tcPr>
          <w:p w14:paraId="247A848C">
            <w:pPr>
              <w:ind w:firstLine="0" w:firstLineChars="0"/>
              <w:jc w:val="center"/>
              <w:rPr>
                <w:rFonts w:cs="宋体"/>
                <w:sz w:val="21"/>
                <w:szCs w:val="21"/>
              </w:rPr>
            </w:pPr>
            <w:r>
              <w:rPr>
                <w:rFonts w:cs="宋体"/>
                <w:sz w:val="21"/>
                <w:szCs w:val="21"/>
              </w:rPr>
              <w:t>评价基准年</w:t>
            </w:r>
          </w:p>
        </w:tc>
        <w:tc>
          <w:tcPr>
            <w:tcW w:w="3888" w:type="pct"/>
            <w:gridSpan w:val="12"/>
            <w:tcBorders>
              <w:tl2br w:val="nil"/>
              <w:tr2bl w:val="nil"/>
            </w:tcBorders>
            <w:vAlign w:val="center"/>
          </w:tcPr>
          <w:p w14:paraId="0B3BC6AE">
            <w:pPr>
              <w:ind w:firstLine="0" w:firstLineChars="0"/>
              <w:jc w:val="center"/>
              <w:rPr>
                <w:rFonts w:cs="宋体"/>
                <w:sz w:val="21"/>
                <w:szCs w:val="21"/>
              </w:rPr>
            </w:pPr>
            <w:r>
              <w:rPr>
                <w:rFonts w:hint="eastAsia" w:cs="宋体"/>
                <w:sz w:val="21"/>
                <w:szCs w:val="21"/>
              </w:rPr>
              <w:t>（</w:t>
            </w:r>
            <w:r>
              <w:rPr>
                <w:sz w:val="21"/>
                <w:szCs w:val="21"/>
              </w:rPr>
              <w:t>202</w:t>
            </w:r>
            <w:r>
              <w:rPr>
                <w:rFonts w:hint="eastAsia"/>
                <w:sz w:val="21"/>
                <w:szCs w:val="21"/>
              </w:rPr>
              <w:t>2</w:t>
            </w:r>
            <w:r>
              <w:rPr>
                <w:rFonts w:hint="eastAsia" w:cs="宋体"/>
                <w:sz w:val="21"/>
                <w:szCs w:val="21"/>
              </w:rPr>
              <w:t>）</w:t>
            </w:r>
            <w:r>
              <w:rPr>
                <w:rFonts w:cs="宋体"/>
                <w:sz w:val="21"/>
                <w:szCs w:val="21"/>
              </w:rPr>
              <w:t>年</w:t>
            </w:r>
          </w:p>
        </w:tc>
      </w:tr>
      <w:tr w14:paraId="529FA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11" w:type="pct"/>
            <w:vMerge w:val="continue"/>
            <w:tcBorders>
              <w:tl2br w:val="nil"/>
              <w:tr2bl w:val="nil"/>
            </w:tcBorders>
            <w:vAlign w:val="center"/>
          </w:tcPr>
          <w:p w14:paraId="66111D5E">
            <w:pPr>
              <w:ind w:firstLine="0" w:firstLineChars="0"/>
              <w:jc w:val="center"/>
              <w:rPr>
                <w:sz w:val="21"/>
              </w:rPr>
            </w:pPr>
          </w:p>
        </w:tc>
        <w:tc>
          <w:tcPr>
            <w:tcW w:w="799" w:type="pct"/>
            <w:tcBorders>
              <w:tl2br w:val="nil"/>
              <w:tr2bl w:val="nil"/>
            </w:tcBorders>
            <w:vAlign w:val="center"/>
          </w:tcPr>
          <w:p w14:paraId="39A0899F">
            <w:pPr>
              <w:ind w:firstLine="0" w:firstLineChars="0"/>
              <w:jc w:val="center"/>
              <w:rPr>
                <w:rFonts w:cs="宋体"/>
                <w:sz w:val="21"/>
                <w:szCs w:val="21"/>
              </w:rPr>
            </w:pPr>
            <w:r>
              <w:rPr>
                <w:rFonts w:cs="宋体"/>
                <w:sz w:val="21"/>
                <w:szCs w:val="21"/>
              </w:rPr>
              <w:t>环境空气质量现状调查数据来源</w:t>
            </w:r>
          </w:p>
        </w:tc>
        <w:tc>
          <w:tcPr>
            <w:tcW w:w="1117" w:type="pct"/>
            <w:gridSpan w:val="5"/>
            <w:tcBorders>
              <w:tl2br w:val="nil"/>
              <w:tr2bl w:val="nil"/>
            </w:tcBorders>
            <w:vAlign w:val="center"/>
          </w:tcPr>
          <w:p w14:paraId="5ECC76DF">
            <w:pPr>
              <w:ind w:firstLine="0" w:firstLineChars="0"/>
              <w:jc w:val="center"/>
              <w:rPr>
                <w:sz w:val="21"/>
                <w:szCs w:val="21"/>
              </w:rPr>
            </w:pPr>
            <w:r>
              <w:rPr>
                <w:rFonts w:cs="宋体"/>
                <w:sz w:val="21"/>
                <w:szCs w:val="21"/>
              </w:rPr>
              <w:t>长期例行监测数据</w:t>
            </w:r>
            <w:r>
              <w:rPr>
                <w:sz w:val="21"/>
                <w:szCs w:val="21"/>
              </w:rPr>
              <w:t>□</w:t>
            </w:r>
          </w:p>
        </w:tc>
        <w:tc>
          <w:tcPr>
            <w:tcW w:w="1863" w:type="pct"/>
            <w:gridSpan w:val="4"/>
            <w:tcBorders>
              <w:tl2br w:val="nil"/>
              <w:tr2bl w:val="nil"/>
            </w:tcBorders>
            <w:vAlign w:val="center"/>
          </w:tcPr>
          <w:p w14:paraId="64F9283E">
            <w:pPr>
              <w:ind w:firstLine="0" w:firstLineChars="0"/>
              <w:jc w:val="center"/>
              <w:rPr>
                <w:rFonts w:cs="MS Gothic"/>
                <w:sz w:val="21"/>
                <w:szCs w:val="21"/>
              </w:rPr>
            </w:pPr>
            <w:r>
              <w:rPr>
                <w:rFonts w:cs="宋体"/>
                <w:sz w:val="21"/>
                <w:szCs w:val="21"/>
              </w:rPr>
              <w:t>主管部门发布的数据</w:t>
            </w:r>
            <w:r>
              <w:rPr>
                <w:rFonts w:cs="MS Gothic"/>
                <w:sz w:val="21"/>
                <w:szCs w:val="21"/>
              </w:rPr>
              <w:t>☑</w:t>
            </w:r>
          </w:p>
        </w:tc>
        <w:tc>
          <w:tcPr>
            <w:tcW w:w="908" w:type="pct"/>
            <w:gridSpan w:val="3"/>
            <w:tcBorders>
              <w:tl2br w:val="nil"/>
              <w:tr2bl w:val="nil"/>
            </w:tcBorders>
            <w:vAlign w:val="center"/>
          </w:tcPr>
          <w:p w14:paraId="4589CD8E">
            <w:pPr>
              <w:ind w:firstLine="0" w:firstLineChars="0"/>
              <w:jc w:val="center"/>
              <w:rPr>
                <w:rFonts w:cs="MS Gothic"/>
                <w:sz w:val="21"/>
                <w:szCs w:val="21"/>
              </w:rPr>
            </w:pPr>
            <w:r>
              <w:rPr>
                <w:rFonts w:cs="宋体"/>
                <w:sz w:val="21"/>
                <w:szCs w:val="21"/>
              </w:rPr>
              <w:t>现状补充监测</w:t>
            </w:r>
            <w:r>
              <w:rPr>
                <w:rFonts w:cs="MS Gothic"/>
                <w:sz w:val="21"/>
                <w:szCs w:val="21"/>
              </w:rPr>
              <w:t>☑</w:t>
            </w:r>
          </w:p>
        </w:tc>
      </w:tr>
      <w:tr w14:paraId="7789F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5169C875">
            <w:pPr>
              <w:ind w:firstLine="0" w:firstLineChars="0"/>
              <w:jc w:val="center"/>
              <w:rPr>
                <w:sz w:val="21"/>
              </w:rPr>
            </w:pPr>
          </w:p>
        </w:tc>
        <w:tc>
          <w:tcPr>
            <w:tcW w:w="799" w:type="pct"/>
            <w:tcBorders>
              <w:tl2br w:val="nil"/>
              <w:tr2bl w:val="nil"/>
            </w:tcBorders>
            <w:vAlign w:val="center"/>
          </w:tcPr>
          <w:p w14:paraId="623C0B3E">
            <w:pPr>
              <w:ind w:firstLine="0" w:firstLineChars="0"/>
              <w:jc w:val="center"/>
              <w:rPr>
                <w:rFonts w:cs="宋体"/>
                <w:sz w:val="21"/>
                <w:szCs w:val="21"/>
              </w:rPr>
            </w:pPr>
            <w:r>
              <w:rPr>
                <w:rFonts w:cs="宋体"/>
                <w:sz w:val="21"/>
                <w:szCs w:val="21"/>
              </w:rPr>
              <w:t>现状评价</w:t>
            </w:r>
          </w:p>
        </w:tc>
        <w:tc>
          <w:tcPr>
            <w:tcW w:w="1945" w:type="pct"/>
            <w:gridSpan w:val="6"/>
            <w:tcBorders>
              <w:tl2br w:val="nil"/>
              <w:tr2bl w:val="nil"/>
            </w:tcBorders>
            <w:vAlign w:val="center"/>
          </w:tcPr>
          <w:p w14:paraId="34882217">
            <w:pPr>
              <w:ind w:firstLine="0" w:firstLineChars="0"/>
              <w:jc w:val="center"/>
              <w:rPr>
                <w:rFonts w:cs="宋体"/>
                <w:sz w:val="21"/>
                <w:szCs w:val="21"/>
              </w:rPr>
            </w:pPr>
            <w:r>
              <w:rPr>
                <w:rFonts w:cs="宋体"/>
                <w:sz w:val="21"/>
                <w:szCs w:val="21"/>
              </w:rPr>
              <w:t>达标区□</w:t>
            </w:r>
          </w:p>
        </w:tc>
        <w:tc>
          <w:tcPr>
            <w:tcW w:w="1942" w:type="pct"/>
            <w:gridSpan w:val="6"/>
            <w:tcBorders>
              <w:tl2br w:val="nil"/>
              <w:tr2bl w:val="nil"/>
            </w:tcBorders>
            <w:vAlign w:val="center"/>
          </w:tcPr>
          <w:p w14:paraId="65909AA7">
            <w:pPr>
              <w:ind w:firstLine="0" w:firstLineChars="0"/>
              <w:jc w:val="center"/>
              <w:rPr>
                <w:rFonts w:cs="MS Gothic"/>
                <w:sz w:val="21"/>
                <w:szCs w:val="21"/>
              </w:rPr>
            </w:pPr>
            <w:r>
              <w:rPr>
                <w:rFonts w:cs="宋体"/>
                <w:sz w:val="21"/>
                <w:szCs w:val="21"/>
              </w:rPr>
              <w:t>不达标区</w:t>
            </w:r>
            <w:r>
              <w:rPr>
                <w:rFonts w:cs="MS Gothic"/>
                <w:sz w:val="21"/>
                <w:szCs w:val="21"/>
              </w:rPr>
              <w:t>☑</w:t>
            </w:r>
          </w:p>
        </w:tc>
      </w:tr>
      <w:tr w14:paraId="7AD68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311" w:type="pct"/>
            <w:tcBorders>
              <w:tl2br w:val="nil"/>
              <w:tr2bl w:val="nil"/>
            </w:tcBorders>
            <w:vAlign w:val="center"/>
          </w:tcPr>
          <w:p w14:paraId="020C40F9">
            <w:pPr>
              <w:ind w:firstLine="0" w:firstLineChars="0"/>
              <w:jc w:val="center"/>
              <w:rPr>
                <w:rFonts w:cs="宋体"/>
                <w:sz w:val="21"/>
                <w:szCs w:val="21"/>
              </w:rPr>
            </w:pPr>
            <w:r>
              <w:rPr>
                <w:rFonts w:cs="宋体"/>
                <w:sz w:val="21"/>
                <w:szCs w:val="21"/>
              </w:rPr>
              <w:t>污染源调查</w:t>
            </w:r>
          </w:p>
        </w:tc>
        <w:tc>
          <w:tcPr>
            <w:tcW w:w="799" w:type="pct"/>
            <w:tcBorders>
              <w:tl2br w:val="nil"/>
              <w:tr2bl w:val="nil"/>
            </w:tcBorders>
            <w:vAlign w:val="center"/>
          </w:tcPr>
          <w:p w14:paraId="2B254B6D">
            <w:pPr>
              <w:ind w:firstLine="0" w:firstLineChars="0"/>
              <w:jc w:val="center"/>
              <w:rPr>
                <w:rFonts w:cs="宋体"/>
                <w:sz w:val="21"/>
                <w:szCs w:val="21"/>
              </w:rPr>
            </w:pPr>
            <w:r>
              <w:rPr>
                <w:rFonts w:cs="宋体"/>
                <w:sz w:val="21"/>
                <w:szCs w:val="21"/>
              </w:rPr>
              <w:t>调查内容</w:t>
            </w:r>
          </w:p>
        </w:tc>
        <w:tc>
          <w:tcPr>
            <w:tcW w:w="1117" w:type="pct"/>
            <w:gridSpan w:val="5"/>
            <w:tcBorders>
              <w:tl2br w:val="nil"/>
              <w:tr2bl w:val="nil"/>
            </w:tcBorders>
            <w:vAlign w:val="center"/>
          </w:tcPr>
          <w:p w14:paraId="50CB6C91">
            <w:pPr>
              <w:ind w:firstLine="0" w:firstLineChars="0"/>
              <w:jc w:val="center"/>
              <w:rPr>
                <w:rFonts w:cs="宋体"/>
                <w:sz w:val="21"/>
                <w:szCs w:val="21"/>
              </w:rPr>
            </w:pPr>
            <w:r>
              <w:rPr>
                <w:rFonts w:cs="宋体"/>
                <w:sz w:val="21"/>
                <w:szCs w:val="21"/>
              </w:rPr>
              <w:t>本项目正常排放源</w:t>
            </w:r>
          </w:p>
          <w:p w14:paraId="2710CA99">
            <w:pPr>
              <w:ind w:firstLine="0" w:firstLineChars="0"/>
              <w:jc w:val="center"/>
              <w:rPr>
                <w:rFonts w:cs="MS Gothic"/>
                <w:sz w:val="21"/>
                <w:szCs w:val="21"/>
              </w:rPr>
            </w:pPr>
            <w:r>
              <w:rPr>
                <w:rFonts w:cs="MS Gothic"/>
                <w:sz w:val="21"/>
                <w:szCs w:val="21"/>
              </w:rPr>
              <w:t>☑</w:t>
            </w:r>
          </w:p>
          <w:p w14:paraId="4A3913D7">
            <w:pPr>
              <w:ind w:firstLine="0" w:firstLineChars="0"/>
              <w:jc w:val="center"/>
              <w:rPr>
                <w:rFonts w:cs="宋体"/>
                <w:sz w:val="21"/>
                <w:szCs w:val="21"/>
              </w:rPr>
            </w:pPr>
            <w:r>
              <w:rPr>
                <w:rFonts w:cs="宋体"/>
                <w:sz w:val="21"/>
                <w:szCs w:val="21"/>
              </w:rPr>
              <w:t>本项目非正常排放源</w:t>
            </w:r>
          </w:p>
          <w:p w14:paraId="0ABB0B28">
            <w:pPr>
              <w:ind w:firstLine="0" w:firstLineChars="0"/>
              <w:jc w:val="center"/>
              <w:rPr>
                <w:rFonts w:cs="宋体"/>
                <w:sz w:val="21"/>
                <w:szCs w:val="21"/>
              </w:rPr>
            </w:pPr>
            <w:r>
              <w:rPr>
                <w:rFonts w:cs="宋体"/>
                <w:sz w:val="21"/>
                <w:szCs w:val="21"/>
              </w:rPr>
              <w:t>□</w:t>
            </w:r>
          </w:p>
          <w:p w14:paraId="44A7AE29">
            <w:pPr>
              <w:ind w:firstLine="0" w:firstLineChars="0"/>
              <w:jc w:val="center"/>
              <w:rPr>
                <w:rFonts w:cs="宋体"/>
                <w:sz w:val="21"/>
                <w:szCs w:val="21"/>
              </w:rPr>
            </w:pPr>
            <w:r>
              <w:rPr>
                <w:rFonts w:cs="宋体"/>
                <w:sz w:val="21"/>
                <w:szCs w:val="21"/>
              </w:rPr>
              <w:t>现有污染源□</w:t>
            </w:r>
          </w:p>
        </w:tc>
        <w:tc>
          <w:tcPr>
            <w:tcW w:w="828" w:type="pct"/>
            <w:tcBorders>
              <w:tl2br w:val="nil"/>
              <w:tr2bl w:val="nil"/>
            </w:tcBorders>
            <w:vAlign w:val="center"/>
          </w:tcPr>
          <w:p w14:paraId="6FD1304F">
            <w:pPr>
              <w:ind w:firstLine="0" w:firstLineChars="0"/>
              <w:jc w:val="center"/>
              <w:rPr>
                <w:rFonts w:cs="宋体"/>
                <w:sz w:val="21"/>
                <w:szCs w:val="21"/>
              </w:rPr>
            </w:pPr>
            <w:r>
              <w:rPr>
                <w:rFonts w:cs="宋体"/>
                <w:sz w:val="21"/>
                <w:szCs w:val="21"/>
              </w:rPr>
              <w:t>拟替代的污染源□</w:t>
            </w:r>
          </w:p>
        </w:tc>
        <w:tc>
          <w:tcPr>
            <w:tcW w:w="1334" w:type="pct"/>
            <w:gridSpan w:val="5"/>
            <w:tcBorders>
              <w:tl2br w:val="nil"/>
              <w:tr2bl w:val="nil"/>
            </w:tcBorders>
            <w:vAlign w:val="center"/>
          </w:tcPr>
          <w:p w14:paraId="47374999">
            <w:pPr>
              <w:ind w:firstLine="0" w:firstLineChars="0"/>
              <w:jc w:val="center"/>
              <w:rPr>
                <w:sz w:val="21"/>
                <w:szCs w:val="21"/>
              </w:rPr>
            </w:pPr>
            <w:r>
              <w:rPr>
                <w:rFonts w:cs="宋体"/>
                <w:sz w:val="21"/>
                <w:szCs w:val="21"/>
              </w:rPr>
              <w:t>其他在建、拟建项目污染源</w:t>
            </w:r>
            <w:r>
              <w:rPr>
                <w:sz w:val="21"/>
                <w:szCs w:val="21"/>
              </w:rPr>
              <w:t>□</w:t>
            </w:r>
          </w:p>
        </w:tc>
        <w:tc>
          <w:tcPr>
            <w:tcW w:w="608" w:type="pct"/>
            <w:tcBorders>
              <w:tl2br w:val="nil"/>
              <w:tr2bl w:val="nil"/>
            </w:tcBorders>
            <w:vAlign w:val="center"/>
          </w:tcPr>
          <w:p w14:paraId="2F0F5903">
            <w:pPr>
              <w:ind w:firstLine="0" w:firstLineChars="0"/>
              <w:jc w:val="center"/>
              <w:rPr>
                <w:sz w:val="21"/>
                <w:szCs w:val="21"/>
              </w:rPr>
            </w:pPr>
            <w:r>
              <w:rPr>
                <w:rFonts w:cs="宋体"/>
                <w:sz w:val="21"/>
                <w:szCs w:val="21"/>
              </w:rPr>
              <w:t>区域污染源</w:t>
            </w:r>
            <w:r>
              <w:rPr>
                <w:sz w:val="21"/>
                <w:szCs w:val="21"/>
              </w:rPr>
              <w:t>□</w:t>
            </w:r>
          </w:p>
        </w:tc>
      </w:tr>
      <w:tr w14:paraId="68A69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jc w:val="center"/>
        </w:trPr>
        <w:tc>
          <w:tcPr>
            <w:tcW w:w="311" w:type="pct"/>
            <w:vMerge w:val="restart"/>
            <w:tcBorders>
              <w:tl2br w:val="nil"/>
              <w:tr2bl w:val="nil"/>
            </w:tcBorders>
            <w:vAlign w:val="center"/>
          </w:tcPr>
          <w:p w14:paraId="130CC74E">
            <w:pPr>
              <w:ind w:firstLine="0" w:firstLineChars="0"/>
              <w:jc w:val="center"/>
              <w:rPr>
                <w:rFonts w:cs="宋体"/>
                <w:sz w:val="21"/>
                <w:szCs w:val="21"/>
              </w:rPr>
            </w:pPr>
            <w:r>
              <w:rPr>
                <w:rFonts w:cs="宋体"/>
                <w:sz w:val="21"/>
                <w:szCs w:val="21"/>
              </w:rPr>
              <w:t>大气环境</w:t>
            </w:r>
          </w:p>
          <w:p w14:paraId="6C46BBD9">
            <w:pPr>
              <w:ind w:firstLine="0" w:firstLineChars="0"/>
              <w:jc w:val="center"/>
              <w:rPr>
                <w:rFonts w:cs="宋体"/>
                <w:sz w:val="21"/>
                <w:szCs w:val="21"/>
              </w:rPr>
            </w:pPr>
            <w:r>
              <w:rPr>
                <w:rFonts w:cs="宋体"/>
                <w:sz w:val="21"/>
                <w:szCs w:val="21"/>
              </w:rPr>
              <w:t>影响预测</w:t>
            </w:r>
          </w:p>
          <w:p w14:paraId="70A15CBB">
            <w:pPr>
              <w:ind w:firstLine="0" w:firstLineChars="0"/>
              <w:jc w:val="center"/>
              <w:rPr>
                <w:rFonts w:cs="宋体"/>
                <w:sz w:val="21"/>
                <w:szCs w:val="21"/>
              </w:rPr>
            </w:pPr>
            <w:r>
              <w:rPr>
                <w:rFonts w:cs="宋体"/>
                <w:sz w:val="21"/>
                <w:szCs w:val="21"/>
              </w:rPr>
              <w:t>与</w:t>
            </w:r>
          </w:p>
          <w:p w14:paraId="796F5729">
            <w:pPr>
              <w:ind w:firstLine="0" w:firstLineChars="0"/>
              <w:jc w:val="center"/>
              <w:rPr>
                <w:rFonts w:cs="宋体"/>
                <w:sz w:val="21"/>
                <w:szCs w:val="21"/>
              </w:rPr>
            </w:pPr>
            <w:r>
              <w:rPr>
                <w:rFonts w:cs="宋体"/>
                <w:sz w:val="21"/>
                <w:szCs w:val="21"/>
              </w:rPr>
              <w:t>评价</w:t>
            </w:r>
          </w:p>
        </w:tc>
        <w:tc>
          <w:tcPr>
            <w:tcW w:w="799" w:type="pct"/>
            <w:tcBorders>
              <w:tl2br w:val="nil"/>
              <w:tr2bl w:val="nil"/>
            </w:tcBorders>
            <w:vAlign w:val="center"/>
          </w:tcPr>
          <w:p w14:paraId="3F6FA905">
            <w:pPr>
              <w:ind w:firstLine="0" w:firstLineChars="0"/>
              <w:jc w:val="center"/>
              <w:rPr>
                <w:rFonts w:cs="宋体"/>
                <w:sz w:val="21"/>
                <w:szCs w:val="21"/>
              </w:rPr>
            </w:pPr>
            <w:r>
              <w:rPr>
                <w:rFonts w:cs="宋体"/>
                <w:sz w:val="21"/>
                <w:szCs w:val="21"/>
              </w:rPr>
              <w:t>预测模型</w:t>
            </w:r>
          </w:p>
        </w:tc>
        <w:tc>
          <w:tcPr>
            <w:tcW w:w="728" w:type="pct"/>
            <w:tcBorders>
              <w:tl2br w:val="nil"/>
              <w:tr2bl w:val="nil"/>
            </w:tcBorders>
            <w:vAlign w:val="center"/>
          </w:tcPr>
          <w:p w14:paraId="39B3F8A9">
            <w:pPr>
              <w:ind w:firstLine="0" w:firstLineChars="0"/>
              <w:jc w:val="center"/>
              <w:rPr>
                <w:sz w:val="21"/>
                <w:szCs w:val="21"/>
              </w:rPr>
            </w:pPr>
            <w:r>
              <w:rPr>
                <w:sz w:val="21"/>
                <w:szCs w:val="21"/>
              </w:rPr>
              <w:t>AERMOD□</w:t>
            </w:r>
          </w:p>
        </w:tc>
        <w:tc>
          <w:tcPr>
            <w:tcW w:w="388" w:type="pct"/>
            <w:gridSpan w:val="4"/>
            <w:tcBorders>
              <w:tl2br w:val="nil"/>
              <w:tr2bl w:val="nil"/>
            </w:tcBorders>
            <w:vAlign w:val="center"/>
          </w:tcPr>
          <w:p w14:paraId="48574F0D">
            <w:pPr>
              <w:ind w:firstLine="0" w:firstLineChars="0"/>
              <w:jc w:val="center"/>
              <w:rPr>
                <w:sz w:val="21"/>
                <w:szCs w:val="21"/>
              </w:rPr>
            </w:pPr>
            <w:r>
              <w:rPr>
                <w:sz w:val="21"/>
                <w:szCs w:val="21"/>
              </w:rPr>
              <w:t>ADMS□</w:t>
            </w:r>
          </w:p>
        </w:tc>
        <w:tc>
          <w:tcPr>
            <w:tcW w:w="828" w:type="pct"/>
            <w:tcBorders>
              <w:tl2br w:val="nil"/>
              <w:tr2bl w:val="nil"/>
            </w:tcBorders>
            <w:vAlign w:val="center"/>
          </w:tcPr>
          <w:p w14:paraId="58806F87">
            <w:pPr>
              <w:ind w:firstLine="0" w:firstLineChars="0"/>
              <w:jc w:val="center"/>
              <w:rPr>
                <w:sz w:val="21"/>
                <w:szCs w:val="21"/>
              </w:rPr>
            </w:pPr>
            <w:r>
              <w:rPr>
                <w:sz w:val="21"/>
                <w:szCs w:val="21"/>
              </w:rPr>
              <w:t>AUSTAL20</w:t>
            </w:r>
          </w:p>
          <w:p w14:paraId="524364A9">
            <w:pPr>
              <w:ind w:firstLine="0" w:firstLineChars="0"/>
              <w:jc w:val="center"/>
              <w:rPr>
                <w:sz w:val="21"/>
                <w:szCs w:val="21"/>
              </w:rPr>
            </w:pPr>
            <w:r>
              <w:rPr>
                <w:sz w:val="21"/>
                <w:szCs w:val="21"/>
              </w:rPr>
              <w:t>00</w:t>
            </w:r>
          </w:p>
          <w:p w14:paraId="7E798055">
            <w:pPr>
              <w:ind w:firstLine="0" w:firstLineChars="0"/>
              <w:jc w:val="center"/>
              <w:rPr>
                <w:sz w:val="21"/>
                <w:szCs w:val="21"/>
              </w:rPr>
            </w:pPr>
            <w:r>
              <w:rPr>
                <w:sz w:val="21"/>
                <w:szCs w:val="21"/>
              </w:rPr>
              <w:t>□</w:t>
            </w:r>
          </w:p>
        </w:tc>
        <w:tc>
          <w:tcPr>
            <w:tcW w:w="566" w:type="pct"/>
            <w:tcBorders>
              <w:tl2br w:val="nil"/>
              <w:tr2bl w:val="nil"/>
            </w:tcBorders>
            <w:vAlign w:val="center"/>
          </w:tcPr>
          <w:p w14:paraId="163D2E06">
            <w:pPr>
              <w:ind w:firstLine="0" w:firstLineChars="0"/>
              <w:jc w:val="center"/>
              <w:rPr>
                <w:sz w:val="21"/>
                <w:szCs w:val="21"/>
              </w:rPr>
            </w:pPr>
            <w:r>
              <w:rPr>
                <w:sz w:val="21"/>
                <w:szCs w:val="21"/>
              </w:rPr>
              <w:t>EDMS/AED</w:t>
            </w:r>
          </w:p>
          <w:p w14:paraId="441B5A72">
            <w:pPr>
              <w:ind w:firstLine="0" w:firstLineChars="0"/>
              <w:jc w:val="center"/>
              <w:rPr>
                <w:sz w:val="21"/>
                <w:szCs w:val="21"/>
              </w:rPr>
            </w:pPr>
            <w:r>
              <w:rPr>
                <w:sz w:val="21"/>
                <w:szCs w:val="21"/>
              </w:rPr>
              <w:t>T</w:t>
            </w:r>
          </w:p>
          <w:p w14:paraId="68699F14">
            <w:pPr>
              <w:ind w:firstLine="0" w:firstLineChars="0"/>
              <w:jc w:val="center"/>
              <w:rPr>
                <w:sz w:val="21"/>
                <w:szCs w:val="21"/>
              </w:rPr>
            </w:pPr>
            <w:r>
              <w:rPr>
                <w:sz w:val="21"/>
                <w:szCs w:val="21"/>
              </w:rPr>
              <w:t>□</w:t>
            </w:r>
          </w:p>
        </w:tc>
        <w:tc>
          <w:tcPr>
            <w:tcW w:w="468" w:type="pct"/>
            <w:gridSpan w:val="2"/>
            <w:tcBorders>
              <w:tl2br w:val="nil"/>
              <w:tr2bl w:val="nil"/>
            </w:tcBorders>
            <w:vAlign w:val="center"/>
          </w:tcPr>
          <w:p w14:paraId="3708B009">
            <w:pPr>
              <w:ind w:firstLine="0" w:firstLineChars="0"/>
              <w:jc w:val="center"/>
              <w:rPr>
                <w:sz w:val="21"/>
                <w:szCs w:val="21"/>
              </w:rPr>
            </w:pPr>
            <w:r>
              <w:rPr>
                <w:sz w:val="21"/>
                <w:szCs w:val="21"/>
              </w:rPr>
              <w:t>CALPUF</w:t>
            </w:r>
          </w:p>
          <w:p w14:paraId="63562714">
            <w:pPr>
              <w:ind w:firstLine="0" w:firstLineChars="0"/>
              <w:jc w:val="center"/>
              <w:rPr>
                <w:sz w:val="21"/>
                <w:szCs w:val="21"/>
              </w:rPr>
            </w:pPr>
            <w:r>
              <w:rPr>
                <w:sz w:val="21"/>
                <w:szCs w:val="21"/>
              </w:rPr>
              <w:t>F</w:t>
            </w:r>
          </w:p>
          <w:p w14:paraId="7B2613FC">
            <w:pPr>
              <w:ind w:firstLine="0" w:firstLineChars="0"/>
              <w:jc w:val="center"/>
              <w:rPr>
                <w:sz w:val="21"/>
                <w:szCs w:val="21"/>
              </w:rPr>
            </w:pPr>
            <w:r>
              <w:rPr>
                <w:sz w:val="21"/>
                <w:szCs w:val="21"/>
              </w:rPr>
              <w:t>□</w:t>
            </w:r>
          </w:p>
        </w:tc>
        <w:tc>
          <w:tcPr>
            <w:tcW w:w="300" w:type="pct"/>
            <w:gridSpan w:val="2"/>
            <w:tcBorders>
              <w:tl2br w:val="nil"/>
              <w:tr2bl w:val="nil"/>
            </w:tcBorders>
            <w:vAlign w:val="center"/>
          </w:tcPr>
          <w:p w14:paraId="7ED9B60F">
            <w:pPr>
              <w:ind w:firstLine="0" w:firstLineChars="0"/>
              <w:jc w:val="center"/>
              <w:rPr>
                <w:sz w:val="21"/>
                <w:szCs w:val="21"/>
              </w:rPr>
            </w:pPr>
            <w:r>
              <w:rPr>
                <w:rFonts w:cs="宋体"/>
                <w:sz w:val="21"/>
                <w:szCs w:val="21"/>
              </w:rPr>
              <w:t>网格模型</w:t>
            </w:r>
            <w:r>
              <w:rPr>
                <w:sz w:val="21"/>
                <w:szCs w:val="21"/>
              </w:rPr>
              <w:t>□</w:t>
            </w:r>
          </w:p>
        </w:tc>
        <w:tc>
          <w:tcPr>
            <w:tcW w:w="608" w:type="pct"/>
            <w:tcBorders>
              <w:tl2br w:val="nil"/>
              <w:tr2bl w:val="nil"/>
            </w:tcBorders>
            <w:vAlign w:val="center"/>
          </w:tcPr>
          <w:p w14:paraId="012A660C">
            <w:pPr>
              <w:ind w:firstLine="0" w:firstLineChars="0"/>
              <w:jc w:val="center"/>
              <w:rPr>
                <w:rFonts w:cs="宋体"/>
                <w:sz w:val="21"/>
                <w:szCs w:val="21"/>
              </w:rPr>
            </w:pPr>
            <w:r>
              <w:rPr>
                <w:rFonts w:cs="宋体"/>
                <w:sz w:val="21"/>
                <w:szCs w:val="21"/>
              </w:rPr>
              <w:t>其他</w:t>
            </w:r>
          </w:p>
          <w:p w14:paraId="529992EE">
            <w:pPr>
              <w:ind w:firstLine="0" w:firstLineChars="0"/>
              <w:jc w:val="center"/>
              <w:rPr>
                <w:rFonts w:cs="宋体"/>
                <w:sz w:val="21"/>
                <w:szCs w:val="21"/>
              </w:rPr>
            </w:pPr>
            <w:r>
              <w:rPr>
                <w:rFonts w:hint="eastAsia" w:cs="宋体"/>
                <w:sz w:val="21"/>
                <w:szCs w:val="21"/>
              </w:rPr>
              <w:t>☑</w:t>
            </w:r>
          </w:p>
        </w:tc>
      </w:tr>
      <w:tr w14:paraId="6995C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597A13ED">
            <w:pPr>
              <w:ind w:firstLine="0" w:firstLineChars="0"/>
              <w:jc w:val="center"/>
              <w:rPr>
                <w:sz w:val="21"/>
              </w:rPr>
            </w:pPr>
          </w:p>
        </w:tc>
        <w:tc>
          <w:tcPr>
            <w:tcW w:w="799" w:type="pct"/>
            <w:tcBorders>
              <w:tl2br w:val="nil"/>
              <w:tr2bl w:val="nil"/>
            </w:tcBorders>
            <w:vAlign w:val="center"/>
          </w:tcPr>
          <w:p w14:paraId="3B5B4AC8">
            <w:pPr>
              <w:ind w:firstLine="0" w:firstLineChars="0"/>
              <w:jc w:val="center"/>
              <w:rPr>
                <w:rFonts w:cs="宋体"/>
                <w:sz w:val="21"/>
                <w:szCs w:val="21"/>
              </w:rPr>
            </w:pPr>
            <w:r>
              <w:rPr>
                <w:rFonts w:cs="宋体"/>
                <w:sz w:val="21"/>
                <w:szCs w:val="21"/>
              </w:rPr>
              <w:t>预测范围</w:t>
            </w:r>
          </w:p>
        </w:tc>
        <w:tc>
          <w:tcPr>
            <w:tcW w:w="1117" w:type="pct"/>
            <w:gridSpan w:val="5"/>
            <w:tcBorders>
              <w:tl2br w:val="nil"/>
              <w:tr2bl w:val="nil"/>
            </w:tcBorders>
            <w:vAlign w:val="center"/>
          </w:tcPr>
          <w:p w14:paraId="3850B2C6">
            <w:pPr>
              <w:ind w:firstLine="0" w:firstLineChars="0"/>
              <w:jc w:val="center"/>
              <w:rPr>
                <w:sz w:val="21"/>
                <w:szCs w:val="21"/>
              </w:rPr>
            </w:pPr>
            <w:r>
              <w:rPr>
                <w:rFonts w:cs="宋体"/>
                <w:sz w:val="21"/>
                <w:szCs w:val="21"/>
              </w:rPr>
              <w:t>边长≥</w:t>
            </w:r>
            <w:r>
              <w:rPr>
                <w:sz w:val="21"/>
                <w:szCs w:val="21"/>
              </w:rPr>
              <w:t>50km□</w:t>
            </w:r>
          </w:p>
        </w:tc>
        <w:tc>
          <w:tcPr>
            <w:tcW w:w="1863" w:type="pct"/>
            <w:gridSpan w:val="4"/>
            <w:tcBorders>
              <w:tl2br w:val="nil"/>
              <w:tr2bl w:val="nil"/>
            </w:tcBorders>
            <w:vAlign w:val="center"/>
          </w:tcPr>
          <w:p w14:paraId="0AE720C9">
            <w:pPr>
              <w:ind w:firstLine="0" w:firstLineChars="0"/>
              <w:jc w:val="center"/>
              <w:rPr>
                <w:sz w:val="21"/>
                <w:szCs w:val="21"/>
              </w:rPr>
            </w:pPr>
            <w:r>
              <w:rPr>
                <w:rFonts w:cs="宋体"/>
                <w:sz w:val="21"/>
                <w:szCs w:val="21"/>
              </w:rPr>
              <w:t>边长</w:t>
            </w:r>
            <w:r>
              <w:rPr>
                <w:sz w:val="21"/>
                <w:szCs w:val="21"/>
              </w:rPr>
              <w:t>5</w:t>
            </w:r>
            <w:r>
              <w:rPr>
                <w:rFonts w:cs="宋体"/>
                <w:sz w:val="21"/>
                <w:szCs w:val="21"/>
              </w:rPr>
              <w:t>~</w:t>
            </w:r>
            <w:r>
              <w:rPr>
                <w:sz w:val="21"/>
                <w:szCs w:val="21"/>
              </w:rPr>
              <w:t>50km□</w:t>
            </w:r>
          </w:p>
        </w:tc>
        <w:tc>
          <w:tcPr>
            <w:tcW w:w="908" w:type="pct"/>
            <w:gridSpan w:val="3"/>
            <w:tcBorders>
              <w:tl2br w:val="nil"/>
              <w:tr2bl w:val="nil"/>
            </w:tcBorders>
            <w:vAlign w:val="center"/>
          </w:tcPr>
          <w:p w14:paraId="5FE1841A">
            <w:pPr>
              <w:ind w:firstLine="0" w:firstLineChars="0"/>
              <w:jc w:val="center"/>
              <w:rPr>
                <w:sz w:val="21"/>
                <w:szCs w:val="21"/>
              </w:rPr>
            </w:pPr>
            <w:r>
              <w:rPr>
                <w:rFonts w:cs="宋体"/>
                <w:sz w:val="21"/>
                <w:szCs w:val="21"/>
              </w:rPr>
              <w:t>边长</w:t>
            </w:r>
            <w:r>
              <w:rPr>
                <w:sz w:val="21"/>
                <w:szCs w:val="21"/>
              </w:rPr>
              <w:t>=5km□</w:t>
            </w:r>
          </w:p>
        </w:tc>
      </w:tr>
      <w:tr w14:paraId="61E5C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11" w:type="pct"/>
            <w:vMerge w:val="continue"/>
            <w:tcBorders>
              <w:tl2br w:val="nil"/>
              <w:tr2bl w:val="nil"/>
            </w:tcBorders>
            <w:vAlign w:val="center"/>
          </w:tcPr>
          <w:p w14:paraId="31C369E5">
            <w:pPr>
              <w:ind w:firstLine="0" w:firstLineChars="0"/>
              <w:jc w:val="center"/>
              <w:rPr>
                <w:sz w:val="21"/>
              </w:rPr>
            </w:pPr>
          </w:p>
        </w:tc>
        <w:tc>
          <w:tcPr>
            <w:tcW w:w="799" w:type="pct"/>
            <w:tcBorders>
              <w:tl2br w:val="nil"/>
              <w:tr2bl w:val="nil"/>
            </w:tcBorders>
            <w:vAlign w:val="center"/>
          </w:tcPr>
          <w:p w14:paraId="30C24FBB">
            <w:pPr>
              <w:ind w:firstLine="0" w:firstLineChars="0"/>
              <w:jc w:val="center"/>
              <w:rPr>
                <w:rFonts w:cs="宋体"/>
                <w:sz w:val="21"/>
                <w:szCs w:val="21"/>
              </w:rPr>
            </w:pPr>
            <w:r>
              <w:rPr>
                <w:rFonts w:cs="宋体"/>
                <w:sz w:val="21"/>
                <w:szCs w:val="21"/>
              </w:rPr>
              <w:t>预测因子</w:t>
            </w:r>
          </w:p>
        </w:tc>
        <w:tc>
          <w:tcPr>
            <w:tcW w:w="1945" w:type="pct"/>
            <w:gridSpan w:val="6"/>
            <w:tcBorders>
              <w:tl2br w:val="nil"/>
              <w:tr2bl w:val="nil"/>
            </w:tcBorders>
            <w:vAlign w:val="center"/>
          </w:tcPr>
          <w:p w14:paraId="29799519">
            <w:pPr>
              <w:ind w:firstLine="0" w:firstLineChars="0"/>
              <w:jc w:val="center"/>
              <w:rPr>
                <w:sz w:val="21"/>
                <w:szCs w:val="21"/>
              </w:rPr>
            </w:pPr>
            <w:r>
              <w:rPr>
                <w:rFonts w:cs="宋体"/>
                <w:sz w:val="21"/>
                <w:szCs w:val="21"/>
              </w:rPr>
              <w:t>预测因子</w:t>
            </w:r>
            <w:r>
              <w:rPr>
                <w:rFonts w:hint="eastAsia"/>
                <w:sz w:val="21"/>
                <w:szCs w:val="21"/>
              </w:rPr>
              <w:t>（）</w:t>
            </w:r>
          </w:p>
        </w:tc>
        <w:tc>
          <w:tcPr>
            <w:tcW w:w="1942" w:type="pct"/>
            <w:gridSpan w:val="6"/>
            <w:tcBorders>
              <w:tl2br w:val="nil"/>
              <w:tr2bl w:val="nil"/>
            </w:tcBorders>
            <w:vAlign w:val="center"/>
          </w:tcPr>
          <w:p w14:paraId="3859A398">
            <w:pPr>
              <w:ind w:firstLine="0" w:firstLineChars="0"/>
              <w:jc w:val="center"/>
              <w:rPr>
                <w:sz w:val="21"/>
                <w:szCs w:val="21"/>
              </w:rPr>
            </w:pPr>
            <w:r>
              <w:rPr>
                <w:rFonts w:cs="宋体"/>
                <w:sz w:val="21"/>
                <w:szCs w:val="21"/>
              </w:rPr>
              <w:t>包括二次</w:t>
            </w:r>
            <w:r>
              <w:rPr>
                <w:sz w:val="21"/>
                <w:szCs w:val="21"/>
              </w:rPr>
              <w:t>PM</w:t>
            </w:r>
            <w:r>
              <w:rPr>
                <w:sz w:val="21"/>
                <w:szCs w:val="21"/>
                <w:vertAlign w:val="subscript"/>
              </w:rPr>
              <w:t>2.5</w:t>
            </w:r>
            <w:r>
              <w:rPr>
                <w:sz w:val="21"/>
                <w:szCs w:val="21"/>
              </w:rPr>
              <w:t>□</w:t>
            </w:r>
            <w:r>
              <w:rPr>
                <w:rFonts w:cs="宋体"/>
                <w:sz w:val="21"/>
                <w:szCs w:val="21"/>
              </w:rPr>
              <w:t>不包括二次</w:t>
            </w:r>
            <w:r>
              <w:rPr>
                <w:sz w:val="21"/>
                <w:szCs w:val="21"/>
              </w:rPr>
              <w:t>PM</w:t>
            </w:r>
            <w:r>
              <w:rPr>
                <w:sz w:val="21"/>
                <w:szCs w:val="21"/>
                <w:vertAlign w:val="subscript"/>
              </w:rPr>
              <w:t>2.5</w:t>
            </w:r>
            <w:r>
              <w:rPr>
                <w:sz w:val="21"/>
                <w:szCs w:val="21"/>
              </w:rPr>
              <w:t>□</w:t>
            </w:r>
          </w:p>
        </w:tc>
      </w:tr>
      <w:tr w14:paraId="751D2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11" w:type="pct"/>
            <w:vMerge w:val="continue"/>
            <w:tcBorders>
              <w:tl2br w:val="nil"/>
              <w:tr2bl w:val="nil"/>
            </w:tcBorders>
            <w:vAlign w:val="center"/>
          </w:tcPr>
          <w:p w14:paraId="47A77FC1">
            <w:pPr>
              <w:ind w:firstLine="0" w:firstLineChars="0"/>
              <w:jc w:val="center"/>
              <w:rPr>
                <w:sz w:val="21"/>
              </w:rPr>
            </w:pPr>
          </w:p>
        </w:tc>
        <w:tc>
          <w:tcPr>
            <w:tcW w:w="799" w:type="pct"/>
            <w:tcBorders>
              <w:tl2br w:val="nil"/>
              <w:tr2bl w:val="nil"/>
            </w:tcBorders>
            <w:vAlign w:val="center"/>
          </w:tcPr>
          <w:p w14:paraId="7FDCE0C8">
            <w:pPr>
              <w:ind w:firstLine="0" w:firstLineChars="0"/>
              <w:jc w:val="center"/>
              <w:rPr>
                <w:rFonts w:cs="宋体"/>
                <w:sz w:val="21"/>
                <w:szCs w:val="21"/>
              </w:rPr>
            </w:pPr>
            <w:r>
              <w:rPr>
                <w:rFonts w:cs="宋体"/>
                <w:sz w:val="21"/>
                <w:szCs w:val="21"/>
              </w:rPr>
              <w:t>正常排放短期浓度贡献值</w:t>
            </w:r>
          </w:p>
        </w:tc>
        <w:tc>
          <w:tcPr>
            <w:tcW w:w="1945" w:type="pct"/>
            <w:gridSpan w:val="6"/>
            <w:tcBorders>
              <w:tl2br w:val="nil"/>
              <w:tr2bl w:val="nil"/>
            </w:tcBorders>
            <w:vAlign w:val="center"/>
          </w:tcPr>
          <w:p w14:paraId="57A85868">
            <w:pPr>
              <w:ind w:firstLine="0" w:firstLineChars="0"/>
              <w:jc w:val="center"/>
              <w:rPr>
                <w:sz w:val="21"/>
                <w:szCs w:val="21"/>
              </w:rPr>
            </w:pPr>
            <w:r>
              <w:rPr>
                <w:sz w:val="21"/>
                <w:szCs w:val="21"/>
              </w:rPr>
              <w:t>C</w:t>
            </w:r>
            <w:r>
              <w:rPr>
                <w:rFonts w:cs="宋体"/>
                <w:sz w:val="21"/>
                <w:szCs w:val="21"/>
              </w:rPr>
              <w:t>本项目最大占标率</w:t>
            </w:r>
            <w:r>
              <w:rPr>
                <w:rFonts w:cs="Arial"/>
                <w:sz w:val="21"/>
                <w:szCs w:val="21"/>
              </w:rPr>
              <w:t>≤</w:t>
            </w:r>
            <w:r>
              <w:rPr>
                <w:sz w:val="21"/>
                <w:szCs w:val="21"/>
              </w:rPr>
              <w:t>100%□</w:t>
            </w:r>
          </w:p>
        </w:tc>
        <w:tc>
          <w:tcPr>
            <w:tcW w:w="1942" w:type="pct"/>
            <w:gridSpan w:val="6"/>
            <w:tcBorders>
              <w:tl2br w:val="nil"/>
              <w:tr2bl w:val="nil"/>
            </w:tcBorders>
            <w:vAlign w:val="center"/>
          </w:tcPr>
          <w:p w14:paraId="70548271">
            <w:pPr>
              <w:ind w:firstLine="0" w:firstLineChars="0"/>
              <w:jc w:val="center"/>
              <w:rPr>
                <w:sz w:val="21"/>
                <w:szCs w:val="21"/>
              </w:rPr>
            </w:pPr>
            <w:r>
              <w:rPr>
                <w:sz w:val="21"/>
                <w:szCs w:val="21"/>
              </w:rPr>
              <w:t>C</w:t>
            </w:r>
            <w:r>
              <w:rPr>
                <w:rFonts w:cs="宋体"/>
                <w:sz w:val="21"/>
                <w:szCs w:val="21"/>
              </w:rPr>
              <w:t>本项目最大占标率＞</w:t>
            </w:r>
            <w:r>
              <w:rPr>
                <w:sz w:val="21"/>
                <w:szCs w:val="21"/>
              </w:rPr>
              <w:t>100%□</w:t>
            </w:r>
          </w:p>
        </w:tc>
      </w:tr>
      <w:tr w14:paraId="53762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311" w:type="pct"/>
            <w:vMerge w:val="continue"/>
            <w:tcBorders>
              <w:tl2br w:val="nil"/>
              <w:tr2bl w:val="nil"/>
            </w:tcBorders>
            <w:vAlign w:val="center"/>
          </w:tcPr>
          <w:p w14:paraId="79B36091">
            <w:pPr>
              <w:ind w:firstLine="0" w:firstLineChars="0"/>
              <w:jc w:val="center"/>
              <w:rPr>
                <w:sz w:val="21"/>
              </w:rPr>
            </w:pPr>
          </w:p>
        </w:tc>
        <w:tc>
          <w:tcPr>
            <w:tcW w:w="799" w:type="pct"/>
            <w:vMerge w:val="restart"/>
            <w:tcBorders>
              <w:tl2br w:val="nil"/>
              <w:tr2bl w:val="nil"/>
            </w:tcBorders>
            <w:vAlign w:val="center"/>
          </w:tcPr>
          <w:p w14:paraId="718CA25E">
            <w:pPr>
              <w:ind w:firstLine="0" w:firstLineChars="0"/>
              <w:jc w:val="center"/>
              <w:rPr>
                <w:rFonts w:cs="宋体"/>
                <w:sz w:val="21"/>
                <w:szCs w:val="21"/>
              </w:rPr>
            </w:pPr>
            <w:r>
              <w:rPr>
                <w:rFonts w:cs="宋体"/>
                <w:sz w:val="21"/>
                <w:szCs w:val="21"/>
              </w:rPr>
              <w:t>正常排放年均浓度贡献值</w:t>
            </w:r>
          </w:p>
        </w:tc>
        <w:tc>
          <w:tcPr>
            <w:tcW w:w="728" w:type="pct"/>
            <w:tcBorders>
              <w:tl2br w:val="nil"/>
              <w:tr2bl w:val="nil"/>
            </w:tcBorders>
            <w:vAlign w:val="center"/>
          </w:tcPr>
          <w:p w14:paraId="3B3DEE8E">
            <w:pPr>
              <w:ind w:firstLine="0" w:firstLineChars="0"/>
              <w:jc w:val="center"/>
              <w:rPr>
                <w:rFonts w:cs="宋体"/>
                <w:sz w:val="21"/>
                <w:szCs w:val="21"/>
              </w:rPr>
            </w:pPr>
            <w:r>
              <w:rPr>
                <w:rFonts w:cs="宋体"/>
                <w:sz w:val="21"/>
                <w:szCs w:val="21"/>
              </w:rPr>
              <w:t>一类区</w:t>
            </w:r>
          </w:p>
        </w:tc>
        <w:tc>
          <w:tcPr>
            <w:tcW w:w="1217" w:type="pct"/>
            <w:gridSpan w:val="5"/>
            <w:tcBorders>
              <w:tl2br w:val="nil"/>
              <w:tr2bl w:val="nil"/>
            </w:tcBorders>
            <w:vAlign w:val="center"/>
          </w:tcPr>
          <w:p w14:paraId="51F5818C">
            <w:pPr>
              <w:ind w:firstLine="0" w:firstLineChars="0"/>
              <w:jc w:val="center"/>
              <w:rPr>
                <w:sz w:val="21"/>
                <w:szCs w:val="21"/>
              </w:rPr>
            </w:pPr>
            <w:r>
              <w:rPr>
                <w:sz w:val="21"/>
                <w:szCs w:val="21"/>
              </w:rPr>
              <w:t>C</w:t>
            </w:r>
            <w:r>
              <w:rPr>
                <w:rFonts w:cs="宋体"/>
                <w:sz w:val="21"/>
                <w:szCs w:val="21"/>
              </w:rPr>
              <w:t>本项目最大占标率</w:t>
            </w:r>
            <w:r>
              <w:rPr>
                <w:rFonts w:cs="Arial"/>
                <w:sz w:val="21"/>
                <w:szCs w:val="21"/>
              </w:rPr>
              <w:t>≤</w:t>
            </w:r>
            <w:r>
              <w:rPr>
                <w:sz w:val="21"/>
                <w:szCs w:val="21"/>
              </w:rPr>
              <w:t>10%□</w:t>
            </w:r>
          </w:p>
        </w:tc>
        <w:tc>
          <w:tcPr>
            <w:tcW w:w="1942" w:type="pct"/>
            <w:gridSpan w:val="6"/>
            <w:tcBorders>
              <w:tl2br w:val="nil"/>
              <w:tr2bl w:val="nil"/>
            </w:tcBorders>
            <w:vAlign w:val="center"/>
          </w:tcPr>
          <w:p w14:paraId="5277A808">
            <w:pPr>
              <w:ind w:firstLine="0" w:firstLineChars="0"/>
              <w:jc w:val="center"/>
              <w:rPr>
                <w:sz w:val="21"/>
                <w:szCs w:val="21"/>
              </w:rPr>
            </w:pPr>
            <w:r>
              <w:rPr>
                <w:sz w:val="21"/>
                <w:szCs w:val="21"/>
              </w:rPr>
              <w:t>C</w:t>
            </w:r>
            <w:r>
              <w:rPr>
                <w:rFonts w:cs="宋体"/>
                <w:sz w:val="21"/>
                <w:szCs w:val="21"/>
              </w:rPr>
              <w:t>本项目最大标率＞</w:t>
            </w:r>
            <w:r>
              <w:rPr>
                <w:sz w:val="21"/>
                <w:szCs w:val="21"/>
              </w:rPr>
              <w:t>10%□</w:t>
            </w:r>
          </w:p>
        </w:tc>
      </w:tr>
      <w:tr w14:paraId="427E2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311" w:type="pct"/>
            <w:vMerge w:val="continue"/>
            <w:tcBorders>
              <w:tl2br w:val="nil"/>
              <w:tr2bl w:val="nil"/>
            </w:tcBorders>
            <w:vAlign w:val="center"/>
          </w:tcPr>
          <w:p w14:paraId="7611DD85">
            <w:pPr>
              <w:ind w:firstLine="0" w:firstLineChars="0"/>
              <w:jc w:val="center"/>
              <w:rPr>
                <w:sz w:val="21"/>
              </w:rPr>
            </w:pPr>
          </w:p>
        </w:tc>
        <w:tc>
          <w:tcPr>
            <w:tcW w:w="799" w:type="pct"/>
            <w:vMerge w:val="continue"/>
            <w:tcBorders>
              <w:tl2br w:val="nil"/>
              <w:tr2bl w:val="nil"/>
            </w:tcBorders>
            <w:vAlign w:val="center"/>
          </w:tcPr>
          <w:p w14:paraId="266C21F1">
            <w:pPr>
              <w:ind w:firstLine="0" w:firstLineChars="0"/>
              <w:jc w:val="center"/>
              <w:rPr>
                <w:sz w:val="21"/>
              </w:rPr>
            </w:pPr>
          </w:p>
        </w:tc>
        <w:tc>
          <w:tcPr>
            <w:tcW w:w="728" w:type="pct"/>
            <w:tcBorders>
              <w:tl2br w:val="nil"/>
              <w:tr2bl w:val="nil"/>
            </w:tcBorders>
            <w:vAlign w:val="center"/>
          </w:tcPr>
          <w:p w14:paraId="1D5EE050">
            <w:pPr>
              <w:ind w:firstLine="0" w:firstLineChars="0"/>
              <w:jc w:val="center"/>
              <w:rPr>
                <w:rFonts w:cs="宋体"/>
                <w:sz w:val="21"/>
                <w:szCs w:val="21"/>
              </w:rPr>
            </w:pPr>
            <w:r>
              <w:rPr>
                <w:rFonts w:cs="宋体"/>
                <w:sz w:val="21"/>
                <w:szCs w:val="21"/>
              </w:rPr>
              <w:t>二类区</w:t>
            </w:r>
          </w:p>
        </w:tc>
        <w:tc>
          <w:tcPr>
            <w:tcW w:w="1217" w:type="pct"/>
            <w:gridSpan w:val="5"/>
            <w:tcBorders>
              <w:tl2br w:val="nil"/>
              <w:tr2bl w:val="nil"/>
            </w:tcBorders>
            <w:vAlign w:val="center"/>
          </w:tcPr>
          <w:p w14:paraId="5BD014A8">
            <w:pPr>
              <w:ind w:firstLine="0" w:firstLineChars="0"/>
              <w:jc w:val="center"/>
              <w:rPr>
                <w:sz w:val="21"/>
                <w:szCs w:val="21"/>
              </w:rPr>
            </w:pPr>
            <w:r>
              <w:rPr>
                <w:sz w:val="21"/>
                <w:szCs w:val="21"/>
              </w:rPr>
              <w:t>C</w:t>
            </w:r>
            <w:r>
              <w:rPr>
                <w:rFonts w:cs="宋体"/>
                <w:sz w:val="21"/>
                <w:szCs w:val="21"/>
              </w:rPr>
              <w:t>本项目最大占标率</w:t>
            </w:r>
            <w:r>
              <w:rPr>
                <w:rFonts w:cs="Arial"/>
                <w:sz w:val="21"/>
                <w:szCs w:val="21"/>
              </w:rPr>
              <w:t>≤</w:t>
            </w:r>
            <w:r>
              <w:rPr>
                <w:sz w:val="21"/>
                <w:szCs w:val="21"/>
              </w:rPr>
              <w:t>30%□</w:t>
            </w:r>
          </w:p>
        </w:tc>
        <w:tc>
          <w:tcPr>
            <w:tcW w:w="1942" w:type="pct"/>
            <w:gridSpan w:val="6"/>
            <w:tcBorders>
              <w:tl2br w:val="nil"/>
              <w:tr2bl w:val="nil"/>
            </w:tcBorders>
            <w:vAlign w:val="center"/>
          </w:tcPr>
          <w:p w14:paraId="58B568B1">
            <w:pPr>
              <w:ind w:firstLine="0" w:firstLineChars="0"/>
              <w:jc w:val="center"/>
              <w:rPr>
                <w:sz w:val="21"/>
                <w:szCs w:val="21"/>
              </w:rPr>
            </w:pPr>
            <w:r>
              <w:rPr>
                <w:sz w:val="21"/>
                <w:szCs w:val="21"/>
              </w:rPr>
              <w:t>C</w:t>
            </w:r>
            <w:r>
              <w:rPr>
                <w:rFonts w:cs="宋体"/>
                <w:sz w:val="21"/>
                <w:szCs w:val="21"/>
              </w:rPr>
              <w:t>本项目最大标率＞</w:t>
            </w:r>
            <w:r>
              <w:rPr>
                <w:sz w:val="21"/>
                <w:szCs w:val="21"/>
              </w:rPr>
              <w:t>30%□</w:t>
            </w:r>
          </w:p>
        </w:tc>
      </w:tr>
      <w:tr w14:paraId="1703A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311" w:type="pct"/>
            <w:vMerge w:val="continue"/>
            <w:tcBorders>
              <w:tl2br w:val="nil"/>
              <w:tr2bl w:val="nil"/>
            </w:tcBorders>
            <w:vAlign w:val="center"/>
          </w:tcPr>
          <w:p w14:paraId="7D4C9972">
            <w:pPr>
              <w:ind w:firstLine="0" w:firstLineChars="0"/>
              <w:jc w:val="center"/>
              <w:rPr>
                <w:sz w:val="21"/>
              </w:rPr>
            </w:pPr>
          </w:p>
        </w:tc>
        <w:tc>
          <w:tcPr>
            <w:tcW w:w="799" w:type="pct"/>
            <w:tcBorders>
              <w:tl2br w:val="nil"/>
              <w:tr2bl w:val="nil"/>
            </w:tcBorders>
            <w:vAlign w:val="center"/>
          </w:tcPr>
          <w:p w14:paraId="7EA79AA7">
            <w:pPr>
              <w:ind w:firstLine="0" w:firstLineChars="0"/>
              <w:jc w:val="center"/>
              <w:rPr>
                <w:rFonts w:cs="宋体"/>
                <w:sz w:val="21"/>
                <w:szCs w:val="21"/>
              </w:rPr>
            </w:pPr>
            <w:r>
              <w:rPr>
                <w:rFonts w:cs="宋体"/>
                <w:sz w:val="21"/>
                <w:szCs w:val="21"/>
              </w:rPr>
              <w:t>非正常排放</w:t>
            </w:r>
            <w:r>
              <w:rPr>
                <w:sz w:val="21"/>
                <w:szCs w:val="21"/>
              </w:rPr>
              <w:t>1h</w:t>
            </w:r>
            <w:r>
              <w:rPr>
                <w:rFonts w:cs="宋体"/>
                <w:sz w:val="21"/>
                <w:szCs w:val="21"/>
              </w:rPr>
              <w:t>浓</w:t>
            </w:r>
          </w:p>
          <w:p w14:paraId="7EE4FCC3">
            <w:pPr>
              <w:ind w:firstLine="0" w:firstLineChars="0"/>
              <w:jc w:val="center"/>
              <w:rPr>
                <w:rFonts w:cs="宋体"/>
                <w:sz w:val="21"/>
                <w:szCs w:val="21"/>
              </w:rPr>
            </w:pPr>
            <w:r>
              <w:rPr>
                <w:rFonts w:cs="宋体"/>
                <w:sz w:val="21"/>
                <w:szCs w:val="21"/>
              </w:rPr>
              <w:t>度贡献值</w:t>
            </w:r>
          </w:p>
        </w:tc>
        <w:tc>
          <w:tcPr>
            <w:tcW w:w="922" w:type="pct"/>
            <w:gridSpan w:val="3"/>
            <w:tcBorders>
              <w:tl2br w:val="nil"/>
              <w:tr2bl w:val="nil"/>
            </w:tcBorders>
            <w:vAlign w:val="center"/>
          </w:tcPr>
          <w:p w14:paraId="31C1CE09">
            <w:pPr>
              <w:ind w:firstLine="0" w:firstLineChars="0"/>
              <w:jc w:val="center"/>
              <w:rPr>
                <w:sz w:val="21"/>
                <w:szCs w:val="21"/>
              </w:rPr>
            </w:pPr>
            <w:r>
              <w:rPr>
                <w:rFonts w:cs="宋体"/>
                <w:sz w:val="21"/>
                <w:szCs w:val="21"/>
              </w:rPr>
              <w:t>非正常持续时长</w:t>
            </w:r>
            <w:r>
              <w:rPr>
                <w:rFonts w:hint="eastAsia" w:cs="宋体"/>
                <w:sz w:val="21"/>
                <w:szCs w:val="21"/>
              </w:rPr>
              <w:t>（）</w:t>
            </w:r>
            <w:r>
              <w:rPr>
                <w:sz w:val="21"/>
                <w:szCs w:val="21"/>
              </w:rPr>
              <w:t>h</w:t>
            </w:r>
          </w:p>
        </w:tc>
        <w:tc>
          <w:tcPr>
            <w:tcW w:w="1852" w:type="pct"/>
            <w:gridSpan w:val="5"/>
            <w:tcBorders>
              <w:tl2br w:val="nil"/>
              <w:tr2bl w:val="nil"/>
            </w:tcBorders>
            <w:vAlign w:val="center"/>
          </w:tcPr>
          <w:p w14:paraId="7309F939">
            <w:pPr>
              <w:ind w:firstLine="0" w:firstLineChars="0"/>
              <w:jc w:val="center"/>
              <w:rPr>
                <w:sz w:val="21"/>
                <w:szCs w:val="21"/>
              </w:rPr>
            </w:pPr>
            <w:r>
              <w:rPr>
                <w:sz w:val="21"/>
                <w:szCs w:val="21"/>
              </w:rPr>
              <w:t>C</w:t>
            </w:r>
            <w:r>
              <w:rPr>
                <w:rFonts w:cs="宋体"/>
                <w:sz w:val="21"/>
                <w:szCs w:val="21"/>
              </w:rPr>
              <w:t>非正常占标率</w:t>
            </w:r>
            <w:r>
              <w:rPr>
                <w:rFonts w:cs="Arial"/>
                <w:sz w:val="21"/>
                <w:szCs w:val="21"/>
              </w:rPr>
              <w:t>≤</w:t>
            </w:r>
            <w:r>
              <w:rPr>
                <w:sz w:val="21"/>
                <w:szCs w:val="21"/>
              </w:rPr>
              <w:t>100%□</w:t>
            </w:r>
          </w:p>
        </w:tc>
        <w:tc>
          <w:tcPr>
            <w:tcW w:w="1114" w:type="pct"/>
            <w:gridSpan w:val="4"/>
            <w:tcBorders>
              <w:tl2br w:val="nil"/>
              <w:tr2bl w:val="nil"/>
            </w:tcBorders>
            <w:vAlign w:val="center"/>
          </w:tcPr>
          <w:p w14:paraId="60AAE442">
            <w:pPr>
              <w:ind w:firstLine="0" w:firstLineChars="0"/>
              <w:jc w:val="center"/>
              <w:rPr>
                <w:sz w:val="21"/>
                <w:szCs w:val="21"/>
              </w:rPr>
            </w:pPr>
            <w:r>
              <w:rPr>
                <w:sz w:val="21"/>
                <w:szCs w:val="21"/>
              </w:rPr>
              <w:t>C</w:t>
            </w:r>
            <w:r>
              <w:rPr>
                <w:rFonts w:cs="宋体"/>
                <w:sz w:val="21"/>
                <w:szCs w:val="21"/>
              </w:rPr>
              <w:t>非正常占标率＞</w:t>
            </w:r>
            <w:r>
              <w:rPr>
                <w:sz w:val="21"/>
                <w:szCs w:val="21"/>
              </w:rPr>
              <w:t>100%□</w:t>
            </w:r>
          </w:p>
        </w:tc>
      </w:tr>
      <w:tr w14:paraId="5463E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311" w:type="pct"/>
            <w:vMerge w:val="continue"/>
            <w:tcBorders>
              <w:tl2br w:val="nil"/>
              <w:tr2bl w:val="nil"/>
            </w:tcBorders>
            <w:vAlign w:val="center"/>
          </w:tcPr>
          <w:p w14:paraId="03649DE8">
            <w:pPr>
              <w:ind w:firstLine="0" w:firstLineChars="0"/>
              <w:jc w:val="center"/>
              <w:rPr>
                <w:sz w:val="21"/>
              </w:rPr>
            </w:pPr>
          </w:p>
        </w:tc>
        <w:tc>
          <w:tcPr>
            <w:tcW w:w="799" w:type="pct"/>
            <w:tcBorders>
              <w:tl2br w:val="nil"/>
              <w:tr2bl w:val="nil"/>
            </w:tcBorders>
            <w:vAlign w:val="center"/>
          </w:tcPr>
          <w:p w14:paraId="460A7C1D">
            <w:pPr>
              <w:ind w:firstLine="0" w:firstLineChars="0"/>
              <w:jc w:val="center"/>
              <w:rPr>
                <w:rFonts w:cs="宋体"/>
                <w:sz w:val="21"/>
                <w:szCs w:val="21"/>
              </w:rPr>
            </w:pPr>
            <w:r>
              <w:rPr>
                <w:rFonts w:cs="宋体"/>
                <w:sz w:val="21"/>
                <w:szCs w:val="21"/>
              </w:rPr>
              <w:t>保证率日平均浓度和年平均浓度叠加值</w:t>
            </w:r>
          </w:p>
        </w:tc>
        <w:tc>
          <w:tcPr>
            <w:tcW w:w="1945" w:type="pct"/>
            <w:gridSpan w:val="6"/>
            <w:tcBorders>
              <w:tl2br w:val="nil"/>
              <w:tr2bl w:val="nil"/>
            </w:tcBorders>
            <w:vAlign w:val="center"/>
          </w:tcPr>
          <w:p w14:paraId="1B482C2B">
            <w:pPr>
              <w:ind w:firstLine="0" w:firstLineChars="0"/>
              <w:jc w:val="center"/>
              <w:rPr>
                <w:sz w:val="21"/>
                <w:szCs w:val="21"/>
              </w:rPr>
            </w:pPr>
            <w:r>
              <w:rPr>
                <w:sz w:val="21"/>
                <w:szCs w:val="21"/>
              </w:rPr>
              <w:t>C</w:t>
            </w:r>
            <w:r>
              <w:rPr>
                <w:rFonts w:cs="宋体"/>
                <w:sz w:val="21"/>
                <w:szCs w:val="21"/>
              </w:rPr>
              <w:t>叠加达标</w:t>
            </w:r>
            <w:r>
              <w:rPr>
                <w:sz w:val="21"/>
                <w:szCs w:val="21"/>
              </w:rPr>
              <w:t>□</w:t>
            </w:r>
          </w:p>
        </w:tc>
        <w:tc>
          <w:tcPr>
            <w:tcW w:w="1942" w:type="pct"/>
            <w:gridSpan w:val="6"/>
            <w:tcBorders>
              <w:tl2br w:val="nil"/>
              <w:tr2bl w:val="nil"/>
            </w:tcBorders>
            <w:vAlign w:val="center"/>
          </w:tcPr>
          <w:p w14:paraId="3AD339F9">
            <w:pPr>
              <w:ind w:firstLine="0" w:firstLineChars="0"/>
              <w:jc w:val="center"/>
              <w:rPr>
                <w:sz w:val="21"/>
                <w:szCs w:val="21"/>
              </w:rPr>
            </w:pPr>
            <w:r>
              <w:rPr>
                <w:sz w:val="21"/>
                <w:szCs w:val="21"/>
              </w:rPr>
              <w:t>C</w:t>
            </w:r>
            <w:r>
              <w:rPr>
                <w:rFonts w:cs="宋体"/>
                <w:sz w:val="21"/>
                <w:szCs w:val="21"/>
              </w:rPr>
              <w:t>叠加不达标</w:t>
            </w:r>
            <w:r>
              <w:rPr>
                <w:sz w:val="21"/>
                <w:szCs w:val="21"/>
              </w:rPr>
              <w:t>□</w:t>
            </w:r>
          </w:p>
        </w:tc>
      </w:tr>
      <w:tr w14:paraId="323BC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311" w:type="pct"/>
            <w:vMerge w:val="continue"/>
            <w:tcBorders>
              <w:tl2br w:val="nil"/>
              <w:tr2bl w:val="nil"/>
            </w:tcBorders>
            <w:vAlign w:val="center"/>
          </w:tcPr>
          <w:p w14:paraId="17015235">
            <w:pPr>
              <w:ind w:firstLine="0" w:firstLineChars="0"/>
              <w:jc w:val="center"/>
              <w:rPr>
                <w:sz w:val="21"/>
              </w:rPr>
            </w:pPr>
          </w:p>
        </w:tc>
        <w:tc>
          <w:tcPr>
            <w:tcW w:w="799" w:type="pct"/>
            <w:tcBorders>
              <w:tl2br w:val="nil"/>
              <w:tr2bl w:val="nil"/>
            </w:tcBorders>
            <w:vAlign w:val="center"/>
          </w:tcPr>
          <w:p w14:paraId="28BB6C69">
            <w:pPr>
              <w:ind w:firstLine="0" w:firstLineChars="0"/>
              <w:jc w:val="center"/>
              <w:rPr>
                <w:rFonts w:cs="宋体"/>
                <w:sz w:val="21"/>
                <w:szCs w:val="21"/>
              </w:rPr>
            </w:pPr>
            <w:r>
              <w:rPr>
                <w:rFonts w:cs="宋体"/>
                <w:sz w:val="21"/>
                <w:szCs w:val="21"/>
              </w:rPr>
              <w:t>区域环境质量的整体变化情况</w:t>
            </w:r>
          </w:p>
        </w:tc>
        <w:tc>
          <w:tcPr>
            <w:tcW w:w="1945" w:type="pct"/>
            <w:gridSpan w:val="6"/>
            <w:tcBorders>
              <w:tl2br w:val="nil"/>
              <w:tr2bl w:val="nil"/>
            </w:tcBorders>
            <w:vAlign w:val="center"/>
          </w:tcPr>
          <w:p w14:paraId="393AB19E">
            <w:pPr>
              <w:ind w:firstLine="0" w:firstLineChars="0"/>
              <w:jc w:val="center"/>
              <w:rPr>
                <w:sz w:val="21"/>
                <w:szCs w:val="21"/>
              </w:rPr>
            </w:pPr>
            <w:r>
              <w:rPr>
                <w:iCs/>
                <w:sz w:val="21"/>
                <w:szCs w:val="21"/>
              </w:rPr>
              <w:t>k</w:t>
            </w:r>
            <w:r>
              <w:rPr>
                <w:rFonts w:cs="Arial"/>
                <w:sz w:val="21"/>
                <w:szCs w:val="21"/>
              </w:rPr>
              <w:t>≤</w:t>
            </w:r>
            <w:r>
              <w:rPr>
                <w:sz w:val="21"/>
                <w:szCs w:val="21"/>
              </w:rPr>
              <w:t>-20%□</w:t>
            </w:r>
          </w:p>
        </w:tc>
        <w:tc>
          <w:tcPr>
            <w:tcW w:w="1942" w:type="pct"/>
            <w:gridSpan w:val="6"/>
            <w:tcBorders>
              <w:tl2br w:val="nil"/>
              <w:tr2bl w:val="nil"/>
            </w:tcBorders>
            <w:vAlign w:val="center"/>
          </w:tcPr>
          <w:p w14:paraId="1BBCBA17">
            <w:pPr>
              <w:ind w:firstLine="0" w:firstLineChars="0"/>
              <w:jc w:val="center"/>
              <w:rPr>
                <w:sz w:val="21"/>
                <w:szCs w:val="21"/>
              </w:rPr>
            </w:pPr>
            <w:r>
              <w:rPr>
                <w:iCs/>
                <w:sz w:val="21"/>
                <w:szCs w:val="21"/>
              </w:rPr>
              <w:t>k</w:t>
            </w:r>
            <w:r>
              <w:rPr>
                <w:rFonts w:cs="宋体"/>
                <w:sz w:val="21"/>
                <w:szCs w:val="21"/>
              </w:rPr>
              <w:t>＞</w:t>
            </w:r>
            <w:r>
              <w:rPr>
                <w:sz w:val="21"/>
                <w:szCs w:val="21"/>
              </w:rPr>
              <w:t>-20%□</w:t>
            </w:r>
          </w:p>
        </w:tc>
      </w:tr>
      <w:tr w14:paraId="286F6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11" w:type="pct"/>
            <w:vMerge w:val="restart"/>
            <w:tcBorders>
              <w:tl2br w:val="nil"/>
              <w:tr2bl w:val="nil"/>
            </w:tcBorders>
            <w:vAlign w:val="center"/>
          </w:tcPr>
          <w:p w14:paraId="3A4CDDED">
            <w:pPr>
              <w:ind w:firstLine="0" w:firstLineChars="0"/>
              <w:jc w:val="center"/>
              <w:rPr>
                <w:rFonts w:cs="宋体"/>
                <w:sz w:val="21"/>
                <w:szCs w:val="21"/>
              </w:rPr>
            </w:pPr>
            <w:r>
              <w:rPr>
                <w:rFonts w:cs="宋体"/>
                <w:sz w:val="21"/>
                <w:szCs w:val="21"/>
              </w:rPr>
              <w:t>环境监测计划</w:t>
            </w:r>
          </w:p>
        </w:tc>
        <w:tc>
          <w:tcPr>
            <w:tcW w:w="799" w:type="pct"/>
            <w:tcBorders>
              <w:tl2br w:val="nil"/>
              <w:tr2bl w:val="nil"/>
            </w:tcBorders>
            <w:vAlign w:val="center"/>
          </w:tcPr>
          <w:p w14:paraId="31EAB207">
            <w:pPr>
              <w:ind w:firstLine="0" w:firstLineChars="0"/>
              <w:jc w:val="center"/>
              <w:rPr>
                <w:rFonts w:cs="宋体"/>
                <w:sz w:val="21"/>
                <w:szCs w:val="21"/>
              </w:rPr>
            </w:pPr>
            <w:r>
              <w:rPr>
                <w:rFonts w:cs="宋体"/>
                <w:sz w:val="21"/>
                <w:szCs w:val="21"/>
              </w:rPr>
              <w:t>污染源监测</w:t>
            </w:r>
          </w:p>
        </w:tc>
        <w:tc>
          <w:tcPr>
            <w:tcW w:w="1945" w:type="pct"/>
            <w:gridSpan w:val="6"/>
            <w:tcBorders>
              <w:tl2br w:val="nil"/>
              <w:tr2bl w:val="nil"/>
            </w:tcBorders>
            <w:vAlign w:val="center"/>
          </w:tcPr>
          <w:p w14:paraId="13BC83B9">
            <w:pPr>
              <w:ind w:firstLine="0" w:firstLineChars="0"/>
              <w:jc w:val="center"/>
              <w:rPr>
                <w:rFonts w:cs="宋体"/>
                <w:sz w:val="21"/>
                <w:szCs w:val="21"/>
              </w:rPr>
            </w:pPr>
            <w:r>
              <w:rPr>
                <w:rFonts w:cs="宋体"/>
                <w:sz w:val="21"/>
                <w:szCs w:val="21"/>
              </w:rPr>
              <w:t>监测因子：</w:t>
            </w:r>
            <w:r>
              <w:rPr>
                <w:rFonts w:hint="eastAsia" w:cs="宋体"/>
                <w:sz w:val="21"/>
                <w:szCs w:val="21"/>
              </w:rPr>
              <w:t>（</w:t>
            </w:r>
            <w:r>
              <w:rPr>
                <w:sz w:val="21"/>
                <w:szCs w:val="21"/>
              </w:rPr>
              <w:t>NH</w:t>
            </w:r>
            <w:r>
              <w:rPr>
                <w:sz w:val="21"/>
                <w:szCs w:val="14"/>
                <w:vertAlign w:val="subscript"/>
              </w:rPr>
              <w:t>3</w:t>
            </w:r>
            <w:r>
              <w:rPr>
                <w:rFonts w:cs="宋体"/>
                <w:sz w:val="21"/>
                <w:szCs w:val="21"/>
              </w:rPr>
              <w:t>、</w:t>
            </w:r>
            <w:r>
              <w:rPr>
                <w:sz w:val="21"/>
                <w:szCs w:val="21"/>
              </w:rPr>
              <w:t>H</w:t>
            </w:r>
            <w:r>
              <w:rPr>
                <w:sz w:val="21"/>
                <w:szCs w:val="14"/>
                <w:vertAlign w:val="subscript"/>
              </w:rPr>
              <w:t>2</w:t>
            </w:r>
            <w:r>
              <w:rPr>
                <w:sz w:val="21"/>
                <w:szCs w:val="21"/>
              </w:rPr>
              <w:t>S</w:t>
            </w:r>
            <w:r>
              <w:rPr>
                <w:rFonts w:hint="eastAsia" w:cs="宋体"/>
                <w:sz w:val="21"/>
                <w:szCs w:val="21"/>
              </w:rPr>
              <w:t>）</w:t>
            </w:r>
          </w:p>
        </w:tc>
        <w:tc>
          <w:tcPr>
            <w:tcW w:w="1334" w:type="pct"/>
            <w:gridSpan w:val="5"/>
            <w:tcBorders>
              <w:tl2br w:val="nil"/>
              <w:tr2bl w:val="nil"/>
            </w:tcBorders>
            <w:vAlign w:val="center"/>
          </w:tcPr>
          <w:p w14:paraId="42160721">
            <w:pPr>
              <w:ind w:firstLine="0" w:firstLineChars="0"/>
              <w:jc w:val="center"/>
              <w:rPr>
                <w:rFonts w:cs="MS Gothic"/>
                <w:sz w:val="21"/>
                <w:szCs w:val="21"/>
              </w:rPr>
            </w:pPr>
            <w:r>
              <w:rPr>
                <w:rFonts w:cs="宋体"/>
                <w:sz w:val="21"/>
                <w:szCs w:val="21"/>
              </w:rPr>
              <w:t>有组织废气监测</w:t>
            </w:r>
            <w:r>
              <w:rPr>
                <w:rFonts w:cs="MS Gothic"/>
                <w:sz w:val="21"/>
                <w:szCs w:val="21"/>
              </w:rPr>
              <w:t>□</w:t>
            </w:r>
          </w:p>
          <w:p w14:paraId="621C5C4C">
            <w:pPr>
              <w:ind w:firstLine="0" w:firstLineChars="0"/>
              <w:jc w:val="center"/>
              <w:rPr>
                <w:rFonts w:cs="MS Gothic"/>
                <w:sz w:val="21"/>
                <w:szCs w:val="21"/>
              </w:rPr>
            </w:pPr>
            <w:r>
              <w:rPr>
                <w:rFonts w:cs="宋体"/>
                <w:sz w:val="21"/>
                <w:szCs w:val="21"/>
              </w:rPr>
              <w:t>无组织废气监测</w:t>
            </w:r>
            <w:r>
              <w:rPr>
                <w:rFonts w:cs="MS Gothic"/>
                <w:sz w:val="21"/>
                <w:szCs w:val="21"/>
              </w:rPr>
              <w:t>☑</w:t>
            </w:r>
          </w:p>
        </w:tc>
        <w:tc>
          <w:tcPr>
            <w:tcW w:w="608" w:type="pct"/>
            <w:tcBorders>
              <w:tl2br w:val="nil"/>
              <w:tr2bl w:val="nil"/>
            </w:tcBorders>
            <w:vAlign w:val="center"/>
          </w:tcPr>
          <w:p w14:paraId="750DAB3E">
            <w:pPr>
              <w:ind w:firstLine="0" w:firstLineChars="0"/>
              <w:jc w:val="center"/>
              <w:rPr>
                <w:sz w:val="21"/>
                <w:szCs w:val="21"/>
              </w:rPr>
            </w:pPr>
            <w:r>
              <w:rPr>
                <w:rFonts w:cs="宋体"/>
                <w:sz w:val="21"/>
                <w:szCs w:val="21"/>
              </w:rPr>
              <w:t>无监测</w:t>
            </w:r>
            <w:r>
              <w:rPr>
                <w:sz w:val="21"/>
                <w:szCs w:val="21"/>
              </w:rPr>
              <w:t>□</w:t>
            </w:r>
          </w:p>
        </w:tc>
      </w:tr>
      <w:tr w14:paraId="6A1E4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560F6CB1">
            <w:pPr>
              <w:ind w:firstLine="0" w:firstLineChars="0"/>
              <w:jc w:val="center"/>
              <w:rPr>
                <w:sz w:val="21"/>
              </w:rPr>
            </w:pPr>
          </w:p>
        </w:tc>
        <w:tc>
          <w:tcPr>
            <w:tcW w:w="799" w:type="pct"/>
            <w:tcBorders>
              <w:tl2br w:val="nil"/>
              <w:tr2bl w:val="nil"/>
            </w:tcBorders>
            <w:vAlign w:val="center"/>
          </w:tcPr>
          <w:p w14:paraId="28C9A775">
            <w:pPr>
              <w:ind w:firstLine="0" w:firstLineChars="0"/>
              <w:jc w:val="center"/>
              <w:rPr>
                <w:rFonts w:cs="宋体"/>
                <w:sz w:val="21"/>
                <w:szCs w:val="21"/>
              </w:rPr>
            </w:pPr>
            <w:r>
              <w:rPr>
                <w:rFonts w:cs="宋体"/>
                <w:sz w:val="21"/>
                <w:szCs w:val="21"/>
              </w:rPr>
              <w:t>环境质量监测</w:t>
            </w:r>
          </w:p>
        </w:tc>
        <w:tc>
          <w:tcPr>
            <w:tcW w:w="1945" w:type="pct"/>
            <w:gridSpan w:val="6"/>
            <w:tcBorders>
              <w:tl2br w:val="nil"/>
              <w:tr2bl w:val="nil"/>
            </w:tcBorders>
            <w:vAlign w:val="center"/>
          </w:tcPr>
          <w:p w14:paraId="5B29EF38">
            <w:pPr>
              <w:ind w:firstLine="0" w:firstLineChars="0"/>
              <w:jc w:val="center"/>
              <w:rPr>
                <w:rFonts w:cs="宋体"/>
                <w:sz w:val="21"/>
                <w:szCs w:val="21"/>
              </w:rPr>
            </w:pPr>
            <w:r>
              <w:rPr>
                <w:rFonts w:cs="宋体"/>
                <w:sz w:val="21"/>
                <w:szCs w:val="21"/>
              </w:rPr>
              <w:t>监测因子：</w:t>
            </w:r>
            <w:r>
              <w:rPr>
                <w:rFonts w:hint="eastAsia" w:cs="宋体"/>
                <w:sz w:val="21"/>
                <w:szCs w:val="21"/>
              </w:rPr>
              <w:t>（）</w:t>
            </w:r>
          </w:p>
        </w:tc>
        <w:tc>
          <w:tcPr>
            <w:tcW w:w="1334" w:type="pct"/>
            <w:gridSpan w:val="5"/>
            <w:tcBorders>
              <w:tl2br w:val="nil"/>
              <w:tr2bl w:val="nil"/>
            </w:tcBorders>
            <w:vAlign w:val="center"/>
          </w:tcPr>
          <w:p w14:paraId="72CB2EA0">
            <w:pPr>
              <w:ind w:firstLine="0" w:firstLineChars="0"/>
              <w:jc w:val="center"/>
              <w:rPr>
                <w:rFonts w:cs="宋体"/>
                <w:sz w:val="21"/>
                <w:szCs w:val="21"/>
              </w:rPr>
            </w:pPr>
            <w:r>
              <w:rPr>
                <w:rFonts w:cs="宋体"/>
                <w:sz w:val="21"/>
                <w:szCs w:val="21"/>
              </w:rPr>
              <w:t>监测点位数</w:t>
            </w:r>
            <w:r>
              <w:rPr>
                <w:rFonts w:hint="eastAsia" w:cs="宋体"/>
                <w:sz w:val="21"/>
                <w:szCs w:val="21"/>
              </w:rPr>
              <w:t>（）</w:t>
            </w:r>
          </w:p>
        </w:tc>
        <w:tc>
          <w:tcPr>
            <w:tcW w:w="608" w:type="pct"/>
            <w:tcBorders>
              <w:tl2br w:val="nil"/>
              <w:tr2bl w:val="nil"/>
            </w:tcBorders>
            <w:vAlign w:val="center"/>
          </w:tcPr>
          <w:p w14:paraId="77C8B6EB">
            <w:pPr>
              <w:ind w:firstLine="0" w:firstLineChars="0"/>
              <w:jc w:val="center"/>
              <w:rPr>
                <w:rFonts w:cs="MS Gothic"/>
                <w:sz w:val="21"/>
                <w:szCs w:val="21"/>
              </w:rPr>
            </w:pPr>
            <w:r>
              <w:rPr>
                <w:rFonts w:cs="宋体"/>
                <w:sz w:val="21"/>
                <w:szCs w:val="21"/>
              </w:rPr>
              <w:t>无监测</w:t>
            </w:r>
            <w:r>
              <w:rPr>
                <w:rFonts w:cs="MS Gothic"/>
                <w:sz w:val="21"/>
                <w:szCs w:val="21"/>
              </w:rPr>
              <w:t>☑</w:t>
            </w:r>
          </w:p>
        </w:tc>
      </w:tr>
      <w:tr w14:paraId="4AAF0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restart"/>
            <w:tcBorders>
              <w:tl2br w:val="nil"/>
              <w:tr2bl w:val="nil"/>
            </w:tcBorders>
            <w:vAlign w:val="center"/>
          </w:tcPr>
          <w:p w14:paraId="27784927">
            <w:pPr>
              <w:ind w:firstLine="0" w:firstLineChars="0"/>
              <w:jc w:val="center"/>
              <w:rPr>
                <w:sz w:val="21"/>
              </w:rPr>
            </w:pPr>
          </w:p>
          <w:p w14:paraId="4C9B28D8">
            <w:pPr>
              <w:ind w:firstLine="0" w:firstLineChars="0"/>
              <w:jc w:val="center"/>
              <w:rPr>
                <w:rFonts w:cs="宋体"/>
                <w:sz w:val="21"/>
                <w:szCs w:val="21"/>
              </w:rPr>
            </w:pPr>
            <w:r>
              <w:rPr>
                <w:rFonts w:cs="宋体"/>
                <w:sz w:val="21"/>
                <w:szCs w:val="21"/>
              </w:rPr>
              <w:t>评价结论</w:t>
            </w:r>
          </w:p>
        </w:tc>
        <w:tc>
          <w:tcPr>
            <w:tcW w:w="799" w:type="pct"/>
            <w:tcBorders>
              <w:tl2br w:val="nil"/>
              <w:tr2bl w:val="nil"/>
            </w:tcBorders>
            <w:vAlign w:val="center"/>
          </w:tcPr>
          <w:p w14:paraId="777AD1D7">
            <w:pPr>
              <w:ind w:firstLine="0" w:firstLineChars="0"/>
              <w:jc w:val="center"/>
              <w:rPr>
                <w:rFonts w:cs="宋体"/>
                <w:sz w:val="21"/>
                <w:szCs w:val="21"/>
              </w:rPr>
            </w:pPr>
            <w:r>
              <w:rPr>
                <w:rFonts w:cs="宋体"/>
                <w:sz w:val="21"/>
                <w:szCs w:val="21"/>
              </w:rPr>
              <w:t>环境影响</w:t>
            </w:r>
          </w:p>
        </w:tc>
        <w:tc>
          <w:tcPr>
            <w:tcW w:w="1117" w:type="pct"/>
            <w:gridSpan w:val="5"/>
            <w:tcBorders>
              <w:tl2br w:val="nil"/>
              <w:tr2bl w:val="nil"/>
            </w:tcBorders>
            <w:vAlign w:val="center"/>
          </w:tcPr>
          <w:p w14:paraId="3DD10A1C">
            <w:pPr>
              <w:ind w:firstLine="0" w:firstLineChars="0"/>
              <w:jc w:val="center"/>
              <w:rPr>
                <w:rFonts w:cs="MS Gothic"/>
                <w:sz w:val="21"/>
                <w:szCs w:val="21"/>
              </w:rPr>
            </w:pPr>
            <w:r>
              <w:rPr>
                <w:rFonts w:cs="宋体"/>
                <w:sz w:val="21"/>
                <w:szCs w:val="21"/>
              </w:rPr>
              <w:t>可以接受</w:t>
            </w:r>
            <w:r>
              <w:rPr>
                <w:rFonts w:cs="MS Gothic"/>
                <w:sz w:val="21"/>
                <w:szCs w:val="21"/>
              </w:rPr>
              <w:t>☑</w:t>
            </w:r>
          </w:p>
        </w:tc>
        <w:tc>
          <w:tcPr>
            <w:tcW w:w="2771" w:type="pct"/>
            <w:gridSpan w:val="7"/>
            <w:tcBorders>
              <w:tl2br w:val="nil"/>
              <w:tr2bl w:val="nil"/>
            </w:tcBorders>
            <w:vAlign w:val="center"/>
          </w:tcPr>
          <w:p w14:paraId="177DA852">
            <w:pPr>
              <w:ind w:firstLine="0" w:firstLineChars="0"/>
              <w:jc w:val="center"/>
              <w:rPr>
                <w:sz w:val="21"/>
                <w:szCs w:val="21"/>
              </w:rPr>
            </w:pPr>
            <w:r>
              <w:rPr>
                <w:rFonts w:cs="宋体"/>
                <w:sz w:val="21"/>
                <w:szCs w:val="21"/>
              </w:rPr>
              <w:t>不可以接受</w:t>
            </w:r>
            <w:r>
              <w:rPr>
                <w:sz w:val="21"/>
                <w:szCs w:val="21"/>
              </w:rPr>
              <w:t>□</w:t>
            </w:r>
          </w:p>
        </w:tc>
      </w:tr>
      <w:tr w14:paraId="732E6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continue"/>
            <w:tcBorders>
              <w:tl2br w:val="nil"/>
              <w:tr2bl w:val="nil"/>
            </w:tcBorders>
            <w:vAlign w:val="center"/>
          </w:tcPr>
          <w:p w14:paraId="374FF48A">
            <w:pPr>
              <w:ind w:firstLine="0" w:firstLineChars="0"/>
              <w:jc w:val="center"/>
              <w:rPr>
                <w:sz w:val="21"/>
              </w:rPr>
            </w:pPr>
          </w:p>
        </w:tc>
        <w:tc>
          <w:tcPr>
            <w:tcW w:w="799" w:type="pct"/>
            <w:tcBorders>
              <w:tl2br w:val="nil"/>
              <w:tr2bl w:val="nil"/>
            </w:tcBorders>
            <w:vAlign w:val="center"/>
          </w:tcPr>
          <w:p w14:paraId="11652A40">
            <w:pPr>
              <w:ind w:firstLine="0" w:firstLineChars="0"/>
              <w:jc w:val="center"/>
              <w:rPr>
                <w:rFonts w:cs="宋体"/>
                <w:sz w:val="21"/>
                <w:szCs w:val="21"/>
              </w:rPr>
            </w:pPr>
            <w:r>
              <w:rPr>
                <w:rFonts w:cs="宋体"/>
                <w:sz w:val="21"/>
                <w:szCs w:val="21"/>
              </w:rPr>
              <w:t>大气环境防护距离</w:t>
            </w:r>
          </w:p>
        </w:tc>
        <w:tc>
          <w:tcPr>
            <w:tcW w:w="3888" w:type="pct"/>
            <w:gridSpan w:val="12"/>
            <w:tcBorders>
              <w:tl2br w:val="nil"/>
              <w:tr2bl w:val="nil"/>
            </w:tcBorders>
            <w:vAlign w:val="center"/>
          </w:tcPr>
          <w:p w14:paraId="7112A41A">
            <w:pPr>
              <w:ind w:firstLine="0" w:firstLineChars="0"/>
              <w:jc w:val="center"/>
              <w:rPr>
                <w:sz w:val="21"/>
                <w:szCs w:val="21"/>
              </w:rPr>
            </w:pPr>
            <w:r>
              <w:rPr>
                <w:rFonts w:cs="宋体"/>
                <w:sz w:val="21"/>
                <w:szCs w:val="21"/>
              </w:rPr>
              <w:t>距</w:t>
            </w:r>
            <w:r>
              <w:rPr>
                <w:rFonts w:hint="eastAsia" w:cs="宋体"/>
                <w:sz w:val="21"/>
                <w:szCs w:val="21"/>
              </w:rPr>
              <w:t>（）</w:t>
            </w:r>
            <w:r>
              <w:rPr>
                <w:rFonts w:cs="宋体"/>
                <w:sz w:val="21"/>
                <w:szCs w:val="21"/>
              </w:rPr>
              <w:t>厂界最远</w:t>
            </w:r>
            <w:r>
              <w:rPr>
                <w:rFonts w:hint="eastAsia" w:cs="宋体"/>
                <w:sz w:val="21"/>
                <w:szCs w:val="21"/>
              </w:rPr>
              <w:t>（）</w:t>
            </w:r>
            <w:r>
              <w:rPr>
                <w:sz w:val="21"/>
                <w:szCs w:val="21"/>
              </w:rPr>
              <w:t>m</w:t>
            </w:r>
          </w:p>
        </w:tc>
      </w:tr>
      <w:tr w14:paraId="13E40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55E16AF3">
            <w:pPr>
              <w:ind w:firstLine="0" w:firstLineChars="0"/>
              <w:jc w:val="center"/>
              <w:rPr>
                <w:sz w:val="21"/>
              </w:rPr>
            </w:pPr>
          </w:p>
        </w:tc>
        <w:tc>
          <w:tcPr>
            <w:tcW w:w="799" w:type="pct"/>
            <w:tcBorders>
              <w:tl2br w:val="nil"/>
              <w:tr2bl w:val="nil"/>
            </w:tcBorders>
            <w:vAlign w:val="center"/>
          </w:tcPr>
          <w:p w14:paraId="43D0CA50">
            <w:pPr>
              <w:ind w:firstLine="0" w:firstLineChars="0"/>
              <w:jc w:val="center"/>
              <w:rPr>
                <w:rFonts w:cs="宋体"/>
                <w:sz w:val="21"/>
                <w:szCs w:val="21"/>
              </w:rPr>
            </w:pPr>
            <w:r>
              <w:rPr>
                <w:rFonts w:cs="宋体"/>
                <w:sz w:val="21"/>
                <w:szCs w:val="21"/>
              </w:rPr>
              <w:t>污染源年排放量</w:t>
            </w:r>
          </w:p>
        </w:tc>
        <w:tc>
          <w:tcPr>
            <w:tcW w:w="1019" w:type="pct"/>
            <w:gridSpan w:val="4"/>
            <w:tcBorders>
              <w:tl2br w:val="nil"/>
              <w:tr2bl w:val="nil"/>
            </w:tcBorders>
            <w:vAlign w:val="center"/>
          </w:tcPr>
          <w:p w14:paraId="3BEE3754">
            <w:pPr>
              <w:ind w:firstLine="0" w:firstLineChars="0"/>
              <w:jc w:val="center"/>
              <w:rPr>
                <w:sz w:val="21"/>
                <w:szCs w:val="21"/>
              </w:rPr>
            </w:pPr>
            <w:r>
              <w:rPr>
                <w:sz w:val="21"/>
                <w:szCs w:val="21"/>
              </w:rPr>
              <w:t>SO</w:t>
            </w:r>
            <w:r>
              <w:rPr>
                <w:sz w:val="21"/>
                <w:szCs w:val="14"/>
                <w:vertAlign w:val="subscript"/>
              </w:rPr>
              <w:t>2</w:t>
            </w:r>
            <w:r>
              <w:rPr>
                <w:rFonts w:hint="eastAsia"/>
                <w:sz w:val="21"/>
                <w:szCs w:val="21"/>
              </w:rPr>
              <w:t>：</w:t>
            </w:r>
            <w:r>
              <w:rPr>
                <w:rFonts w:hint="eastAsia" w:cs="宋体"/>
                <w:sz w:val="21"/>
                <w:szCs w:val="21"/>
              </w:rPr>
              <w:t>（</w:t>
            </w:r>
            <w:r>
              <w:rPr>
                <w:sz w:val="21"/>
                <w:szCs w:val="21"/>
              </w:rPr>
              <w:t>/</w:t>
            </w:r>
            <w:r>
              <w:rPr>
                <w:rFonts w:hint="eastAsia" w:cs="宋体"/>
                <w:sz w:val="21"/>
                <w:szCs w:val="21"/>
              </w:rPr>
              <w:t>）</w:t>
            </w:r>
            <w:r>
              <w:rPr>
                <w:sz w:val="21"/>
                <w:szCs w:val="21"/>
              </w:rPr>
              <w:t>t/a</w:t>
            </w:r>
          </w:p>
        </w:tc>
        <w:tc>
          <w:tcPr>
            <w:tcW w:w="926" w:type="pct"/>
            <w:gridSpan w:val="2"/>
            <w:tcBorders>
              <w:tl2br w:val="nil"/>
              <w:tr2bl w:val="nil"/>
            </w:tcBorders>
            <w:vAlign w:val="center"/>
          </w:tcPr>
          <w:p w14:paraId="3CCD6A4E">
            <w:pPr>
              <w:ind w:firstLine="0" w:firstLineChars="0"/>
              <w:jc w:val="center"/>
              <w:rPr>
                <w:sz w:val="21"/>
                <w:szCs w:val="21"/>
              </w:rPr>
            </w:pPr>
            <w:r>
              <w:rPr>
                <w:sz w:val="21"/>
                <w:szCs w:val="21"/>
              </w:rPr>
              <w:t>NOx</w:t>
            </w:r>
            <w:r>
              <w:rPr>
                <w:rFonts w:hint="eastAsia"/>
                <w:sz w:val="21"/>
                <w:szCs w:val="21"/>
              </w:rPr>
              <w:t>：</w:t>
            </w:r>
            <w:r>
              <w:rPr>
                <w:rFonts w:hint="eastAsia" w:cs="宋体"/>
                <w:sz w:val="21"/>
                <w:szCs w:val="21"/>
              </w:rPr>
              <w:t>（</w:t>
            </w:r>
            <w:r>
              <w:rPr>
                <w:sz w:val="21"/>
                <w:szCs w:val="21"/>
              </w:rPr>
              <w:t>/</w:t>
            </w:r>
            <w:r>
              <w:rPr>
                <w:rFonts w:hint="eastAsia" w:cs="宋体"/>
                <w:sz w:val="21"/>
                <w:szCs w:val="21"/>
              </w:rPr>
              <w:t>）</w:t>
            </w:r>
            <w:r>
              <w:rPr>
                <w:sz w:val="21"/>
                <w:szCs w:val="21"/>
              </w:rPr>
              <w:t>t/a</w:t>
            </w:r>
          </w:p>
        </w:tc>
        <w:tc>
          <w:tcPr>
            <w:tcW w:w="1190" w:type="pct"/>
            <w:gridSpan w:val="4"/>
            <w:tcBorders>
              <w:tl2br w:val="nil"/>
              <w:tr2bl w:val="nil"/>
            </w:tcBorders>
            <w:vAlign w:val="center"/>
          </w:tcPr>
          <w:p w14:paraId="2F74158B">
            <w:pPr>
              <w:ind w:firstLine="0" w:firstLineChars="0"/>
              <w:jc w:val="center"/>
              <w:rPr>
                <w:sz w:val="21"/>
                <w:szCs w:val="21"/>
              </w:rPr>
            </w:pPr>
            <w:r>
              <w:rPr>
                <w:rFonts w:cs="宋体"/>
                <w:sz w:val="21"/>
                <w:szCs w:val="21"/>
              </w:rPr>
              <w:t>颗粒物</w:t>
            </w:r>
            <w:r>
              <w:rPr>
                <w:rFonts w:hint="eastAsia"/>
                <w:sz w:val="21"/>
                <w:szCs w:val="21"/>
              </w:rPr>
              <w:t>：</w:t>
            </w:r>
            <w:r>
              <w:rPr>
                <w:rFonts w:hint="eastAsia" w:cs="宋体"/>
                <w:sz w:val="21"/>
                <w:szCs w:val="21"/>
              </w:rPr>
              <w:t>（</w:t>
            </w:r>
            <w:r>
              <w:rPr>
                <w:sz w:val="21"/>
                <w:szCs w:val="21"/>
              </w:rPr>
              <w:t>/</w:t>
            </w:r>
            <w:r>
              <w:rPr>
                <w:rFonts w:hint="eastAsia" w:cs="宋体"/>
                <w:sz w:val="21"/>
                <w:szCs w:val="21"/>
              </w:rPr>
              <w:t>）</w:t>
            </w:r>
            <w:r>
              <w:rPr>
                <w:sz w:val="21"/>
                <w:szCs w:val="21"/>
              </w:rPr>
              <w:t>t/a</w:t>
            </w:r>
          </w:p>
        </w:tc>
        <w:tc>
          <w:tcPr>
            <w:tcW w:w="752" w:type="pct"/>
            <w:gridSpan w:val="2"/>
            <w:tcBorders>
              <w:tl2br w:val="nil"/>
              <w:tr2bl w:val="nil"/>
            </w:tcBorders>
            <w:vAlign w:val="center"/>
          </w:tcPr>
          <w:p w14:paraId="136B3BDB">
            <w:pPr>
              <w:ind w:firstLine="0" w:firstLineChars="0"/>
              <w:jc w:val="center"/>
              <w:rPr>
                <w:sz w:val="21"/>
                <w:szCs w:val="21"/>
              </w:rPr>
            </w:pPr>
            <w:r>
              <w:rPr>
                <w:sz w:val="21"/>
                <w:szCs w:val="21"/>
              </w:rPr>
              <w:t>VOCs</w:t>
            </w:r>
            <w:r>
              <w:rPr>
                <w:rFonts w:hint="eastAsia"/>
                <w:sz w:val="21"/>
                <w:szCs w:val="21"/>
              </w:rPr>
              <w:t>：</w:t>
            </w:r>
            <w:r>
              <w:rPr>
                <w:rFonts w:hint="eastAsia" w:cs="宋体"/>
                <w:sz w:val="21"/>
                <w:szCs w:val="21"/>
              </w:rPr>
              <w:t>（</w:t>
            </w:r>
            <w:r>
              <w:rPr>
                <w:sz w:val="21"/>
                <w:szCs w:val="21"/>
              </w:rPr>
              <w:t>/</w:t>
            </w:r>
            <w:r>
              <w:rPr>
                <w:rFonts w:hint="eastAsia" w:cs="宋体"/>
                <w:sz w:val="21"/>
                <w:szCs w:val="21"/>
              </w:rPr>
              <w:t>）</w:t>
            </w:r>
            <w:r>
              <w:rPr>
                <w:sz w:val="21"/>
                <w:szCs w:val="21"/>
              </w:rPr>
              <w:t>t/a</w:t>
            </w:r>
          </w:p>
        </w:tc>
      </w:tr>
      <w:tr w14:paraId="1FA18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5000" w:type="pct"/>
            <w:gridSpan w:val="14"/>
            <w:tcBorders>
              <w:tl2br w:val="nil"/>
              <w:tr2bl w:val="nil"/>
            </w:tcBorders>
            <w:vAlign w:val="center"/>
          </w:tcPr>
          <w:p w14:paraId="2E4EC9D4">
            <w:pPr>
              <w:ind w:firstLine="0" w:firstLineChars="0"/>
              <w:jc w:val="center"/>
              <w:rPr>
                <w:rFonts w:cs="宋体"/>
                <w:sz w:val="21"/>
                <w:szCs w:val="21"/>
              </w:rPr>
            </w:pPr>
            <w:r>
              <w:rPr>
                <w:rFonts w:cs="宋体"/>
                <w:sz w:val="21"/>
                <w:szCs w:val="21"/>
              </w:rPr>
              <w:t>注：</w:t>
            </w:r>
            <w:r>
              <w:rPr>
                <w:rFonts w:hint="eastAsia"/>
                <w:sz w:val="21"/>
                <w:szCs w:val="21"/>
              </w:rPr>
              <w:t>”</w:t>
            </w:r>
            <w:r>
              <w:rPr>
                <w:sz w:val="21"/>
                <w:szCs w:val="21"/>
              </w:rPr>
              <w:t>□</w:t>
            </w:r>
            <w:r>
              <w:rPr>
                <w:rFonts w:hint="eastAsia"/>
                <w:sz w:val="21"/>
                <w:szCs w:val="21"/>
              </w:rPr>
              <w:t>”</w:t>
            </w:r>
            <w:r>
              <w:rPr>
                <w:rFonts w:cs="宋体"/>
                <w:sz w:val="21"/>
                <w:szCs w:val="21"/>
              </w:rPr>
              <w:t>为勾选项，填</w:t>
            </w:r>
            <w:r>
              <w:rPr>
                <w:rFonts w:hint="eastAsia"/>
                <w:sz w:val="21"/>
                <w:szCs w:val="21"/>
              </w:rPr>
              <w:t>”</w:t>
            </w:r>
            <w:r>
              <w:rPr>
                <w:rFonts w:cs="宋体"/>
                <w:sz w:val="21"/>
                <w:szCs w:val="21"/>
              </w:rPr>
              <w:t>√</w:t>
            </w:r>
            <w:r>
              <w:rPr>
                <w:rFonts w:hint="eastAsia"/>
                <w:sz w:val="21"/>
                <w:szCs w:val="21"/>
              </w:rPr>
              <w:t>”</w:t>
            </w:r>
            <w:r>
              <w:rPr>
                <w:rFonts w:cs="宋体"/>
                <w:sz w:val="21"/>
                <w:szCs w:val="21"/>
              </w:rPr>
              <w:t>；</w:t>
            </w:r>
            <w:r>
              <w:rPr>
                <w:rFonts w:hint="eastAsia"/>
                <w:sz w:val="21"/>
                <w:szCs w:val="21"/>
              </w:rPr>
              <w:t>”</w:t>
            </w:r>
            <w:r>
              <w:rPr>
                <w:rFonts w:hint="eastAsia" w:cs="宋体"/>
                <w:sz w:val="21"/>
                <w:szCs w:val="21"/>
              </w:rPr>
              <w:t>（）</w:t>
            </w:r>
            <w:r>
              <w:rPr>
                <w:rFonts w:hint="eastAsia"/>
                <w:sz w:val="21"/>
                <w:szCs w:val="21"/>
              </w:rPr>
              <w:t>”</w:t>
            </w:r>
            <w:r>
              <w:rPr>
                <w:rFonts w:cs="宋体"/>
                <w:sz w:val="21"/>
                <w:szCs w:val="21"/>
              </w:rPr>
              <w:t>为内容填写项</w:t>
            </w:r>
          </w:p>
        </w:tc>
      </w:tr>
    </w:tbl>
    <w:p w14:paraId="1240F1F9">
      <w:pPr>
        <w:ind w:firstLine="420"/>
        <w:rPr>
          <w:sz w:val="21"/>
        </w:rPr>
      </w:pPr>
    </w:p>
    <w:p w14:paraId="0C82E205">
      <w:pPr>
        <w:ind w:firstLine="480"/>
        <w:sectPr>
          <w:headerReference r:id="rId24" w:type="default"/>
          <w:footerReference r:id="rId25" w:type="default"/>
          <w:pgSz w:w="11907" w:h="16839"/>
          <w:pgMar w:top="1440" w:right="1800" w:bottom="1440" w:left="1800" w:header="877" w:footer="980" w:gutter="0"/>
          <w:pgBorders>
            <w:top w:val="none" w:sz="0" w:space="0"/>
            <w:left w:val="none" w:sz="0" w:space="0"/>
            <w:bottom w:val="none" w:sz="0" w:space="0"/>
            <w:right w:val="none" w:sz="0" w:space="0"/>
          </w:pgBorders>
          <w:cols w:space="720" w:num="1"/>
        </w:sectPr>
      </w:pPr>
    </w:p>
    <w:p w14:paraId="005E7F7D">
      <w:pPr>
        <w:pStyle w:val="5"/>
      </w:pPr>
      <w:bookmarkStart w:id="154" w:name="_Toc106663501"/>
      <w:r>
        <w:rPr>
          <w:rFonts w:hint="eastAsia"/>
        </w:rPr>
        <w:t>5.2.2水环境影响预测与评价</w:t>
      </w:r>
      <w:bookmarkEnd w:id="154"/>
    </w:p>
    <w:p w14:paraId="444D9974">
      <w:pPr>
        <w:ind w:firstLine="480"/>
      </w:pPr>
      <w:r>
        <w:t>根据分析，</w:t>
      </w:r>
      <w:r>
        <w:rPr>
          <w:rFonts w:hint="eastAsia"/>
        </w:rPr>
        <w:t>本项目用水主要为骆驼饮用水、绿化用水、生活用水和消防用水，</w:t>
      </w:r>
      <w:r>
        <w:t>本项目废水包括生活污水</w:t>
      </w:r>
      <w:r>
        <w:rPr>
          <w:rFonts w:hint="eastAsia"/>
        </w:rPr>
        <w:t>。</w:t>
      </w:r>
    </w:p>
    <w:p w14:paraId="7004D613">
      <w:pPr>
        <w:pStyle w:val="6"/>
        <w:ind w:firstLine="0" w:firstLineChars="0"/>
      </w:pPr>
      <w:r>
        <w:rPr>
          <w:rFonts w:hint="eastAsia"/>
        </w:rPr>
        <w:t>5.2.2.1地表水环境影响分析</w:t>
      </w:r>
    </w:p>
    <w:p w14:paraId="04958474">
      <w:pPr>
        <w:ind w:firstLine="480"/>
        <w:rPr>
          <w:rFonts w:cs="宋体"/>
          <w:szCs w:val="24"/>
        </w:rPr>
      </w:pPr>
      <w:r>
        <w:rPr>
          <w:rFonts w:cs="宋体"/>
          <w:szCs w:val="24"/>
        </w:rPr>
        <w:t>本项目运营期废水主要为生活污水</w:t>
      </w:r>
      <w:r>
        <w:rPr>
          <w:rFonts w:hint="eastAsia" w:cs="宋体"/>
          <w:szCs w:val="24"/>
          <w:lang w:val="en-US" w:eastAsia="zh-CN"/>
        </w:rPr>
        <w:t>和渗滤液</w:t>
      </w:r>
      <w:r>
        <w:rPr>
          <w:rFonts w:hint="eastAsia" w:cs="宋体"/>
          <w:szCs w:val="24"/>
        </w:rPr>
        <w:t>。</w:t>
      </w:r>
    </w:p>
    <w:p w14:paraId="7706F8D4">
      <w:pPr>
        <w:ind w:firstLine="480"/>
        <w:rPr>
          <w:rFonts w:cs="宋体"/>
          <w:szCs w:val="24"/>
        </w:rPr>
      </w:pPr>
      <w:r>
        <w:rPr>
          <w:rFonts w:cs="宋体"/>
          <w:szCs w:val="24"/>
        </w:rPr>
        <w:t>本项目</w:t>
      </w:r>
      <w:r>
        <w:rPr>
          <w:rFonts w:hint="eastAsia" w:cs="宋体"/>
          <w:szCs w:val="24"/>
          <w:lang w:val="en-US" w:eastAsia="zh-CN"/>
        </w:rPr>
        <w:t>渗滤液同</w:t>
      </w:r>
      <w:r>
        <w:rPr>
          <w:rFonts w:cs="宋体"/>
          <w:szCs w:val="24"/>
        </w:rPr>
        <w:t>生活污水</w:t>
      </w:r>
      <w:r>
        <w:rPr>
          <w:rFonts w:hint="eastAsia" w:cs="宋体"/>
          <w:szCs w:val="24"/>
        </w:rPr>
        <w:t>排入防渗化粪池，由木垒县污水处理厂处理</w:t>
      </w:r>
      <w:r>
        <w:rPr>
          <w:rFonts w:cs="宋体"/>
          <w:szCs w:val="24"/>
        </w:rPr>
        <w:t>，最终进入</w:t>
      </w:r>
      <w:r>
        <w:rPr>
          <w:rFonts w:hint="eastAsia" w:cs="宋体"/>
          <w:szCs w:val="24"/>
        </w:rPr>
        <w:t>木垒县</w:t>
      </w:r>
      <w:r>
        <w:rPr>
          <w:rFonts w:cs="宋体"/>
          <w:szCs w:val="24"/>
        </w:rPr>
        <w:t>城污水处理厂；项目区所产生的废水均得到有效处理，无外排废水</w:t>
      </w:r>
      <w:r>
        <w:rPr>
          <w:rFonts w:hint="eastAsia" w:cs="宋体"/>
          <w:szCs w:val="24"/>
        </w:rPr>
        <w:t>。</w:t>
      </w:r>
      <w:r>
        <w:rPr>
          <w:rFonts w:cs="宋体"/>
          <w:szCs w:val="24"/>
        </w:rPr>
        <w:t>项目对场区进行分区硬化防渗处置，项目产生的各类废水均得到合理处置，均不外排</w:t>
      </w:r>
      <w:r>
        <w:rPr>
          <w:rFonts w:hint="eastAsia" w:cs="宋体"/>
          <w:szCs w:val="24"/>
        </w:rPr>
        <w:t>。</w:t>
      </w:r>
      <w:r>
        <w:rPr>
          <w:rFonts w:cs="宋体"/>
          <w:szCs w:val="24"/>
        </w:rPr>
        <w:t>本项目废水不会进入天然地表水体，与地表水也不发生水力联系，对地表水环境影响不大</w:t>
      </w:r>
      <w:r>
        <w:rPr>
          <w:rFonts w:hint="eastAsia" w:cs="宋体"/>
          <w:szCs w:val="24"/>
        </w:rPr>
        <w:t>。</w:t>
      </w:r>
    </w:p>
    <w:p w14:paraId="6184E10A">
      <w:pPr>
        <w:ind w:firstLine="480"/>
        <w:rPr>
          <w:rFonts w:cs="宋体"/>
          <w:szCs w:val="24"/>
        </w:rPr>
      </w:pPr>
      <w:r>
        <w:rPr>
          <w:rFonts w:cs="宋体"/>
          <w:szCs w:val="24"/>
        </w:rPr>
        <w:t>地表水环境影响评价自查表见表</w:t>
      </w:r>
      <w:r>
        <w:rPr>
          <w:rFonts w:hint="eastAsia"/>
          <w:szCs w:val="24"/>
        </w:rPr>
        <w:t>5</w:t>
      </w:r>
      <w:r>
        <w:rPr>
          <w:szCs w:val="24"/>
        </w:rPr>
        <w:t>.2-10</w:t>
      </w:r>
      <w:r>
        <w:rPr>
          <w:rFonts w:hint="eastAsia" w:cs="宋体"/>
          <w:szCs w:val="24"/>
        </w:rPr>
        <w:t>。</w:t>
      </w:r>
    </w:p>
    <w:p w14:paraId="41BA1892">
      <w:pPr>
        <w:ind w:firstLine="0" w:firstLineChars="0"/>
        <w:jc w:val="center"/>
        <w:rPr>
          <w:rFonts w:cs="黑体"/>
          <w:b/>
          <w:bCs/>
          <w:szCs w:val="21"/>
        </w:rPr>
      </w:pPr>
      <w:r>
        <w:rPr>
          <w:rFonts w:cs="黑体"/>
          <w:b/>
          <w:bCs/>
          <w:szCs w:val="21"/>
        </w:rPr>
        <w:t>表</w:t>
      </w:r>
      <w:r>
        <w:rPr>
          <w:rFonts w:hint="eastAsia" w:cs="黑体"/>
          <w:b/>
          <w:bCs/>
          <w:szCs w:val="21"/>
        </w:rPr>
        <w:t>5</w:t>
      </w:r>
      <w:r>
        <w:rPr>
          <w:b/>
          <w:bCs/>
          <w:szCs w:val="21"/>
        </w:rPr>
        <w:t>.2-10</w:t>
      </w:r>
      <w:r>
        <w:rPr>
          <w:rFonts w:cs="黑体"/>
          <w:b/>
          <w:bCs/>
          <w:szCs w:val="21"/>
        </w:rPr>
        <w:t>地表水环境影响评价自查表</w:t>
      </w:r>
    </w:p>
    <w:tbl>
      <w:tblPr>
        <w:tblStyle w:val="183"/>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5"/>
        <w:gridCol w:w="1377"/>
        <w:gridCol w:w="1054"/>
        <w:gridCol w:w="484"/>
        <w:gridCol w:w="22"/>
        <w:gridCol w:w="20"/>
        <w:gridCol w:w="654"/>
        <w:gridCol w:w="989"/>
        <w:gridCol w:w="263"/>
        <w:gridCol w:w="126"/>
        <w:gridCol w:w="123"/>
        <w:gridCol w:w="926"/>
        <w:gridCol w:w="289"/>
        <w:gridCol w:w="330"/>
        <w:gridCol w:w="1163"/>
      </w:tblGrid>
      <w:tr w14:paraId="0E71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50" w:hRule="atLeast"/>
          <w:jc w:val="center"/>
        </w:trPr>
        <w:tc>
          <w:tcPr>
            <w:tcW w:w="1089" w:type="pct"/>
            <w:gridSpan w:val="2"/>
            <w:tcBorders>
              <w:tl2br w:val="nil"/>
              <w:tr2bl w:val="nil"/>
            </w:tcBorders>
            <w:vAlign w:val="center"/>
          </w:tcPr>
          <w:p w14:paraId="1B4D6E03">
            <w:pPr>
              <w:ind w:firstLine="0" w:firstLineChars="0"/>
              <w:jc w:val="center"/>
              <w:rPr>
                <w:rFonts w:cs="宋体"/>
                <w:sz w:val="21"/>
                <w:szCs w:val="21"/>
              </w:rPr>
            </w:pPr>
            <w:r>
              <w:rPr>
                <w:rFonts w:cs="宋体"/>
                <w:sz w:val="21"/>
                <w:szCs w:val="21"/>
              </w:rPr>
              <w:t>工作内容</w:t>
            </w:r>
          </w:p>
        </w:tc>
        <w:tc>
          <w:tcPr>
            <w:tcW w:w="3910" w:type="pct"/>
            <w:gridSpan w:val="13"/>
            <w:tcBorders>
              <w:tl2br w:val="nil"/>
              <w:tr2bl w:val="nil"/>
            </w:tcBorders>
            <w:vAlign w:val="center"/>
          </w:tcPr>
          <w:p w14:paraId="04821BD2">
            <w:pPr>
              <w:ind w:firstLine="0" w:firstLineChars="0"/>
              <w:jc w:val="center"/>
              <w:rPr>
                <w:rFonts w:cs="宋体"/>
                <w:sz w:val="21"/>
                <w:szCs w:val="21"/>
              </w:rPr>
            </w:pPr>
            <w:r>
              <w:rPr>
                <w:rFonts w:cs="宋体"/>
                <w:sz w:val="21"/>
                <w:szCs w:val="21"/>
              </w:rPr>
              <w:t>自查项目</w:t>
            </w:r>
          </w:p>
        </w:tc>
      </w:tr>
      <w:tr w14:paraId="7E5A4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4" w:hRule="atLeast"/>
          <w:jc w:val="center"/>
        </w:trPr>
        <w:tc>
          <w:tcPr>
            <w:tcW w:w="258" w:type="pct"/>
            <w:vMerge w:val="restart"/>
            <w:tcBorders>
              <w:tl2br w:val="nil"/>
              <w:tr2bl w:val="nil"/>
            </w:tcBorders>
            <w:textDirection w:val="tbRlV"/>
            <w:vAlign w:val="center"/>
          </w:tcPr>
          <w:p w14:paraId="4582E4D1">
            <w:pPr>
              <w:ind w:firstLine="0" w:firstLineChars="0"/>
              <w:jc w:val="center"/>
              <w:rPr>
                <w:rFonts w:cs="宋体"/>
                <w:sz w:val="21"/>
                <w:szCs w:val="21"/>
              </w:rPr>
            </w:pPr>
            <w:r>
              <w:rPr>
                <w:rFonts w:cs="宋体"/>
                <w:sz w:val="21"/>
                <w:szCs w:val="21"/>
              </w:rPr>
              <w:t>影响识别</w:t>
            </w:r>
          </w:p>
        </w:tc>
        <w:tc>
          <w:tcPr>
            <w:tcW w:w="831" w:type="pct"/>
            <w:tcBorders>
              <w:tl2br w:val="nil"/>
              <w:tr2bl w:val="nil"/>
            </w:tcBorders>
            <w:vAlign w:val="center"/>
          </w:tcPr>
          <w:p w14:paraId="4990F067">
            <w:pPr>
              <w:ind w:firstLine="0" w:firstLineChars="0"/>
              <w:jc w:val="center"/>
              <w:rPr>
                <w:rFonts w:cs="宋体"/>
                <w:sz w:val="21"/>
                <w:szCs w:val="21"/>
              </w:rPr>
            </w:pPr>
            <w:r>
              <w:rPr>
                <w:rFonts w:cs="宋体"/>
                <w:sz w:val="21"/>
                <w:szCs w:val="21"/>
              </w:rPr>
              <w:t>影响类型</w:t>
            </w:r>
          </w:p>
        </w:tc>
        <w:tc>
          <w:tcPr>
            <w:tcW w:w="3910" w:type="pct"/>
            <w:gridSpan w:val="13"/>
            <w:tcBorders>
              <w:tl2br w:val="nil"/>
              <w:tr2bl w:val="nil"/>
            </w:tcBorders>
            <w:vAlign w:val="center"/>
          </w:tcPr>
          <w:p w14:paraId="58638E63">
            <w:pPr>
              <w:ind w:firstLine="0" w:firstLineChars="0"/>
              <w:jc w:val="center"/>
              <w:rPr>
                <w:sz w:val="21"/>
                <w:szCs w:val="21"/>
              </w:rPr>
            </w:pPr>
            <w:r>
              <w:rPr>
                <w:rFonts w:cs="宋体"/>
                <w:sz w:val="21"/>
                <w:szCs w:val="21"/>
              </w:rPr>
              <w:t>水污染影响型</w:t>
            </w:r>
            <w:r>
              <w:rPr>
                <w:rFonts w:cs="微软雅黑"/>
                <w:sz w:val="21"/>
                <w:szCs w:val="21"/>
              </w:rPr>
              <w:t>团</w:t>
            </w:r>
            <w:r>
              <w:rPr>
                <w:rFonts w:cs="宋体"/>
                <w:sz w:val="21"/>
                <w:szCs w:val="21"/>
              </w:rPr>
              <w:t>；水文要素影响型</w:t>
            </w:r>
            <w:r>
              <w:rPr>
                <w:sz w:val="21"/>
                <w:szCs w:val="21"/>
              </w:rPr>
              <w:drawing>
                <wp:inline distT="0" distB="0" distL="0" distR="0">
                  <wp:extent cx="116205" cy="97790"/>
                  <wp:effectExtent l="0" t="0" r="17145" b="16510"/>
                  <wp:docPr id="109" name="IM 34"/>
                  <wp:cNvGraphicFramePr/>
                  <a:graphic xmlns:a="http://schemas.openxmlformats.org/drawingml/2006/main">
                    <a:graphicData uri="http://schemas.openxmlformats.org/drawingml/2006/picture">
                      <pic:pic xmlns:pic="http://schemas.openxmlformats.org/drawingml/2006/picture">
                        <pic:nvPicPr>
                          <pic:cNvPr id="109" name="IM 34"/>
                          <pic:cNvPicPr/>
                        </pic:nvPicPr>
                        <pic:blipFill>
                          <a:blip r:embed="rId51"/>
                          <a:stretch>
                            <a:fillRect/>
                          </a:stretch>
                        </pic:blipFill>
                        <pic:spPr>
                          <a:xfrm>
                            <a:off x="0" y="0"/>
                            <a:ext cx="116668" cy="97878"/>
                          </a:xfrm>
                          <a:prstGeom prst="rect">
                            <a:avLst/>
                          </a:prstGeom>
                        </pic:spPr>
                      </pic:pic>
                    </a:graphicData>
                  </a:graphic>
                </wp:inline>
              </w:drawing>
            </w:r>
          </w:p>
        </w:tc>
      </w:tr>
      <w:tr w14:paraId="1A47C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5" w:hRule="atLeast"/>
          <w:jc w:val="center"/>
        </w:trPr>
        <w:tc>
          <w:tcPr>
            <w:tcW w:w="258" w:type="pct"/>
            <w:vMerge w:val="continue"/>
            <w:tcBorders>
              <w:tl2br w:val="nil"/>
              <w:tr2bl w:val="nil"/>
            </w:tcBorders>
            <w:textDirection w:val="tbRlV"/>
            <w:vAlign w:val="center"/>
          </w:tcPr>
          <w:p w14:paraId="684320DC">
            <w:pPr>
              <w:ind w:firstLine="0" w:firstLineChars="0"/>
              <w:jc w:val="center"/>
              <w:rPr>
                <w:sz w:val="21"/>
              </w:rPr>
            </w:pPr>
          </w:p>
        </w:tc>
        <w:tc>
          <w:tcPr>
            <w:tcW w:w="831" w:type="pct"/>
            <w:tcBorders>
              <w:tl2br w:val="nil"/>
              <w:tr2bl w:val="nil"/>
            </w:tcBorders>
            <w:vAlign w:val="center"/>
          </w:tcPr>
          <w:p w14:paraId="72508324">
            <w:pPr>
              <w:ind w:firstLine="0" w:firstLineChars="0"/>
              <w:jc w:val="center"/>
              <w:rPr>
                <w:rFonts w:cs="宋体"/>
                <w:sz w:val="21"/>
                <w:szCs w:val="21"/>
              </w:rPr>
            </w:pPr>
            <w:r>
              <w:rPr>
                <w:rFonts w:cs="宋体"/>
                <w:sz w:val="21"/>
                <w:szCs w:val="21"/>
              </w:rPr>
              <w:t>水环境保护目标</w:t>
            </w:r>
          </w:p>
        </w:tc>
        <w:tc>
          <w:tcPr>
            <w:tcW w:w="3910" w:type="pct"/>
            <w:gridSpan w:val="13"/>
            <w:tcBorders>
              <w:tl2br w:val="nil"/>
              <w:tr2bl w:val="nil"/>
            </w:tcBorders>
            <w:vAlign w:val="center"/>
          </w:tcPr>
          <w:p w14:paraId="15C3F983">
            <w:pPr>
              <w:ind w:firstLine="0" w:firstLineChars="0"/>
              <w:jc w:val="center"/>
              <w:rPr>
                <w:sz w:val="21"/>
                <w:szCs w:val="21"/>
              </w:rPr>
            </w:pPr>
            <w:r>
              <w:rPr>
                <w:rFonts w:cs="宋体"/>
                <w:sz w:val="21"/>
                <w:szCs w:val="21"/>
              </w:rPr>
              <w:t>饮用水水源保护区</w:t>
            </w:r>
            <w:r>
              <w:rPr>
                <w:sz w:val="21"/>
                <w:szCs w:val="21"/>
              </w:rPr>
              <w:drawing>
                <wp:inline distT="0" distB="0" distL="0" distR="0">
                  <wp:extent cx="113030" cy="97790"/>
                  <wp:effectExtent l="0" t="0" r="1270" b="16510"/>
                  <wp:docPr id="111" name="IM 35"/>
                  <wp:cNvGraphicFramePr/>
                  <a:graphic xmlns:a="http://schemas.openxmlformats.org/drawingml/2006/main">
                    <a:graphicData uri="http://schemas.openxmlformats.org/drawingml/2006/picture">
                      <pic:pic xmlns:pic="http://schemas.openxmlformats.org/drawingml/2006/picture">
                        <pic:nvPicPr>
                          <pic:cNvPr id="111" name="IM 35"/>
                          <pic:cNvPicPr/>
                        </pic:nvPicPr>
                        <pic:blipFill>
                          <a:blip r:embed="rId51"/>
                          <a:stretch>
                            <a:fillRect/>
                          </a:stretch>
                        </pic:blipFill>
                        <pic:spPr>
                          <a:xfrm>
                            <a:off x="0" y="0"/>
                            <a:ext cx="113474" cy="97878"/>
                          </a:xfrm>
                          <a:prstGeom prst="rect">
                            <a:avLst/>
                          </a:prstGeom>
                        </pic:spPr>
                      </pic:pic>
                    </a:graphicData>
                  </a:graphic>
                </wp:inline>
              </w:drawing>
            </w:r>
            <w:r>
              <w:rPr>
                <w:rFonts w:cs="宋体"/>
                <w:sz w:val="21"/>
                <w:szCs w:val="21"/>
              </w:rPr>
              <w:t>；饮用水取水口；涉水的自然保护区</w:t>
            </w:r>
            <w:r>
              <w:rPr>
                <w:sz w:val="21"/>
                <w:szCs w:val="21"/>
              </w:rPr>
              <w:drawing>
                <wp:inline distT="0" distB="0" distL="0" distR="0">
                  <wp:extent cx="113030" cy="97790"/>
                  <wp:effectExtent l="0" t="0" r="1270" b="165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1"/>
                          <a:stretch>
                            <a:fillRect/>
                          </a:stretch>
                        </pic:blipFill>
                        <pic:spPr>
                          <a:xfrm>
                            <a:off x="0" y="0"/>
                            <a:ext cx="113474" cy="97878"/>
                          </a:xfrm>
                          <a:prstGeom prst="rect">
                            <a:avLst/>
                          </a:prstGeom>
                        </pic:spPr>
                      </pic:pic>
                    </a:graphicData>
                  </a:graphic>
                </wp:inline>
              </w:drawing>
            </w:r>
            <w:r>
              <w:rPr>
                <w:rFonts w:cs="宋体"/>
                <w:sz w:val="21"/>
                <w:szCs w:val="21"/>
              </w:rPr>
              <w:t>；重要湿地；重点保护与珍惜水生生物的栖息地</w:t>
            </w:r>
            <w:r>
              <w:rPr>
                <w:sz w:val="21"/>
                <w:szCs w:val="21"/>
              </w:rPr>
              <w:drawing>
                <wp:inline distT="0" distB="0" distL="0" distR="0">
                  <wp:extent cx="107315" cy="97790"/>
                  <wp:effectExtent l="0" t="0" r="6985" b="16510"/>
                  <wp:docPr id="112" name="IM 37"/>
                  <wp:cNvGraphicFramePr/>
                  <a:graphic xmlns:a="http://schemas.openxmlformats.org/drawingml/2006/main">
                    <a:graphicData uri="http://schemas.openxmlformats.org/drawingml/2006/picture">
                      <pic:pic xmlns:pic="http://schemas.openxmlformats.org/drawingml/2006/picture">
                        <pic:nvPicPr>
                          <pic:cNvPr id="112" name="IM 37"/>
                          <pic:cNvPicPr/>
                        </pic:nvPicPr>
                        <pic:blipFill>
                          <a:blip r:embed="rId51"/>
                          <a:stretch>
                            <a:fillRect/>
                          </a:stretch>
                        </pic:blipFill>
                        <pic:spPr>
                          <a:xfrm>
                            <a:off x="0" y="0"/>
                            <a:ext cx="107613" cy="97878"/>
                          </a:xfrm>
                          <a:prstGeom prst="rect">
                            <a:avLst/>
                          </a:prstGeom>
                        </pic:spPr>
                      </pic:pic>
                    </a:graphicData>
                  </a:graphic>
                </wp:inline>
              </w:drawing>
            </w:r>
            <w:r>
              <w:rPr>
                <w:rFonts w:cs="宋体"/>
                <w:sz w:val="21"/>
                <w:szCs w:val="21"/>
              </w:rPr>
              <w:t>；重要水生生物的自然产卵场及索饵场、越冬场和洄游通道、天然渔场等渔业水体</w:t>
            </w:r>
            <w:r>
              <w:rPr>
                <w:sz w:val="21"/>
                <w:szCs w:val="21"/>
              </w:rPr>
              <w:drawing>
                <wp:inline distT="0" distB="0" distL="0" distR="0">
                  <wp:extent cx="113030" cy="97790"/>
                  <wp:effectExtent l="0" t="0" r="1270" b="16510"/>
                  <wp:docPr id="120" name="IM 38"/>
                  <wp:cNvGraphicFramePr/>
                  <a:graphic xmlns:a="http://schemas.openxmlformats.org/drawingml/2006/main">
                    <a:graphicData uri="http://schemas.openxmlformats.org/drawingml/2006/picture">
                      <pic:pic xmlns:pic="http://schemas.openxmlformats.org/drawingml/2006/picture">
                        <pic:nvPicPr>
                          <pic:cNvPr id="120" name="IM 38"/>
                          <pic:cNvPicPr/>
                        </pic:nvPicPr>
                        <pic:blipFill>
                          <a:blip r:embed="rId52"/>
                          <a:stretch>
                            <a:fillRect/>
                          </a:stretch>
                        </pic:blipFill>
                        <pic:spPr>
                          <a:xfrm>
                            <a:off x="0" y="0"/>
                            <a:ext cx="113254" cy="97878"/>
                          </a:xfrm>
                          <a:prstGeom prst="rect">
                            <a:avLst/>
                          </a:prstGeom>
                        </pic:spPr>
                      </pic:pic>
                    </a:graphicData>
                  </a:graphic>
                </wp:inline>
              </w:drawing>
            </w:r>
            <w:r>
              <w:rPr>
                <w:rFonts w:cs="宋体"/>
                <w:sz w:val="21"/>
                <w:szCs w:val="21"/>
              </w:rPr>
              <w:t>；涉水的风景名胜区</w:t>
            </w:r>
            <w:r>
              <w:rPr>
                <w:sz w:val="21"/>
                <w:szCs w:val="21"/>
              </w:rPr>
              <w:drawing>
                <wp:inline distT="0" distB="0" distL="0" distR="0">
                  <wp:extent cx="113030" cy="97790"/>
                  <wp:effectExtent l="0" t="0" r="1270" b="16510"/>
                  <wp:docPr id="121" name="IM 39"/>
                  <wp:cNvGraphicFramePr/>
                  <a:graphic xmlns:a="http://schemas.openxmlformats.org/drawingml/2006/main">
                    <a:graphicData uri="http://schemas.openxmlformats.org/drawingml/2006/picture">
                      <pic:pic xmlns:pic="http://schemas.openxmlformats.org/drawingml/2006/picture">
                        <pic:nvPicPr>
                          <pic:cNvPr id="121" name="IM 39"/>
                          <pic:cNvPicPr/>
                        </pic:nvPicPr>
                        <pic:blipFill>
                          <a:blip r:embed="rId51"/>
                          <a:stretch>
                            <a:fillRect/>
                          </a:stretch>
                        </pic:blipFill>
                        <pic:spPr>
                          <a:xfrm>
                            <a:off x="0" y="0"/>
                            <a:ext cx="113254" cy="97878"/>
                          </a:xfrm>
                          <a:prstGeom prst="rect">
                            <a:avLst/>
                          </a:prstGeom>
                        </pic:spPr>
                      </pic:pic>
                    </a:graphicData>
                  </a:graphic>
                </wp:inline>
              </w:drawing>
            </w:r>
            <w:r>
              <w:rPr>
                <w:rFonts w:cs="宋体"/>
                <w:sz w:val="21"/>
                <w:szCs w:val="21"/>
              </w:rPr>
              <w:t>；其他</w:t>
            </w:r>
            <w:r>
              <w:rPr>
                <w:sz w:val="21"/>
                <w:szCs w:val="21"/>
              </w:rPr>
              <w:drawing>
                <wp:inline distT="0" distB="0" distL="0" distR="0">
                  <wp:extent cx="113030" cy="97790"/>
                  <wp:effectExtent l="0" t="0" r="1270" b="16510"/>
                  <wp:docPr id="122" name="IM 40"/>
                  <wp:cNvGraphicFramePr/>
                  <a:graphic xmlns:a="http://schemas.openxmlformats.org/drawingml/2006/main">
                    <a:graphicData uri="http://schemas.openxmlformats.org/drawingml/2006/picture">
                      <pic:pic xmlns:pic="http://schemas.openxmlformats.org/drawingml/2006/picture">
                        <pic:nvPicPr>
                          <pic:cNvPr id="122" name="IM 40"/>
                          <pic:cNvPicPr/>
                        </pic:nvPicPr>
                        <pic:blipFill>
                          <a:blip r:embed="rId52"/>
                          <a:stretch>
                            <a:fillRect/>
                          </a:stretch>
                        </pic:blipFill>
                        <pic:spPr>
                          <a:xfrm>
                            <a:off x="0" y="0"/>
                            <a:ext cx="113254" cy="97878"/>
                          </a:xfrm>
                          <a:prstGeom prst="rect">
                            <a:avLst/>
                          </a:prstGeom>
                        </pic:spPr>
                      </pic:pic>
                    </a:graphicData>
                  </a:graphic>
                </wp:inline>
              </w:drawing>
            </w:r>
          </w:p>
        </w:tc>
      </w:tr>
      <w:tr w14:paraId="4125E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4" w:hRule="atLeast"/>
          <w:jc w:val="center"/>
        </w:trPr>
        <w:tc>
          <w:tcPr>
            <w:tcW w:w="258" w:type="pct"/>
            <w:vMerge w:val="continue"/>
            <w:tcBorders>
              <w:tl2br w:val="nil"/>
              <w:tr2bl w:val="nil"/>
            </w:tcBorders>
            <w:textDirection w:val="tbRlV"/>
            <w:vAlign w:val="center"/>
          </w:tcPr>
          <w:p w14:paraId="4F873B31">
            <w:pPr>
              <w:ind w:firstLine="0" w:firstLineChars="0"/>
              <w:jc w:val="center"/>
              <w:rPr>
                <w:sz w:val="21"/>
              </w:rPr>
            </w:pPr>
          </w:p>
        </w:tc>
        <w:tc>
          <w:tcPr>
            <w:tcW w:w="831" w:type="pct"/>
            <w:vMerge w:val="restart"/>
            <w:tcBorders>
              <w:tl2br w:val="nil"/>
              <w:tr2bl w:val="nil"/>
            </w:tcBorders>
            <w:vAlign w:val="center"/>
          </w:tcPr>
          <w:p w14:paraId="11F6A54A">
            <w:pPr>
              <w:ind w:firstLine="0" w:firstLineChars="0"/>
              <w:jc w:val="center"/>
              <w:rPr>
                <w:rFonts w:cs="宋体"/>
                <w:sz w:val="21"/>
                <w:szCs w:val="21"/>
              </w:rPr>
            </w:pPr>
            <w:r>
              <w:rPr>
                <w:rFonts w:cs="宋体"/>
                <w:sz w:val="21"/>
                <w:szCs w:val="21"/>
              </w:rPr>
              <w:t>影响途径</w:t>
            </w:r>
          </w:p>
        </w:tc>
        <w:tc>
          <w:tcPr>
            <w:tcW w:w="1956" w:type="pct"/>
            <w:gridSpan w:val="6"/>
            <w:tcBorders>
              <w:tl2br w:val="nil"/>
              <w:tr2bl w:val="nil"/>
            </w:tcBorders>
            <w:vAlign w:val="center"/>
          </w:tcPr>
          <w:p w14:paraId="3E2FBD3B">
            <w:pPr>
              <w:ind w:firstLine="0" w:firstLineChars="0"/>
              <w:jc w:val="center"/>
              <w:rPr>
                <w:rFonts w:cs="宋体"/>
                <w:sz w:val="21"/>
                <w:szCs w:val="21"/>
              </w:rPr>
            </w:pPr>
            <w:r>
              <w:rPr>
                <w:rFonts w:cs="宋体"/>
                <w:sz w:val="21"/>
                <w:szCs w:val="21"/>
              </w:rPr>
              <w:t>水污染影响型</w:t>
            </w:r>
          </w:p>
        </w:tc>
        <w:tc>
          <w:tcPr>
            <w:tcW w:w="1953" w:type="pct"/>
            <w:gridSpan w:val="7"/>
            <w:tcBorders>
              <w:tl2br w:val="nil"/>
              <w:tr2bl w:val="nil"/>
            </w:tcBorders>
            <w:vAlign w:val="center"/>
          </w:tcPr>
          <w:p w14:paraId="487B66DC">
            <w:pPr>
              <w:ind w:firstLine="0" w:firstLineChars="0"/>
              <w:jc w:val="center"/>
              <w:rPr>
                <w:rFonts w:cs="宋体"/>
                <w:sz w:val="21"/>
                <w:szCs w:val="21"/>
              </w:rPr>
            </w:pPr>
            <w:r>
              <w:rPr>
                <w:rFonts w:cs="宋体"/>
                <w:sz w:val="21"/>
                <w:szCs w:val="21"/>
              </w:rPr>
              <w:t>水文要素影响型</w:t>
            </w:r>
          </w:p>
        </w:tc>
      </w:tr>
      <w:tr w14:paraId="6D36B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66C39977">
            <w:pPr>
              <w:ind w:firstLine="0" w:firstLineChars="0"/>
              <w:jc w:val="center"/>
              <w:rPr>
                <w:sz w:val="21"/>
              </w:rPr>
            </w:pPr>
          </w:p>
        </w:tc>
        <w:tc>
          <w:tcPr>
            <w:tcW w:w="831" w:type="pct"/>
            <w:vMerge w:val="continue"/>
            <w:tcBorders>
              <w:tl2br w:val="nil"/>
              <w:tr2bl w:val="nil"/>
            </w:tcBorders>
            <w:vAlign w:val="center"/>
          </w:tcPr>
          <w:p w14:paraId="78E35107">
            <w:pPr>
              <w:ind w:firstLine="0" w:firstLineChars="0"/>
              <w:jc w:val="center"/>
              <w:rPr>
                <w:sz w:val="21"/>
              </w:rPr>
            </w:pPr>
          </w:p>
        </w:tc>
        <w:tc>
          <w:tcPr>
            <w:tcW w:w="1956" w:type="pct"/>
            <w:gridSpan w:val="6"/>
            <w:tcBorders>
              <w:tl2br w:val="nil"/>
              <w:tr2bl w:val="nil"/>
            </w:tcBorders>
            <w:vAlign w:val="center"/>
          </w:tcPr>
          <w:p w14:paraId="43A881D6">
            <w:pPr>
              <w:ind w:firstLine="0" w:firstLineChars="0"/>
              <w:jc w:val="center"/>
              <w:rPr>
                <w:rFonts w:cs="微软雅黑"/>
                <w:sz w:val="21"/>
                <w:szCs w:val="21"/>
              </w:rPr>
            </w:pPr>
            <w:r>
              <w:rPr>
                <w:rFonts w:cs="宋体"/>
                <w:sz w:val="21"/>
                <w:szCs w:val="21"/>
              </w:rPr>
              <w:t>直接排放</w:t>
            </w:r>
            <w:r>
              <w:rPr>
                <w:sz w:val="21"/>
                <w:szCs w:val="21"/>
              </w:rPr>
              <w:drawing>
                <wp:inline distT="0" distB="0" distL="0" distR="0">
                  <wp:extent cx="109855" cy="97790"/>
                  <wp:effectExtent l="0" t="0" r="4445" b="1651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3"/>
                          <a:stretch>
                            <a:fillRect/>
                          </a:stretch>
                        </pic:blipFill>
                        <pic:spPr>
                          <a:xfrm>
                            <a:off x="0" y="0"/>
                            <a:ext cx="110213" cy="97878"/>
                          </a:xfrm>
                          <a:prstGeom prst="rect">
                            <a:avLst/>
                          </a:prstGeom>
                        </pic:spPr>
                      </pic:pic>
                    </a:graphicData>
                  </a:graphic>
                </wp:inline>
              </w:drawing>
            </w:r>
            <w:r>
              <w:rPr>
                <w:rFonts w:cs="宋体"/>
                <w:sz w:val="21"/>
                <w:szCs w:val="21"/>
              </w:rPr>
              <w:t>；间接排放</w:t>
            </w:r>
            <w:r>
              <w:rPr>
                <w:sz w:val="21"/>
                <w:szCs w:val="21"/>
              </w:rPr>
              <w:drawing>
                <wp:inline distT="0" distB="0" distL="0" distR="0">
                  <wp:extent cx="109855" cy="97790"/>
                  <wp:effectExtent l="0" t="0" r="4445" b="16510"/>
                  <wp:docPr id="124" name="IM 42"/>
                  <wp:cNvGraphicFramePr/>
                  <a:graphic xmlns:a="http://schemas.openxmlformats.org/drawingml/2006/main">
                    <a:graphicData uri="http://schemas.openxmlformats.org/drawingml/2006/picture">
                      <pic:pic xmlns:pic="http://schemas.openxmlformats.org/drawingml/2006/picture">
                        <pic:nvPicPr>
                          <pic:cNvPr id="124" name="IM 42"/>
                          <pic:cNvPicPr/>
                        </pic:nvPicPr>
                        <pic:blipFill>
                          <a:blip r:embed="rId54"/>
                          <a:stretch>
                            <a:fillRect/>
                          </a:stretch>
                        </pic:blipFill>
                        <pic:spPr>
                          <a:xfrm>
                            <a:off x="0" y="0"/>
                            <a:ext cx="110214" cy="97878"/>
                          </a:xfrm>
                          <a:prstGeom prst="rect">
                            <a:avLst/>
                          </a:prstGeom>
                        </pic:spPr>
                      </pic:pic>
                    </a:graphicData>
                  </a:graphic>
                </wp:inline>
              </w:drawing>
            </w:r>
            <w:r>
              <w:rPr>
                <w:rFonts w:cs="宋体"/>
                <w:sz w:val="21"/>
                <w:szCs w:val="21"/>
              </w:rPr>
              <w:t>；其他</w:t>
            </w:r>
            <w:r>
              <w:rPr>
                <w:rFonts w:cs="微软雅黑"/>
                <w:sz w:val="21"/>
                <w:szCs w:val="21"/>
              </w:rPr>
              <w:t>团</w:t>
            </w:r>
          </w:p>
        </w:tc>
        <w:tc>
          <w:tcPr>
            <w:tcW w:w="1953" w:type="pct"/>
            <w:gridSpan w:val="7"/>
            <w:tcBorders>
              <w:tl2br w:val="nil"/>
              <w:tr2bl w:val="nil"/>
            </w:tcBorders>
            <w:vAlign w:val="center"/>
          </w:tcPr>
          <w:p w14:paraId="3289D82B">
            <w:pPr>
              <w:ind w:firstLine="0" w:firstLineChars="0"/>
              <w:jc w:val="center"/>
              <w:rPr>
                <w:sz w:val="21"/>
                <w:szCs w:val="21"/>
              </w:rPr>
            </w:pPr>
            <w:r>
              <w:rPr>
                <w:rFonts w:cs="宋体"/>
                <w:sz w:val="21"/>
                <w:szCs w:val="21"/>
              </w:rPr>
              <w:t>水温</w:t>
            </w:r>
            <w:r>
              <w:rPr>
                <w:sz w:val="21"/>
                <w:szCs w:val="21"/>
              </w:rPr>
              <w:drawing>
                <wp:inline distT="0" distB="0" distL="0" distR="0">
                  <wp:extent cx="111760" cy="97790"/>
                  <wp:effectExtent l="0" t="0" r="2540" b="16510"/>
                  <wp:docPr id="125" name="IM 43"/>
                  <wp:cNvGraphicFramePr/>
                  <a:graphic xmlns:a="http://schemas.openxmlformats.org/drawingml/2006/main">
                    <a:graphicData uri="http://schemas.openxmlformats.org/drawingml/2006/picture">
                      <pic:pic xmlns:pic="http://schemas.openxmlformats.org/drawingml/2006/picture">
                        <pic:nvPicPr>
                          <pic:cNvPr id="125" name="IM 43"/>
                          <pic:cNvPicPr/>
                        </pic:nvPicPr>
                        <pic:blipFill>
                          <a:blip r:embed="rId53"/>
                          <a:stretch>
                            <a:fillRect/>
                          </a:stretch>
                        </pic:blipFill>
                        <pic:spPr>
                          <a:xfrm>
                            <a:off x="0" y="0"/>
                            <a:ext cx="111969" cy="97878"/>
                          </a:xfrm>
                          <a:prstGeom prst="rect">
                            <a:avLst/>
                          </a:prstGeom>
                        </pic:spPr>
                      </pic:pic>
                    </a:graphicData>
                  </a:graphic>
                </wp:inline>
              </w:drawing>
            </w:r>
            <w:r>
              <w:rPr>
                <w:rFonts w:cs="宋体"/>
                <w:sz w:val="21"/>
                <w:szCs w:val="21"/>
              </w:rPr>
              <w:t>；径流</w:t>
            </w:r>
            <w:r>
              <w:rPr>
                <w:sz w:val="21"/>
                <w:szCs w:val="21"/>
              </w:rPr>
              <w:drawing>
                <wp:inline distT="0" distB="0" distL="0" distR="0">
                  <wp:extent cx="111760" cy="97790"/>
                  <wp:effectExtent l="0" t="0" r="2540" b="16510"/>
                  <wp:docPr id="126" name="IM 44"/>
                  <wp:cNvGraphicFramePr/>
                  <a:graphic xmlns:a="http://schemas.openxmlformats.org/drawingml/2006/main">
                    <a:graphicData uri="http://schemas.openxmlformats.org/drawingml/2006/picture">
                      <pic:pic xmlns:pic="http://schemas.openxmlformats.org/drawingml/2006/picture">
                        <pic:nvPicPr>
                          <pic:cNvPr id="126" name="IM 44"/>
                          <pic:cNvPicPr/>
                        </pic:nvPicPr>
                        <pic:blipFill>
                          <a:blip r:embed="rId55"/>
                          <a:stretch>
                            <a:fillRect/>
                          </a:stretch>
                        </pic:blipFill>
                        <pic:spPr>
                          <a:xfrm>
                            <a:off x="0" y="0"/>
                            <a:ext cx="111969" cy="97878"/>
                          </a:xfrm>
                          <a:prstGeom prst="rect">
                            <a:avLst/>
                          </a:prstGeom>
                        </pic:spPr>
                      </pic:pic>
                    </a:graphicData>
                  </a:graphic>
                </wp:inline>
              </w:drawing>
            </w:r>
            <w:r>
              <w:rPr>
                <w:rFonts w:cs="宋体"/>
                <w:sz w:val="21"/>
                <w:szCs w:val="21"/>
              </w:rPr>
              <w:t>；水域面积</w:t>
            </w:r>
            <w:r>
              <w:rPr>
                <w:sz w:val="21"/>
                <w:szCs w:val="21"/>
              </w:rPr>
              <w:drawing>
                <wp:inline distT="0" distB="0" distL="0" distR="0">
                  <wp:extent cx="111760" cy="97790"/>
                  <wp:effectExtent l="0" t="0" r="2540" b="16510"/>
                  <wp:docPr id="127" name="IM 45"/>
                  <wp:cNvGraphicFramePr/>
                  <a:graphic xmlns:a="http://schemas.openxmlformats.org/drawingml/2006/main">
                    <a:graphicData uri="http://schemas.openxmlformats.org/drawingml/2006/picture">
                      <pic:pic xmlns:pic="http://schemas.openxmlformats.org/drawingml/2006/picture">
                        <pic:nvPicPr>
                          <pic:cNvPr id="127" name="IM 45"/>
                          <pic:cNvPicPr/>
                        </pic:nvPicPr>
                        <pic:blipFill>
                          <a:blip r:embed="rId53"/>
                          <a:stretch>
                            <a:fillRect/>
                          </a:stretch>
                        </pic:blipFill>
                        <pic:spPr>
                          <a:xfrm>
                            <a:off x="0" y="0"/>
                            <a:ext cx="111969" cy="97878"/>
                          </a:xfrm>
                          <a:prstGeom prst="rect">
                            <a:avLst/>
                          </a:prstGeom>
                        </pic:spPr>
                      </pic:pic>
                    </a:graphicData>
                  </a:graphic>
                </wp:inline>
              </w:drawing>
            </w:r>
          </w:p>
        </w:tc>
      </w:tr>
      <w:tr w14:paraId="03D21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5" w:hRule="atLeast"/>
          <w:jc w:val="center"/>
        </w:trPr>
        <w:tc>
          <w:tcPr>
            <w:tcW w:w="258" w:type="pct"/>
            <w:vMerge w:val="continue"/>
            <w:tcBorders>
              <w:tl2br w:val="nil"/>
              <w:tr2bl w:val="nil"/>
            </w:tcBorders>
            <w:textDirection w:val="tbRlV"/>
            <w:vAlign w:val="center"/>
          </w:tcPr>
          <w:p w14:paraId="667A141E">
            <w:pPr>
              <w:ind w:firstLine="0" w:firstLineChars="0"/>
              <w:jc w:val="center"/>
              <w:rPr>
                <w:sz w:val="21"/>
              </w:rPr>
            </w:pPr>
          </w:p>
        </w:tc>
        <w:tc>
          <w:tcPr>
            <w:tcW w:w="831" w:type="pct"/>
            <w:tcBorders>
              <w:tl2br w:val="nil"/>
              <w:tr2bl w:val="nil"/>
            </w:tcBorders>
            <w:vAlign w:val="center"/>
          </w:tcPr>
          <w:p w14:paraId="7462B8C2">
            <w:pPr>
              <w:ind w:firstLine="0" w:firstLineChars="0"/>
              <w:jc w:val="center"/>
              <w:rPr>
                <w:rFonts w:cs="宋体"/>
                <w:sz w:val="21"/>
                <w:szCs w:val="21"/>
              </w:rPr>
            </w:pPr>
            <w:r>
              <w:rPr>
                <w:rFonts w:cs="宋体"/>
                <w:sz w:val="21"/>
                <w:szCs w:val="21"/>
              </w:rPr>
              <w:t>影响因子</w:t>
            </w:r>
          </w:p>
        </w:tc>
        <w:tc>
          <w:tcPr>
            <w:tcW w:w="1956" w:type="pct"/>
            <w:gridSpan w:val="6"/>
            <w:tcBorders>
              <w:tl2br w:val="nil"/>
              <w:tr2bl w:val="nil"/>
            </w:tcBorders>
            <w:vAlign w:val="center"/>
          </w:tcPr>
          <w:p w14:paraId="0A56DFF8">
            <w:pPr>
              <w:ind w:firstLine="0" w:firstLineChars="0"/>
              <w:jc w:val="center"/>
              <w:rPr>
                <w:rFonts w:cs="微软雅黑"/>
                <w:sz w:val="21"/>
                <w:szCs w:val="21"/>
              </w:rPr>
            </w:pPr>
            <w:r>
              <w:rPr>
                <w:rFonts w:cs="宋体"/>
                <w:sz w:val="21"/>
                <w:szCs w:val="21"/>
              </w:rPr>
              <w:t>持久性污染物</w:t>
            </w:r>
            <w:r>
              <w:rPr>
                <w:sz w:val="21"/>
                <w:szCs w:val="21"/>
              </w:rPr>
              <w:drawing>
                <wp:inline distT="0" distB="0" distL="0" distR="0">
                  <wp:extent cx="107315" cy="97790"/>
                  <wp:effectExtent l="0" t="0" r="6985" b="1651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3"/>
                          <a:stretch>
                            <a:fillRect/>
                          </a:stretch>
                        </pic:blipFill>
                        <pic:spPr>
                          <a:xfrm>
                            <a:off x="0" y="0"/>
                            <a:ext cx="107613" cy="97878"/>
                          </a:xfrm>
                          <a:prstGeom prst="rect">
                            <a:avLst/>
                          </a:prstGeom>
                        </pic:spPr>
                      </pic:pic>
                    </a:graphicData>
                  </a:graphic>
                </wp:inline>
              </w:drawing>
            </w:r>
            <w:r>
              <w:rPr>
                <w:rFonts w:cs="宋体"/>
                <w:sz w:val="21"/>
                <w:szCs w:val="21"/>
              </w:rPr>
              <w:t>；有毒有害污染物</w:t>
            </w:r>
            <w:r>
              <w:rPr>
                <w:rFonts w:cs="宋体"/>
                <w:sz w:val="21"/>
                <w:szCs w:val="21"/>
              </w:rPr>
              <w:drawing>
                <wp:inline distT="0" distB="0" distL="0" distR="0">
                  <wp:extent cx="106045" cy="97790"/>
                  <wp:effectExtent l="0" t="0" r="8255" b="1651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54"/>
                          <a:stretch>
                            <a:fillRect/>
                          </a:stretch>
                        </pic:blipFill>
                        <pic:spPr>
                          <a:xfrm>
                            <a:off x="0" y="0"/>
                            <a:ext cx="106146" cy="97878"/>
                          </a:xfrm>
                          <a:prstGeom prst="rect">
                            <a:avLst/>
                          </a:prstGeom>
                        </pic:spPr>
                      </pic:pic>
                    </a:graphicData>
                  </a:graphic>
                </wp:inline>
              </w:drawing>
            </w:r>
            <w:r>
              <w:rPr>
                <w:rFonts w:cs="宋体"/>
                <w:sz w:val="21"/>
                <w:szCs w:val="21"/>
              </w:rPr>
              <w:t>；非持久性污染物</w:t>
            </w:r>
            <w:r>
              <w:rPr>
                <w:sz w:val="21"/>
                <w:szCs w:val="21"/>
              </w:rPr>
              <w:drawing>
                <wp:inline distT="0" distB="0" distL="0" distR="0">
                  <wp:extent cx="106045" cy="97790"/>
                  <wp:effectExtent l="0" t="0" r="8255" b="1651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3"/>
                          <a:stretch>
                            <a:fillRect/>
                          </a:stretch>
                        </pic:blipFill>
                        <pic:spPr>
                          <a:xfrm>
                            <a:off x="0" y="0"/>
                            <a:ext cx="106146" cy="97878"/>
                          </a:xfrm>
                          <a:prstGeom prst="rect">
                            <a:avLst/>
                          </a:prstGeom>
                        </pic:spPr>
                      </pic:pic>
                    </a:graphicData>
                  </a:graphic>
                </wp:inline>
              </w:drawing>
            </w:r>
            <w:r>
              <w:rPr>
                <w:rFonts w:cs="宋体"/>
                <w:sz w:val="21"/>
                <w:szCs w:val="21"/>
              </w:rPr>
              <w:t>；</w:t>
            </w:r>
            <w:r>
              <w:rPr>
                <w:sz w:val="21"/>
                <w:szCs w:val="21"/>
              </w:rPr>
              <w:t>pH</w:t>
            </w:r>
            <w:r>
              <w:rPr>
                <w:rFonts w:cs="宋体"/>
                <w:sz w:val="21"/>
                <w:szCs w:val="21"/>
              </w:rPr>
              <w:t>值</w:t>
            </w:r>
            <w:r>
              <w:rPr>
                <w:sz w:val="21"/>
                <w:szCs w:val="21"/>
              </w:rPr>
              <w:drawing>
                <wp:inline distT="0" distB="0" distL="0" distR="0">
                  <wp:extent cx="106045" cy="97790"/>
                  <wp:effectExtent l="0" t="0" r="8255" b="1651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53"/>
                          <a:stretch>
                            <a:fillRect/>
                          </a:stretch>
                        </pic:blipFill>
                        <pic:spPr>
                          <a:xfrm>
                            <a:off x="0" y="0"/>
                            <a:ext cx="106146" cy="97878"/>
                          </a:xfrm>
                          <a:prstGeom prst="rect">
                            <a:avLst/>
                          </a:prstGeom>
                        </pic:spPr>
                      </pic:pic>
                    </a:graphicData>
                  </a:graphic>
                </wp:inline>
              </w:drawing>
            </w:r>
            <w:r>
              <w:rPr>
                <w:rFonts w:cs="宋体"/>
                <w:sz w:val="21"/>
                <w:szCs w:val="21"/>
              </w:rPr>
              <w:t>；热污染</w:t>
            </w:r>
            <w:r>
              <w:rPr>
                <w:sz w:val="21"/>
                <w:szCs w:val="21"/>
              </w:rPr>
              <w:drawing>
                <wp:inline distT="0" distB="0" distL="0" distR="0">
                  <wp:extent cx="109855" cy="97790"/>
                  <wp:effectExtent l="0" t="0" r="4445" b="16510"/>
                  <wp:docPr id="128" name="IM 50"/>
                  <wp:cNvGraphicFramePr/>
                  <a:graphic xmlns:a="http://schemas.openxmlformats.org/drawingml/2006/main">
                    <a:graphicData uri="http://schemas.openxmlformats.org/drawingml/2006/picture">
                      <pic:pic xmlns:pic="http://schemas.openxmlformats.org/drawingml/2006/picture">
                        <pic:nvPicPr>
                          <pic:cNvPr id="128" name="IM 50"/>
                          <pic:cNvPicPr/>
                        </pic:nvPicPr>
                        <pic:blipFill>
                          <a:blip r:embed="rId53"/>
                          <a:stretch>
                            <a:fillRect/>
                          </a:stretch>
                        </pic:blipFill>
                        <pic:spPr>
                          <a:xfrm>
                            <a:off x="0" y="0"/>
                            <a:ext cx="110480" cy="97878"/>
                          </a:xfrm>
                          <a:prstGeom prst="rect">
                            <a:avLst/>
                          </a:prstGeom>
                        </pic:spPr>
                      </pic:pic>
                    </a:graphicData>
                  </a:graphic>
                </wp:inline>
              </w:drawing>
            </w:r>
            <w:r>
              <w:rPr>
                <w:rFonts w:cs="宋体"/>
                <w:sz w:val="21"/>
                <w:szCs w:val="21"/>
              </w:rPr>
              <w:t>；富营养化</w:t>
            </w:r>
            <w:r>
              <w:rPr>
                <w:sz w:val="21"/>
                <w:szCs w:val="21"/>
              </w:rPr>
              <w:drawing>
                <wp:inline distT="0" distB="0" distL="0" distR="0">
                  <wp:extent cx="109855" cy="97790"/>
                  <wp:effectExtent l="0" t="0" r="4445" b="1651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54"/>
                          <a:stretch>
                            <a:fillRect/>
                          </a:stretch>
                        </pic:blipFill>
                        <pic:spPr>
                          <a:xfrm>
                            <a:off x="0" y="0"/>
                            <a:ext cx="110480" cy="97878"/>
                          </a:xfrm>
                          <a:prstGeom prst="rect">
                            <a:avLst/>
                          </a:prstGeom>
                        </pic:spPr>
                      </pic:pic>
                    </a:graphicData>
                  </a:graphic>
                </wp:inline>
              </w:drawing>
            </w:r>
            <w:r>
              <w:rPr>
                <w:rFonts w:cs="宋体"/>
                <w:sz w:val="21"/>
                <w:szCs w:val="21"/>
              </w:rPr>
              <w:t>；其他</w:t>
            </w:r>
            <w:r>
              <w:rPr>
                <w:rFonts w:cs="微软雅黑"/>
                <w:sz w:val="21"/>
                <w:szCs w:val="21"/>
              </w:rPr>
              <w:t>团</w:t>
            </w:r>
          </w:p>
        </w:tc>
        <w:tc>
          <w:tcPr>
            <w:tcW w:w="1953" w:type="pct"/>
            <w:gridSpan w:val="7"/>
            <w:tcBorders>
              <w:tl2br w:val="nil"/>
              <w:tr2bl w:val="nil"/>
            </w:tcBorders>
            <w:vAlign w:val="center"/>
          </w:tcPr>
          <w:p w14:paraId="41DAD960">
            <w:pPr>
              <w:ind w:firstLine="0" w:firstLineChars="0"/>
              <w:jc w:val="center"/>
              <w:rPr>
                <w:sz w:val="21"/>
                <w:szCs w:val="21"/>
              </w:rPr>
            </w:pPr>
            <w:r>
              <w:rPr>
                <w:rFonts w:cs="宋体"/>
                <w:sz w:val="21"/>
                <w:szCs w:val="21"/>
              </w:rPr>
              <w:t>水温</w:t>
            </w:r>
            <w:r>
              <w:rPr>
                <w:sz w:val="21"/>
                <w:szCs w:val="21"/>
              </w:rPr>
              <w:drawing>
                <wp:inline distT="0" distB="0" distL="0" distR="0">
                  <wp:extent cx="105410" cy="97790"/>
                  <wp:effectExtent l="0" t="0" r="8890" b="16510"/>
                  <wp:docPr id="129" name="IM 52"/>
                  <wp:cNvGraphicFramePr/>
                  <a:graphic xmlns:a="http://schemas.openxmlformats.org/drawingml/2006/main">
                    <a:graphicData uri="http://schemas.openxmlformats.org/drawingml/2006/picture">
                      <pic:pic xmlns:pic="http://schemas.openxmlformats.org/drawingml/2006/picture">
                        <pic:nvPicPr>
                          <pic:cNvPr id="129" name="IM 52"/>
                          <pic:cNvPicPr/>
                        </pic:nvPicPr>
                        <pic:blipFill>
                          <a:blip r:embed="rId53"/>
                          <a:stretch>
                            <a:fillRect/>
                          </a:stretch>
                        </pic:blipFill>
                        <pic:spPr>
                          <a:xfrm>
                            <a:off x="0" y="0"/>
                            <a:ext cx="105613" cy="97878"/>
                          </a:xfrm>
                          <a:prstGeom prst="rect">
                            <a:avLst/>
                          </a:prstGeom>
                        </pic:spPr>
                      </pic:pic>
                    </a:graphicData>
                  </a:graphic>
                </wp:inline>
              </w:drawing>
            </w:r>
            <w:r>
              <w:rPr>
                <w:rFonts w:cs="宋体"/>
                <w:sz w:val="21"/>
                <w:szCs w:val="21"/>
              </w:rPr>
              <w:t>；水位</w:t>
            </w:r>
            <w:r>
              <w:rPr>
                <w:rFonts w:hint="eastAsia" w:cs="宋体"/>
                <w:sz w:val="21"/>
                <w:szCs w:val="21"/>
              </w:rPr>
              <w:t>（</w:t>
            </w:r>
            <w:r>
              <w:rPr>
                <w:rFonts w:cs="宋体"/>
                <w:sz w:val="21"/>
                <w:szCs w:val="21"/>
              </w:rPr>
              <w:t>水深</w:t>
            </w:r>
            <w:r>
              <w:rPr>
                <w:rFonts w:hint="eastAsia" w:cs="宋体"/>
                <w:sz w:val="21"/>
                <w:szCs w:val="21"/>
              </w:rPr>
              <w:t>）</w:t>
            </w:r>
            <w:r>
              <w:rPr>
                <w:sz w:val="21"/>
                <w:szCs w:val="21"/>
              </w:rPr>
              <w:drawing>
                <wp:inline distT="0" distB="0" distL="0" distR="0">
                  <wp:extent cx="105410" cy="97790"/>
                  <wp:effectExtent l="0" t="0" r="8890" b="16510"/>
                  <wp:docPr id="130" name="IM 53"/>
                  <wp:cNvGraphicFramePr/>
                  <a:graphic xmlns:a="http://schemas.openxmlformats.org/drawingml/2006/main">
                    <a:graphicData uri="http://schemas.openxmlformats.org/drawingml/2006/picture">
                      <pic:pic xmlns:pic="http://schemas.openxmlformats.org/drawingml/2006/picture">
                        <pic:nvPicPr>
                          <pic:cNvPr id="130" name="IM 53"/>
                          <pic:cNvPicPr/>
                        </pic:nvPicPr>
                        <pic:blipFill>
                          <a:blip r:embed="rId53"/>
                          <a:stretch>
                            <a:fillRect/>
                          </a:stretch>
                        </pic:blipFill>
                        <pic:spPr>
                          <a:xfrm>
                            <a:off x="0" y="0"/>
                            <a:ext cx="105613" cy="97878"/>
                          </a:xfrm>
                          <a:prstGeom prst="rect">
                            <a:avLst/>
                          </a:prstGeom>
                        </pic:spPr>
                      </pic:pic>
                    </a:graphicData>
                  </a:graphic>
                </wp:inline>
              </w:drawing>
            </w:r>
            <w:r>
              <w:rPr>
                <w:rFonts w:cs="宋体"/>
                <w:sz w:val="21"/>
                <w:szCs w:val="21"/>
              </w:rPr>
              <w:t>；流速</w:t>
            </w:r>
            <w:r>
              <w:rPr>
                <w:sz w:val="21"/>
                <w:szCs w:val="21"/>
              </w:rPr>
              <w:drawing>
                <wp:inline distT="0" distB="0" distL="0" distR="0">
                  <wp:extent cx="105410" cy="97790"/>
                  <wp:effectExtent l="0" t="0" r="8890" b="16510"/>
                  <wp:docPr id="131" name="IM 54"/>
                  <wp:cNvGraphicFramePr/>
                  <a:graphic xmlns:a="http://schemas.openxmlformats.org/drawingml/2006/main">
                    <a:graphicData uri="http://schemas.openxmlformats.org/drawingml/2006/picture">
                      <pic:pic xmlns:pic="http://schemas.openxmlformats.org/drawingml/2006/picture">
                        <pic:nvPicPr>
                          <pic:cNvPr id="131" name="IM 54"/>
                          <pic:cNvPicPr/>
                        </pic:nvPicPr>
                        <pic:blipFill>
                          <a:blip r:embed="rId53"/>
                          <a:stretch>
                            <a:fillRect/>
                          </a:stretch>
                        </pic:blipFill>
                        <pic:spPr>
                          <a:xfrm>
                            <a:off x="0" y="0"/>
                            <a:ext cx="105613" cy="97878"/>
                          </a:xfrm>
                          <a:prstGeom prst="rect">
                            <a:avLst/>
                          </a:prstGeom>
                        </pic:spPr>
                      </pic:pic>
                    </a:graphicData>
                  </a:graphic>
                </wp:inline>
              </w:drawing>
            </w:r>
            <w:r>
              <w:rPr>
                <w:rFonts w:cs="宋体"/>
                <w:sz w:val="21"/>
                <w:szCs w:val="21"/>
              </w:rPr>
              <w:t>；流量</w:t>
            </w:r>
            <w:r>
              <w:rPr>
                <w:sz w:val="21"/>
                <w:szCs w:val="21"/>
              </w:rPr>
              <w:drawing>
                <wp:inline distT="0" distB="0" distL="0" distR="0">
                  <wp:extent cx="109855" cy="97790"/>
                  <wp:effectExtent l="0" t="0" r="4445" b="16510"/>
                  <wp:docPr id="132" name="IM 55"/>
                  <wp:cNvGraphicFramePr/>
                  <a:graphic xmlns:a="http://schemas.openxmlformats.org/drawingml/2006/main">
                    <a:graphicData uri="http://schemas.openxmlformats.org/drawingml/2006/picture">
                      <pic:pic xmlns:pic="http://schemas.openxmlformats.org/drawingml/2006/picture">
                        <pic:nvPicPr>
                          <pic:cNvPr id="132" name="IM 55"/>
                          <pic:cNvPicPr/>
                        </pic:nvPicPr>
                        <pic:blipFill>
                          <a:blip r:embed="rId54"/>
                          <a:stretch>
                            <a:fillRect/>
                          </a:stretch>
                        </pic:blipFill>
                        <pic:spPr>
                          <a:xfrm>
                            <a:off x="0" y="0"/>
                            <a:ext cx="110213" cy="97878"/>
                          </a:xfrm>
                          <a:prstGeom prst="rect">
                            <a:avLst/>
                          </a:prstGeom>
                        </pic:spPr>
                      </pic:pic>
                    </a:graphicData>
                  </a:graphic>
                </wp:inline>
              </w:drawing>
            </w:r>
            <w:r>
              <w:rPr>
                <w:rFonts w:cs="宋体"/>
                <w:sz w:val="21"/>
                <w:szCs w:val="21"/>
              </w:rPr>
              <w:t>；其他</w:t>
            </w:r>
            <w:r>
              <w:rPr>
                <w:sz w:val="21"/>
                <w:szCs w:val="21"/>
              </w:rPr>
              <w:drawing>
                <wp:inline distT="0" distB="0" distL="0" distR="0">
                  <wp:extent cx="109855" cy="97790"/>
                  <wp:effectExtent l="0" t="0" r="4445" b="16510"/>
                  <wp:docPr id="133" name="IM 56"/>
                  <wp:cNvGraphicFramePr/>
                  <a:graphic xmlns:a="http://schemas.openxmlformats.org/drawingml/2006/main">
                    <a:graphicData uri="http://schemas.openxmlformats.org/drawingml/2006/picture">
                      <pic:pic xmlns:pic="http://schemas.openxmlformats.org/drawingml/2006/picture">
                        <pic:nvPicPr>
                          <pic:cNvPr id="133" name="IM 56"/>
                          <pic:cNvPicPr/>
                        </pic:nvPicPr>
                        <pic:blipFill>
                          <a:blip r:embed="rId53"/>
                          <a:stretch>
                            <a:fillRect/>
                          </a:stretch>
                        </pic:blipFill>
                        <pic:spPr>
                          <a:xfrm>
                            <a:off x="0" y="0"/>
                            <a:ext cx="110213" cy="97878"/>
                          </a:xfrm>
                          <a:prstGeom prst="rect">
                            <a:avLst/>
                          </a:prstGeom>
                        </pic:spPr>
                      </pic:pic>
                    </a:graphicData>
                  </a:graphic>
                </wp:inline>
              </w:drawing>
            </w:r>
          </w:p>
        </w:tc>
      </w:tr>
      <w:tr w14:paraId="20CBF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1089" w:type="pct"/>
            <w:gridSpan w:val="2"/>
            <w:vMerge w:val="restart"/>
            <w:tcBorders>
              <w:tl2br w:val="nil"/>
              <w:tr2bl w:val="nil"/>
            </w:tcBorders>
            <w:vAlign w:val="center"/>
          </w:tcPr>
          <w:p w14:paraId="2F00F401">
            <w:pPr>
              <w:ind w:firstLine="0" w:firstLineChars="0"/>
              <w:jc w:val="center"/>
              <w:rPr>
                <w:rFonts w:cs="宋体"/>
                <w:sz w:val="21"/>
                <w:szCs w:val="21"/>
              </w:rPr>
            </w:pPr>
            <w:r>
              <w:rPr>
                <w:rFonts w:cs="宋体"/>
                <w:sz w:val="21"/>
                <w:szCs w:val="21"/>
              </w:rPr>
              <w:t>评价等级</w:t>
            </w:r>
          </w:p>
        </w:tc>
        <w:tc>
          <w:tcPr>
            <w:tcW w:w="1956" w:type="pct"/>
            <w:gridSpan w:val="6"/>
            <w:tcBorders>
              <w:tl2br w:val="nil"/>
              <w:tr2bl w:val="nil"/>
            </w:tcBorders>
            <w:vAlign w:val="center"/>
          </w:tcPr>
          <w:p w14:paraId="529D9AFC">
            <w:pPr>
              <w:ind w:firstLine="0" w:firstLineChars="0"/>
              <w:jc w:val="center"/>
              <w:rPr>
                <w:rFonts w:cs="宋体"/>
                <w:sz w:val="21"/>
                <w:szCs w:val="21"/>
              </w:rPr>
            </w:pPr>
            <w:r>
              <w:rPr>
                <w:rFonts w:cs="宋体"/>
                <w:sz w:val="21"/>
                <w:szCs w:val="21"/>
              </w:rPr>
              <w:t>水污染影响型</w:t>
            </w:r>
          </w:p>
        </w:tc>
        <w:tc>
          <w:tcPr>
            <w:tcW w:w="1953" w:type="pct"/>
            <w:gridSpan w:val="7"/>
            <w:tcBorders>
              <w:tl2br w:val="nil"/>
              <w:tr2bl w:val="nil"/>
            </w:tcBorders>
            <w:vAlign w:val="center"/>
          </w:tcPr>
          <w:p w14:paraId="034FA079">
            <w:pPr>
              <w:ind w:firstLine="0" w:firstLineChars="0"/>
              <w:jc w:val="center"/>
              <w:rPr>
                <w:rFonts w:cs="宋体"/>
                <w:sz w:val="21"/>
                <w:szCs w:val="21"/>
              </w:rPr>
            </w:pPr>
            <w:r>
              <w:rPr>
                <w:rFonts w:cs="宋体"/>
                <w:sz w:val="21"/>
                <w:szCs w:val="21"/>
              </w:rPr>
              <w:t>水文要素影响型</w:t>
            </w:r>
          </w:p>
        </w:tc>
      </w:tr>
      <w:tr w14:paraId="2D1EF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1089" w:type="pct"/>
            <w:gridSpan w:val="2"/>
            <w:vMerge w:val="continue"/>
            <w:tcBorders>
              <w:tl2br w:val="nil"/>
              <w:tr2bl w:val="nil"/>
            </w:tcBorders>
            <w:vAlign w:val="center"/>
          </w:tcPr>
          <w:p w14:paraId="4CBB87AD">
            <w:pPr>
              <w:ind w:firstLine="0" w:firstLineChars="0"/>
              <w:jc w:val="center"/>
              <w:rPr>
                <w:sz w:val="21"/>
              </w:rPr>
            </w:pPr>
          </w:p>
        </w:tc>
        <w:tc>
          <w:tcPr>
            <w:tcW w:w="1956" w:type="pct"/>
            <w:gridSpan w:val="6"/>
            <w:tcBorders>
              <w:tl2br w:val="nil"/>
              <w:tr2bl w:val="nil"/>
            </w:tcBorders>
            <w:vAlign w:val="center"/>
          </w:tcPr>
          <w:p w14:paraId="5150E5C4">
            <w:pPr>
              <w:ind w:firstLine="0" w:firstLineChars="0"/>
              <w:jc w:val="center"/>
              <w:rPr>
                <w:rFonts w:cs="微软雅黑"/>
                <w:sz w:val="21"/>
                <w:szCs w:val="21"/>
              </w:rPr>
            </w:pPr>
            <w:r>
              <w:rPr>
                <w:rFonts w:cs="宋体"/>
                <w:sz w:val="21"/>
                <w:szCs w:val="21"/>
              </w:rPr>
              <w:t>一级</w:t>
            </w:r>
            <w:r>
              <w:rPr>
                <w:sz w:val="21"/>
                <w:szCs w:val="21"/>
              </w:rPr>
              <w:drawing>
                <wp:inline distT="0" distB="0" distL="0" distR="0">
                  <wp:extent cx="109855" cy="97790"/>
                  <wp:effectExtent l="0" t="0" r="4445" b="16510"/>
                  <wp:docPr id="134" name="IM 57"/>
                  <wp:cNvGraphicFramePr/>
                  <a:graphic xmlns:a="http://schemas.openxmlformats.org/drawingml/2006/main">
                    <a:graphicData uri="http://schemas.openxmlformats.org/drawingml/2006/picture">
                      <pic:pic xmlns:pic="http://schemas.openxmlformats.org/drawingml/2006/picture">
                        <pic:nvPicPr>
                          <pic:cNvPr id="134" name="IM 57"/>
                          <pic:cNvPicPr/>
                        </pic:nvPicPr>
                        <pic:blipFill>
                          <a:blip r:embed="rId56"/>
                          <a:stretch>
                            <a:fillRect/>
                          </a:stretch>
                        </pic:blipFill>
                        <pic:spPr>
                          <a:xfrm>
                            <a:off x="0" y="0"/>
                            <a:ext cx="110280" cy="97878"/>
                          </a:xfrm>
                          <a:prstGeom prst="rect">
                            <a:avLst/>
                          </a:prstGeom>
                        </pic:spPr>
                      </pic:pic>
                    </a:graphicData>
                  </a:graphic>
                </wp:inline>
              </w:drawing>
            </w:r>
            <w:r>
              <w:rPr>
                <w:rFonts w:cs="宋体"/>
                <w:sz w:val="21"/>
                <w:szCs w:val="21"/>
              </w:rPr>
              <w:t>；二级</w:t>
            </w:r>
            <w:r>
              <w:rPr>
                <w:sz w:val="21"/>
                <w:szCs w:val="21"/>
              </w:rPr>
              <w:drawing>
                <wp:inline distT="0" distB="0" distL="0" distR="0">
                  <wp:extent cx="109855" cy="97790"/>
                  <wp:effectExtent l="0" t="0" r="4445" b="16510"/>
                  <wp:docPr id="135" name="IM 58"/>
                  <wp:cNvGraphicFramePr/>
                  <a:graphic xmlns:a="http://schemas.openxmlformats.org/drawingml/2006/main">
                    <a:graphicData uri="http://schemas.openxmlformats.org/drawingml/2006/picture">
                      <pic:pic xmlns:pic="http://schemas.openxmlformats.org/drawingml/2006/picture">
                        <pic:nvPicPr>
                          <pic:cNvPr id="135" name="IM 58"/>
                          <pic:cNvPicPr/>
                        </pic:nvPicPr>
                        <pic:blipFill>
                          <a:blip r:embed="rId56"/>
                          <a:stretch>
                            <a:fillRect/>
                          </a:stretch>
                        </pic:blipFill>
                        <pic:spPr>
                          <a:xfrm>
                            <a:off x="0" y="0"/>
                            <a:ext cx="110280" cy="97878"/>
                          </a:xfrm>
                          <a:prstGeom prst="rect">
                            <a:avLst/>
                          </a:prstGeom>
                        </pic:spPr>
                      </pic:pic>
                    </a:graphicData>
                  </a:graphic>
                </wp:inline>
              </w:drawing>
            </w:r>
            <w:r>
              <w:rPr>
                <w:rFonts w:cs="宋体"/>
                <w:sz w:val="21"/>
                <w:szCs w:val="21"/>
              </w:rPr>
              <w:t>；三级</w:t>
            </w:r>
            <w:r>
              <w:rPr>
                <w:sz w:val="21"/>
                <w:szCs w:val="21"/>
              </w:rPr>
              <w:t>A</w:t>
            </w:r>
            <w:r>
              <w:rPr>
                <w:sz w:val="21"/>
                <w:szCs w:val="21"/>
              </w:rPr>
              <w:drawing>
                <wp:inline distT="0" distB="0" distL="0" distR="0">
                  <wp:extent cx="109855" cy="97790"/>
                  <wp:effectExtent l="0" t="0" r="4445" b="16510"/>
                  <wp:docPr id="136" name="IM 59"/>
                  <wp:cNvGraphicFramePr/>
                  <a:graphic xmlns:a="http://schemas.openxmlformats.org/drawingml/2006/main">
                    <a:graphicData uri="http://schemas.openxmlformats.org/drawingml/2006/picture">
                      <pic:pic xmlns:pic="http://schemas.openxmlformats.org/drawingml/2006/picture">
                        <pic:nvPicPr>
                          <pic:cNvPr id="136" name="IM 59"/>
                          <pic:cNvPicPr/>
                        </pic:nvPicPr>
                        <pic:blipFill>
                          <a:blip r:embed="rId56"/>
                          <a:stretch>
                            <a:fillRect/>
                          </a:stretch>
                        </pic:blipFill>
                        <pic:spPr>
                          <a:xfrm>
                            <a:off x="0" y="0"/>
                            <a:ext cx="110280" cy="97878"/>
                          </a:xfrm>
                          <a:prstGeom prst="rect">
                            <a:avLst/>
                          </a:prstGeom>
                        </pic:spPr>
                      </pic:pic>
                    </a:graphicData>
                  </a:graphic>
                </wp:inline>
              </w:drawing>
            </w:r>
            <w:r>
              <w:rPr>
                <w:rFonts w:cs="宋体"/>
                <w:sz w:val="21"/>
                <w:szCs w:val="21"/>
              </w:rPr>
              <w:t>；三级</w:t>
            </w:r>
            <w:r>
              <w:rPr>
                <w:sz w:val="21"/>
                <w:szCs w:val="21"/>
              </w:rPr>
              <w:t>B</w:t>
            </w:r>
          </w:p>
        </w:tc>
        <w:tc>
          <w:tcPr>
            <w:tcW w:w="1953" w:type="pct"/>
            <w:gridSpan w:val="7"/>
            <w:tcBorders>
              <w:tl2br w:val="nil"/>
              <w:tr2bl w:val="nil"/>
            </w:tcBorders>
            <w:vAlign w:val="center"/>
          </w:tcPr>
          <w:p w14:paraId="278B7BF4">
            <w:pPr>
              <w:ind w:firstLine="0" w:firstLineChars="0"/>
              <w:jc w:val="center"/>
              <w:rPr>
                <w:sz w:val="21"/>
                <w:szCs w:val="21"/>
              </w:rPr>
            </w:pPr>
            <w:r>
              <w:rPr>
                <w:rFonts w:cs="宋体"/>
                <w:sz w:val="21"/>
                <w:szCs w:val="21"/>
              </w:rPr>
              <w:t>一级</w:t>
            </w:r>
            <w:r>
              <w:rPr>
                <w:sz w:val="21"/>
                <w:szCs w:val="21"/>
              </w:rPr>
              <w:drawing>
                <wp:inline distT="0" distB="0" distL="0" distR="0">
                  <wp:extent cx="113030" cy="97790"/>
                  <wp:effectExtent l="0" t="0" r="1270" b="16510"/>
                  <wp:docPr id="137" name="IM 60"/>
                  <wp:cNvGraphicFramePr/>
                  <a:graphic xmlns:a="http://schemas.openxmlformats.org/drawingml/2006/main">
                    <a:graphicData uri="http://schemas.openxmlformats.org/drawingml/2006/picture">
                      <pic:pic xmlns:pic="http://schemas.openxmlformats.org/drawingml/2006/picture">
                        <pic:nvPicPr>
                          <pic:cNvPr id="137" name="IM 60"/>
                          <pic:cNvPicPr/>
                        </pic:nvPicPr>
                        <pic:blipFill>
                          <a:blip r:embed="rId56"/>
                          <a:stretch>
                            <a:fillRect/>
                          </a:stretch>
                        </pic:blipFill>
                        <pic:spPr>
                          <a:xfrm>
                            <a:off x="0" y="0"/>
                            <a:ext cx="113125" cy="97878"/>
                          </a:xfrm>
                          <a:prstGeom prst="rect">
                            <a:avLst/>
                          </a:prstGeom>
                        </pic:spPr>
                      </pic:pic>
                    </a:graphicData>
                  </a:graphic>
                </wp:inline>
              </w:drawing>
            </w:r>
            <w:r>
              <w:rPr>
                <w:rFonts w:cs="宋体"/>
                <w:sz w:val="21"/>
                <w:szCs w:val="21"/>
              </w:rPr>
              <w:t>；二级</w:t>
            </w:r>
            <w:r>
              <w:rPr>
                <w:sz w:val="21"/>
                <w:szCs w:val="21"/>
              </w:rPr>
              <w:drawing>
                <wp:inline distT="0" distB="0" distL="0" distR="0">
                  <wp:extent cx="113030" cy="97790"/>
                  <wp:effectExtent l="0" t="0" r="1270" b="16510"/>
                  <wp:docPr id="138" name="IM 61"/>
                  <wp:cNvGraphicFramePr/>
                  <a:graphic xmlns:a="http://schemas.openxmlformats.org/drawingml/2006/main">
                    <a:graphicData uri="http://schemas.openxmlformats.org/drawingml/2006/picture">
                      <pic:pic xmlns:pic="http://schemas.openxmlformats.org/drawingml/2006/picture">
                        <pic:nvPicPr>
                          <pic:cNvPr id="138" name="IM 61"/>
                          <pic:cNvPicPr/>
                        </pic:nvPicPr>
                        <pic:blipFill>
                          <a:blip r:embed="rId57"/>
                          <a:stretch>
                            <a:fillRect/>
                          </a:stretch>
                        </pic:blipFill>
                        <pic:spPr>
                          <a:xfrm>
                            <a:off x="0" y="0"/>
                            <a:ext cx="113125" cy="97878"/>
                          </a:xfrm>
                          <a:prstGeom prst="rect">
                            <a:avLst/>
                          </a:prstGeom>
                        </pic:spPr>
                      </pic:pic>
                    </a:graphicData>
                  </a:graphic>
                </wp:inline>
              </w:drawing>
            </w:r>
            <w:r>
              <w:rPr>
                <w:rFonts w:cs="宋体"/>
                <w:sz w:val="21"/>
                <w:szCs w:val="21"/>
              </w:rPr>
              <w:t>；三级</w:t>
            </w:r>
            <w:r>
              <w:rPr>
                <w:sz w:val="21"/>
                <w:szCs w:val="21"/>
              </w:rPr>
              <w:drawing>
                <wp:inline distT="0" distB="0" distL="0" distR="0">
                  <wp:extent cx="113030" cy="97790"/>
                  <wp:effectExtent l="0" t="0" r="1270" b="16510"/>
                  <wp:docPr id="139" name="IM 62"/>
                  <wp:cNvGraphicFramePr/>
                  <a:graphic xmlns:a="http://schemas.openxmlformats.org/drawingml/2006/main">
                    <a:graphicData uri="http://schemas.openxmlformats.org/drawingml/2006/picture">
                      <pic:pic xmlns:pic="http://schemas.openxmlformats.org/drawingml/2006/picture">
                        <pic:nvPicPr>
                          <pic:cNvPr id="139" name="IM 62"/>
                          <pic:cNvPicPr/>
                        </pic:nvPicPr>
                        <pic:blipFill>
                          <a:blip r:embed="rId56"/>
                          <a:stretch>
                            <a:fillRect/>
                          </a:stretch>
                        </pic:blipFill>
                        <pic:spPr>
                          <a:xfrm>
                            <a:off x="0" y="0"/>
                            <a:ext cx="113125" cy="97878"/>
                          </a:xfrm>
                          <a:prstGeom prst="rect">
                            <a:avLst/>
                          </a:prstGeom>
                        </pic:spPr>
                      </pic:pic>
                    </a:graphicData>
                  </a:graphic>
                </wp:inline>
              </w:drawing>
            </w:r>
          </w:p>
        </w:tc>
      </w:tr>
      <w:tr w14:paraId="12AFB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4" w:hRule="atLeast"/>
          <w:jc w:val="center"/>
        </w:trPr>
        <w:tc>
          <w:tcPr>
            <w:tcW w:w="258" w:type="pct"/>
            <w:vMerge w:val="restart"/>
            <w:tcBorders>
              <w:tl2br w:val="nil"/>
              <w:tr2bl w:val="nil"/>
            </w:tcBorders>
            <w:vAlign w:val="center"/>
          </w:tcPr>
          <w:p w14:paraId="1886CA62">
            <w:pPr>
              <w:ind w:firstLine="0" w:firstLineChars="0"/>
              <w:jc w:val="center"/>
              <w:rPr>
                <w:rFonts w:cs="宋体"/>
                <w:sz w:val="21"/>
                <w:szCs w:val="21"/>
              </w:rPr>
            </w:pPr>
            <w:r>
              <w:rPr>
                <w:rFonts w:cs="宋体"/>
                <w:sz w:val="21"/>
                <w:szCs w:val="21"/>
              </w:rPr>
              <w:t>现状调查</w:t>
            </w:r>
          </w:p>
        </w:tc>
        <w:tc>
          <w:tcPr>
            <w:tcW w:w="831" w:type="pct"/>
            <w:vMerge w:val="restart"/>
            <w:tcBorders>
              <w:tl2br w:val="nil"/>
              <w:tr2bl w:val="nil"/>
            </w:tcBorders>
            <w:vAlign w:val="center"/>
          </w:tcPr>
          <w:p w14:paraId="060EC648">
            <w:pPr>
              <w:ind w:firstLine="0" w:firstLineChars="0"/>
              <w:jc w:val="center"/>
              <w:rPr>
                <w:rFonts w:cs="宋体"/>
                <w:sz w:val="21"/>
                <w:szCs w:val="21"/>
              </w:rPr>
            </w:pPr>
            <w:r>
              <w:rPr>
                <w:rFonts w:cs="宋体"/>
                <w:sz w:val="21"/>
                <w:szCs w:val="21"/>
              </w:rPr>
              <w:t>区域污染源</w:t>
            </w:r>
          </w:p>
        </w:tc>
        <w:tc>
          <w:tcPr>
            <w:tcW w:w="1956" w:type="pct"/>
            <w:gridSpan w:val="6"/>
            <w:tcBorders>
              <w:tl2br w:val="nil"/>
              <w:tr2bl w:val="nil"/>
            </w:tcBorders>
            <w:vAlign w:val="center"/>
          </w:tcPr>
          <w:p w14:paraId="7FD95FDD">
            <w:pPr>
              <w:ind w:firstLine="0" w:firstLineChars="0"/>
              <w:jc w:val="center"/>
              <w:rPr>
                <w:rFonts w:cs="宋体"/>
                <w:sz w:val="21"/>
                <w:szCs w:val="21"/>
              </w:rPr>
            </w:pPr>
            <w:r>
              <w:rPr>
                <w:rFonts w:cs="宋体"/>
                <w:sz w:val="21"/>
                <w:szCs w:val="21"/>
              </w:rPr>
              <w:t>调查项目</w:t>
            </w:r>
          </w:p>
        </w:tc>
        <w:tc>
          <w:tcPr>
            <w:tcW w:w="1953" w:type="pct"/>
            <w:gridSpan w:val="7"/>
            <w:tcBorders>
              <w:tl2br w:val="nil"/>
              <w:tr2bl w:val="nil"/>
            </w:tcBorders>
            <w:vAlign w:val="center"/>
          </w:tcPr>
          <w:p w14:paraId="513FABD4">
            <w:pPr>
              <w:ind w:firstLine="0" w:firstLineChars="0"/>
              <w:jc w:val="center"/>
              <w:rPr>
                <w:rFonts w:cs="宋体"/>
                <w:sz w:val="21"/>
                <w:szCs w:val="21"/>
              </w:rPr>
            </w:pPr>
            <w:r>
              <w:rPr>
                <w:rFonts w:cs="宋体"/>
                <w:sz w:val="21"/>
                <w:szCs w:val="21"/>
              </w:rPr>
              <w:t>数据来源</w:t>
            </w:r>
          </w:p>
        </w:tc>
      </w:tr>
      <w:tr w14:paraId="5F52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5" w:hRule="atLeast"/>
          <w:jc w:val="center"/>
        </w:trPr>
        <w:tc>
          <w:tcPr>
            <w:tcW w:w="258" w:type="pct"/>
            <w:vMerge w:val="continue"/>
            <w:tcBorders>
              <w:tl2br w:val="nil"/>
              <w:tr2bl w:val="nil"/>
            </w:tcBorders>
            <w:textDirection w:val="tbRlV"/>
            <w:vAlign w:val="center"/>
          </w:tcPr>
          <w:p w14:paraId="7A3E95CC">
            <w:pPr>
              <w:ind w:firstLine="0" w:firstLineChars="0"/>
              <w:jc w:val="center"/>
              <w:rPr>
                <w:sz w:val="21"/>
              </w:rPr>
            </w:pPr>
          </w:p>
        </w:tc>
        <w:tc>
          <w:tcPr>
            <w:tcW w:w="831" w:type="pct"/>
            <w:vMerge w:val="continue"/>
            <w:tcBorders>
              <w:tl2br w:val="nil"/>
              <w:tr2bl w:val="nil"/>
            </w:tcBorders>
            <w:vAlign w:val="center"/>
          </w:tcPr>
          <w:p w14:paraId="4E05B0EA">
            <w:pPr>
              <w:ind w:firstLine="0" w:firstLineChars="0"/>
              <w:jc w:val="center"/>
              <w:rPr>
                <w:sz w:val="21"/>
              </w:rPr>
            </w:pPr>
          </w:p>
        </w:tc>
        <w:tc>
          <w:tcPr>
            <w:tcW w:w="947" w:type="pct"/>
            <w:gridSpan w:val="3"/>
            <w:tcBorders>
              <w:tl2br w:val="nil"/>
              <w:tr2bl w:val="nil"/>
            </w:tcBorders>
            <w:vAlign w:val="center"/>
          </w:tcPr>
          <w:p w14:paraId="4B60D9F3">
            <w:pPr>
              <w:ind w:firstLine="0" w:firstLineChars="0"/>
              <w:jc w:val="center"/>
              <w:rPr>
                <w:sz w:val="21"/>
                <w:szCs w:val="21"/>
              </w:rPr>
            </w:pPr>
            <w:r>
              <w:rPr>
                <w:rFonts w:cs="宋体"/>
                <w:sz w:val="21"/>
                <w:szCs w:val="21"/>
              </w:rPr>
              <w:t>已建</w:t>
            </w:r>
            <w:r>
              <w:rPr>
                <w:sz w:val="21"/>
                <w:szCs w:val="21"/>
              </w:rPr>
              <w:drawing>
                <wp:inline distT="0" distB="0" distL="0" distR="0">
                  <wp:extent cx="107315" cy="97790"/>
                  <wp:effectExtent l="0" t="0" r="6985" b="16510"/>
                  <wp:docPr id="140" name="IM 63"/>
                  <wp:cNvGraphicFramePr/>
                  <a:graphic xmlns:a="http://schemas.openxmlformats.org/drawingml/2006/main">
                    <a:graphicData uri="http://schemas.openxmlformats.org/drawingml/2006/picture">
                      <pic:pic xmlns:pic="http://schemas.openxmlformats.org/drawingml/2006/picture">
                        <pic:nvPicPr>
                          <pic:cNvPr id="140" name="IM 63"/>
                          <pic:cNvPicPr/>
                        </pic:nvPicPr>
                        <pic:blipFill>
                          <a:blip r:embed="rId51"/>
                          <a:stretch>
                            <a:fillRect/>
                          </a:stretch>
                        </pic:blipFill>
                        <pic:spPr>
                          <a:xfrm>
                            <a:off x="0" y="0"/>
                            <a:ext cx="107613" cy="97878"/>
                          </a:xfrm>
                          <a:prstGeom prst="rect">
                            <a:avLst/>
                          </a:prstGeom>
                        </pic:spPr>
                      </pic:pic>
                    </a:graphicData>
                  </a:graphic>
                </wp:inline>
              </w:drawing>
            </w:r>
            <w:r>
              <w:rPr>
                <w:rFonts w:cs="宋体"/>
                <w:sz w:val="21"/>
                <w:szCs w:val="21"/>
              </w:rPr>
              <w:t>；在建</w:t>
            </w:r>
            <w:r>
              <w:rPr>
                <w:rFonts w:cs="宋体"/>
                <w:sz w:val="21"/>
                <w:szCs w:val="21"/>
              </w:rPr>
              <w:drawing>
                <wp:inline distT="0" distB="0" distL="0" distR="0">
                  <wp:extent cx="104775" cy="97790"/>
                  <wp:effectExtent l="0" t="0" r="9525" b="16510"/>
                  <wp:docPr id="141" name="IM 64"/>
                  <wp:cNvGraphicFramePr/>
                  <a:graphic xmlns:a="http://schemas.openxmlformats.org/drawingml/2006/main">
                    <a:graphicData uri="http://schemas.openxmlformats.org/drawingml/2006/picture">
                      <pic:pic xmlns:pic="http://schemas.openxmlformats.org/drawingml/2006/picture">
                        <pic:nvPicPr>
                          <pic:cNvPr id="141" name="IM 64"/>
                          <pic:cNvPicPr/>
                        </pic:nvPicPr>
                        <pic:blipFill>
                          <a:blip r:embed="rId51"/>
                          <a:stretch>
                            <a:fillRect/>
                          </a:stretch>
                        </pic:blipFill>
                        <pic:spPr>
                          <a:xfrm>
                            <a:off x="0" y="0"/>
                            <a:ext cx="104879" cy="97878"/>
                          </a:xfrm>
                          <a:prstGeom prst="rect">
                            <a:avLst/>
                          </a:prstGeom>
                        </pic:spPr>
                      </pic:pic>
                    </a:graphicData>
                  </a:graphic>
                </wp:inline>
              </w:drawing>
            </w:r>
            <w:r>
              <w:rPr>
                <w:rFonts w:cs="宋体"/>
                <w:sz w:val="21"/>
                <w:szCs w:val="21"/>
              </w:rPr>
              <w:t>；拟建</w:t>
            </w:r>
            <w:r>
              <w:rPr>
                <w:sz w:val="21"/>
                <w:szCs w:val="21"/>
              </w:rPr>
              <w:drawing>
                <wp:inline distT="0" distB="0" distL="0" distR="0">
                  <wp:extent cx="104775" cy="97790"/>
                  <wp:effectExtent l="0" t="0" r="9525" b="16510"/>
                  <wp:docPr id="142" name="IM 65"/>
                  <wp:cNvGraphicFramePr/>
                  <a:graphic xmlns:a="http://schemas.openxmlformats.org/drawingml/2006/main">
                    <a:graphicData uri="http://schemas.openxmlformats.org/drawingml/2006/picture">
                      <pic:pic xmlns:pic="http://schemas.openxmlformats.org/drawingml/2006/picture">
                        <pic:nvPicPr>
                          <pic:cNvPr id="142" name="IM 65"/>
                          <pic:cNvPicPr/>
                        </pic:nvPicPr>
                        <pic:blipFill>
                          <a:blip r:embed="rId51"/>
                          <a:stretch>
                            <a:fillRect/>
                          </a:stretch>
                        </pic:blipFill>
                        <pic:spPr>
                          <a:xfrm>
                            <a:off x="0" y="0"/>
                            <a:ext cx="104879" cy="97878"/>
                          </a:xfrm>
                          <a:prstGeom prst="rect">
                            <a:avLst/>
                          </a:prstGeom>
                        </pic:spPr>
                      </pic:pic>
                    </a:graphicData>
                  </a:graphic>
                </wp:inline>
              </w:drawing>
            </w:r>
            <w:r>
              <w:rPr>
                <w:rFonts w:cs="宋体"/>
                <w:sz w:val="21"/>
                <w:szCs w:val="21"/>
              </w:rPr>
              <w:t>；其他</w:t>
            </w:r>
            <w:r>
              <w:rPr>
                <w:sz w:val="21"/>
                <w:szCs w:val="21"/>
              </w:rPr>
              <w:drawing>
                <wp:inline distT="0" distB="0" distL="0" distR="0">
                  <wp:extent cx="107315" cy="97790"/>
                  <wp:effectExtent l="0" t="0" r="6985" b="16510"/>
                  <wp:docPr id="143" name="IM 66"/>
                  <wp:cNvGraphicFramePr/>
                  <a:graphic xmlns:a="http://schemas.openxmlformats.org/drawingml/2006/main">
                    <a:graphicData uri="http://schemas.openxmlformats.org/drawingml/2006/picture">
                      <pic:pic xmlns:pic="http://schemas.openxmlformats.org/drawingml/2006/picture">
                        <pic:nvPicPr>
                          <pic:cNvPr id="143" name="IM 66"/>
                          <pic:cNvPicPr/>
                        </pic:nvPicPr>
                        <pic:blipFill>
                          <a:blip r:embed="rId51"/>
                          <a:stretch>
                            <a:fillRect/>
                          </a:stretch>
                        </pic:blipFill>
                        <pic:spPr>
                          <a:xfrm>
                            <a:off x="0" y="0"/>
                            <a:ext cx="107613" cy="97878"/>
                          </a:xfrm>
                          <a:prstGeom prst="rect">
                            <a:avLst/>
                          </a:prstGeom>
                        </pic:spPr>
                      </pic:pic>
                    </a:graphicData>
                  </a:graphic>
                </wp:inline>
              </w:drawing>
            </w:r>
          </w:p>
        </w:tc>
        <w:tc>
          <w:tcPr>
            <w:tcW w:w="1009" w:type="pct"/>
            <w:gridSpan w:val="3"/>
            <w:tcBorders>
              <w:tl2br w:val="nil"/>
              <w:tr2bl w:val="nil"/>
            </w:tcBorders>
            <w:vAlign w:val="center"/>
          </w:tcPr>
          <w:p w14:paraId="5D960A0E">
            <w:pPr>
              <w:ind w:firstLine="0" w:firstLineChars="0"/>
              <w:jc w:val="center"/>
              <w:rPr>
                <w:sz w:val="21"/>
                <w:szCs w:val="21"/>
              </w:rPr>
            </w:pPr>
            <w:r>
              <w:rPr>
                <w:rFonts w:cs="宋体"/>
                <w:sz w:val="21"/>
                <w:szCs w:val="21"/>
              </w:rPr>
              <w:t>拟替代的污染源</w:t>
            </w:r>
            <w:r>
              <w:rPr>
                <w:sz w:val="21"/>
                <w:szCs w:val="21"/>
              </w:rPr>
              <w:drawing>
                <wp:inline distT="0" distB="0" distL="0" distR="0">
                  <wp:extent cx="107315" cy="97790"/>
                  <wp:effectExtent l="0" t="0" r="6985" b="16510"/>
                  <wp:docPr id="144" name="IM 67"/>
                  <wp:cNvGraphicFramePr/>
                  <a:graphic xmlns:a="http://schemas.openxmlformats.org/drawingml/2006/main">
                    <a:graphicData uri="http://schemas.openxmlformats.org/drawingml/2006/picture">
                      <pic:pic xmlns:pic="http://schemas.openxmlformats.org/drawingml/2006/picture">
                        <pic:nvPicPr>
                          <pic:cNvPr id="144" name="IM 67"/>
                          <pic:cNvPicPr/>
                        </pic:nvPicPr>
                        <pic:blipFill>
                          <a:blip r:embed="rId52"/>
                          <a:stretch>
                            <a:fillRect/>
                          </a:stretch>
                        </pic:blipFill>
                        <pic:spPr>
                          <a:xfrm>
                            <a:off x="0" y="0"/>
                            <a:ext cx="107613" cy="97878"/>
                          </a:xfrm>
                          <a:prstGeom prst="rect">
                            <a:avLst/>
                          </a:prstGeom>
                        </pic:spPr>
                      </pic:pic>
                    </a:graphicData>
                  </a:graphic>
                </wp:inline>
              </w:drawing>
            </w:r>
          </w:p>
        </w:tc>
        <w:tc>
          <w:tcPr>
            <w:tcW w:w="1953" w:type="pct"/>
            <w:gridSpan w:val="7"/>
            <w:tcBorders>
              <w:tl2br w:val="nil"/>
              <w:tr2bl w:val="nil"/>
            </w:tcBorders>
            <w:vAlign w:val="center"/>
          </w:tcPr>
          <w:p w14:paraId="600C9F90">
            <w:pPr>
              <w:ind w:firstLine="0" w:firstLineChars="0"/>
              <w:jc w:val="center"/>
              <w:rPr>
                <w:sz w:val="21"/>
                <w:szCs w:val="21"/>
              </w:rPr>
            </w:pPr>
            <w:r>
              <w:rPr>
                <w:rFonts w:cs="宋体"/>
                <w:sz w:val="21"/>
                <w:szCs w:val="21"/>
              </w:rPr>
              <w:t>排污许可证</w:t>
            </w:r>
            <w:r>
              <w:rPr>
                <w:sz w:val="21"/>
                <w:szCs w:val="21"/>
              </w:rPr>
              <w:drawing>
                <wp:inline distT="0" distB="0" distL="0" distR="0">
                  <wp:extent cx="109855" cy="97790"/>
                  <wp:effectExtent l="0" t="0" r="4445" b="16510"/>
                  <wp:docPr id="145" name="IM 68"/>
                  <wp:cNvGraphicFramePr/>
                  <a:graphic xmlns:a="http://schemas.openxmlformats.org/drawingml/2006/main">
                    <a:graphicData uri="http://schemas.openxmlformats.org/drawingml/2006/picture">
                      <pic:pic xmlns:pic="http://schemas.openxmlformats.org/drawingml/2006/picture">
                        <pic:nvPicPr>
                          <pic:cNvPr id="145" name="IM 68"/>
                          <pic:cNvPicPr/>
                        </pic:nvPicPr>
                        <pic:blipFill>
                          <a:blip r:embed="rId58"/>
                          <a:stretch>
                            <a:fillRect/>
                          </a:stretch>
                        </pic:blipFill>
                        <pic:spPr>
                          <a:xfrm>
                            <a:off x="0" y="0"/>
                            <a:ext cx="110213" cy="97878"/>
                          </a:xfrm>
                          <a:prstGeom prst="rect">
                            <a:avLst/>
                          </a:prstGeom>
                        </pic:spPr>
                      </pic:pic>
                    </a:graphicData>
                  </a:graphic>
                </wp:inline>
              </w:drawing>
            </w:r>
            <w:r>
              <w:rPr>
                <w:rFonts w:cs="宋体"/>
                <w:sz w:val="21"/>
                <w:szCs w:val="21"/>
              </w:rPr>
              <w:t>；环评</w:t>
            </w:r>
            <w:r>
              <w:rPr>
                <w:sz w:val="21"/>
                <w:szCs w:val="21"/>
              </w:rPr>
              <w:drawing>
                <wp:inline distT="0" distB="0" distL="0" distR="0">
                  <wp:extent cx="109855" cy="97790"/>
                  <wp:effectExtent l="0" t="0" r="4445" b="16510"/>
                  <wp:docPr id="146" name="IM 69"/>
                  <wp:cNvGraphicFramePr/>
                  <a:graphic xmlns:a="http://schemas.openxmlformats.org/drawingml/2006/main">
                    <a:graphicData uri="http://schemas.openxmlformats.org/drawingml/2006/picture">
                      <pic:pic xmlns:pic="http://schemas.openxmlformats.org/drawingml/2006/picture">
                        <pic:nvPicPr>
                          <pic:cNvPr id="146" name="IM 69"/>
                          <pic:cNvPicPr/>
                        </pic:nvPicPr>
                        <pic:blipFill>
                          <a:blip r:embed="rId51"/>
                          <a:stretch>
                            <a:fillRect/>
                          </a:stretch>
                        </pic:blipFill>
                        <pic:spPr>
                          <a:xfrm>
                            <a:off x="0" y="0"/>
                            <a:ext cx="110213" cy="97878"/>
                          </a:xfrm>
                          <a:prstGeom prst="rect">
                            <a:avLst/>
                          </a:prstGeom>
                        </pic:spPr>
                      </pic:pic>
                    </a:graphicData>
                  </a:graphic>
                </wp:inline>
              </w:drawing>
            </w:r>
            <w:r>
              <w:rPr>
                <w:rFonts w:cs="宋体"/>
                <w:sz w:val="21"/>
                <w:szCs w:val="21"/>
              </w:rPr>
              <w:t>；环保验收</w:t>
            </w:r>
            <w:r>
              <w:rPr>
                <w:rFonts w:cs="宋体"/>
                <w:sz w:val="21"/>
                <w:szCs w:val="21"/>
              </w:rPr>
              <w:drawing>
                <wp:inline distT="0" distB="0" distL="0" distR="0">
                  <wp:extent cx="109220" cy="97790"/>
                  <wp:effectExtent l="0" t="0" r="5080" b="16510"/>
                  <wp:docPr id="147" name="IM 70"/>
                  <wp:cNvGraphicFramePr/>
                  <a:graphic xmlns:a="http://schemas.openxmlformats.org/drawingml/2006/main">
                    <a:graphicData uri="http://schemas.openxmlformats.org/drawingml/2006/picture">
                      <pic:pic xmlns:pic="http://schemas.openxmlformats.org/drawingml/2006/picture">
                        <pic:nvPicPr>
                          <pic:cNvPr id="147" name="IM 70"/>
                          <pic:cNvPicPr/>
                        </pic:nvPicPr>
                        <pic:blipFill>
                          <a:blip r:embed="rId51"/>
                          <a:stretch>
                            <a:fillRect/>
                          </a:stretch>
                        </pic:blipFill>
                        <pic:spPr>
                          <a:xfrm>
                            <a:off x="0" y="0"/>
                            <a:ext cx="109613" cy="97878"/>
                          </a:xfrm>
                          <a:prstGeom prst="rect">
                            <a:avLst/>
                          </a:prstGeom>
                        </pic:spPr>
                      </pic:pic>
                    </a:graphicData>
                  </a:graphic>
                </wp:inline>
              </w:drawing>
            </w:r>
            <w:r>
              <w:rPr>
                <w:rFonts w:cs="宋体"/>
                <w:sz w:val="21"/>
                <w:szCs w:val="21"/>
              </w:rPr>
              <w:t>；即有实施</w:t>
            </w:r>
            <w:r>
              <w:rPr>
                <w:sz w:val="21"/>
                <w:szCs w:val="21"/>
              </w:rPr>
              <w:drawing>
                <wp:inline distT="0" distB="0" distL="0" distR="0">
                  <wp:extent cx="109220" cy="97790"/>
                  <wp:effectExtent l="0" t="0" r="5080" b="16510"/>
                  <wp:docPr id="148" name="IM 71"/>
                  <wp:cNvGraphicFramePr/>
                  <a:graphic xmlns:a="http://schemas.openxmlformats.org/drawingml/2006/main">
                    <a:graphicData uri="http://schemas.openxmlformats.org/drawingml/2006/picture">
                      <pic:pic xmlns:pic="http://schemas.openxmlformats.org/drawingml/2006/picture">
                        <pic:nvPicPr>
                          <pic:cNvPr id="148" name="IM 71"/>
                          <pic:cNvPicPr/>
                        </pic:nvPicPr>
                        <pic:blipFill>
                          <a:blip r:embed="rId51"/>
                          <a:stretch>
                            <a:fillRect/>
                          </a:stretch>
                        </pic:blipFill>
                        <pic:spPr>
                          <a:xfrm>
                            <a:off x="0" y="0"/>
                            <a:ext cx="109613" cy="97878"/>
                          </a:xfrm>
                          <a:prstGeom prst="rect">
                            <a:avLst/>
                          </a:prstGeom>
                        </pic:spPr>
                      </pic:pic>
                    </a:graphicData>
                  </a:graphic>
                </wp:inline>
              </w:drawing>
            </w:r>
            <w:r>
              <w:rPr>
                <w:rFonts w:cs="宋体"/>
                <w:sz w:val="21"/>
                <w:szCs w:val="21"/>
              </w:rPr>
              <w:t>；现场监测</w:t>
            </w:r>
            <w:r>
              <w:rPr>
                <w:sz w:val="21"/>
                <w:szCs w:val="21"/>
              </w:rPr>
              <w:drawing>
                <wp:inline distT="0" distB="0" distL="0" distR="0">
                  <wp:extent cx="109220" cy="97790"/>
                  <wp:effectExtent l="0" t="0" r="5080" b="16510"/>
                  <wp:docPr id="149" name="IM 72"/>
                  <wp:cNvGraphicFramePr/>
                  <a:graphic xmlns:a="http://schemas.openxmlformats.org/drawingml/2006/main">
                    <a:graphicData uri="http://schemas.openxmlformats.org/drawingml/2006/picture">
                      <pic:pic xmlns:pic="http://schemas.openxmlformats.org/drawingml/2006/picture">
                        <pic:nvPicPr>
                          <pic:cNvPr id="149" name="IM 72"/>
                          <pic:cNvPicPr/>
                        </pic:nvPicPr>
                        <pic:blipFill>
                          <a:blip r:embed="rId51"/>
                          <a:stretch>
                            <a:fillRect/>
                          </a:stretch>
                        </pic:blipFill>
                        <pic:spPr>
                          <a:xfrm>
                            <a:off x="0" y="0"/>
                            <a:ext cx="109613" cy="97878"/>
                          </a:xfrm>
                          <a:prstGeom prst="rect">
                            <a:avLst/>
                          </a:prstGeom>
                        </pic:spPr>
                      </pic:pic>
                    </a:graphicData>
                  </a:graphic>
                </wp:inline>
              </w:drawing>
            </w:r>
            <w:r>
              <w:rPr>
                <w:rFonts w:cs="宋体"/>
                <w:sz w:val="21"/>
                <w:szCs w:val="21"/>
              </w:rPr>
              <w:t>；入河排放口数据</w:t>
            </w:r>
            <w:r>
              <w:rPr>
                <w:sz w:val="21"/>
                <w:szCs w:val="21"/>
              </w:rPr>
              <w:drawing>
                <wp:inline distT="0" distB="0" distL="0" distR="0">
                  <wp:extent cx="109855" cy="97790"/>
                  <wp:effectExtent l="0" t="0" r="4445" b="16510"/>
                  <wp:docPr id="150" name="IM 73"/>
                  <wp:cNvGraphicFramePr/>
                  <a:graphic xmlns:a="http://schemas.openxmlformats.org/drawingml/2006/main">
                    <a:graphicData uri="http://schemas.openxmlformats.org/drawingml/2006/picture">
                      <pic:pic xmlns:pic="http://schemas.openxmlformats.org/drawingml/2006/picture">
                        <pic:nvPicPr>
                          <pic:cNvPr id="150" name="IM 73"/>
                          <pic:cNvPicPr/>
                        </pic:nvPicPr>
                        <pic:blipFill>
                          <a:blip r:embed="rId58"/>
                          <a:stretch>
                            <a:fillRect/>
                          </a:stretch>
                        </pic:blipFill>
                        <pic:spPr>
                          <a:xfrm>
                            <a:off x="0" y="0"/>
                            <a:ext cx="110214" cy="97878"/>
                          </a:xfrm>
                          <a:prstGeom prst="rect">
                            <a:avLst/>
                          </a:prstGeom>
                        </pic:spPr>
                      </pic:pic>
                    </a:graphicData>
                  </a:graphic>
                </wp:inline>
              </w:drawing>
            </w:r>
            <w:r>
              <w:rPr>
                <w:rFonts w:cs="宋体"/>
                <w:sz w:val="21"/>
                <w:szCs w:val="21"/>
              </w:rPr>
              <w:t>；其他</w:t>
            </w:r>
            <w:r>
              <w:rPr>
                <w:sz w:val="21"/>
                <w:szCs w:val="21"/>
              </w:rPr>
              <w:drawing>
                <wp:inline distT="0" distB="0" distL="0" distR="0">
                  <wp:extent cx="109855" cy="97790"/>
                  <wp:effectExtent l="0" t="0" r="4445" b="16510"/>
                  <wp:docPr id="151" name="IM 74"/>
                  <wp:cNvGraphicFramePr/>
                  <a:graphic xmlns:a="http://schemas.openxmlformats.org/drawingml/2006/main">
                    <a:graphicData uri="http://schemas.openxmlformats.org/drawingml/2006/picture">
                      <pic:pic xmlns:pic="http://schemas.openxmlformats.org/drawingml/2006/picture">
                        <pic:nvPicPr>
                          <pic:cNvPr id="151" name="IM 74"/>
                          <pic:cNvPicPr/>
                        </pic:nvPicPr>
                        <pic:blipFill>
                          <a:blip r:embed="rId51"/>
                          <a:stretch>
                            <a:fillRect/>
                          </a:stretch>
                        </pic:blipFill>
                        <pic:spPr>
                          <a:xfrm>
                            <a:off x="0" y="0"/>
                            <a:ext cx="110214" cy="97878"/>
                          </a:xfrm>
                          <a:prstGeom prst="rect">
                            <a:avLst/>
                          </a:prstGeom>
                        </pic:spPr>
                      </pic:pic>
                    </a:graphicData>
                  </a:graphic>
                </wp:inline>
              </w:drawing>
            </w:r>
          </w:p>
        </w:tc>
      </w:tr>
      <w:tr w14:paraId="233E8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4" w:hRule="atLeast"/>
          <w:jc w:val="center"/>
        </w:trPr>
        <w:tc>
          <w:tcPr>
            <w:tcW w:w="258" w:type="pct"/>
            <w:vMerge w:val="continue"/>
            <w:tcBorders>
              <w:tl2br w:val="nil"/>
              <w:tr2bl w:val="nil"/>
            </w:tcBorders>
            <w:textDirection w:val="tbRlV"/>
            <w:vAlign w:val="center"/>
          </w:tcPr>
          <w:p w14:paraId="728A306D">
            <w:pPr>
              <w:ind w:firstLine="0" w:firstLineChars="0"/>
              <w:jc w:val="center"/>
              <w:rPr>
                <w:sz w:val="21"/>
              </w:rPr>
            </w:pPr>
          </w:p>
        </w:tc>
        <w:tc>
          <w:tcPr>
            <w:tcW w:w="831" w:type="pct"/>
            <w:vMerge w:val="restart"/>
            <w:tcBorders>
              <w:tl2br w:val="nil"/>
              <w:tr2bl w:val="nil"/>
            </w:tcBorders>
            <w:vAlign w:val="center"/>
          </w:tcPr>
          <w:p w14:paraId="3A70C906">
            <w:pPr>
              <w:ind w:firstLine="0" w:firstLineChars="0"/>
              <w:jc w:val="center"/>
              <w:rPr>
                <w:rFonts w:cs="宋体"/>
                <w:sz w:val="21"/>
                <w:szCs w:val="21"/>
              </w:rPr>
            </w:pPr>
            <w:r>
              <w:rPr>
                <w:rFonts w:cs="宋体"/>
                <w:sz w:val="21"/>
                <w:szCs w:val="21"/>
              </w:rPr>
              <w:t>受影响水体水环境质量</w:t>
            </w:r>
          </w:p>
        </w:tc>
        <w:tc>
          <w:tcPr>
            <w:tcW w:w="1956" w:type="pct"/>
            <w:gridSpan w:val="6"/>
            <w:tcBorders>
              <w:tl2br w:val="nil"/>
              <w:tr2bl w:val="nil"/>
            </w:tcBorders>
            <w:vAlign w:val="center"/>
          </w:tcPr>
          <w:p w14:paraId="13DCB5BD">
            <w:pPr>
              <w:ind w:firstLine="0" w:firstLineChars="0"/>
              <w:jc w:val="center"/>
              <w:rPr>
                <w:rFonts w:cs="宋体"/>
                <w:sz w:val="21"/>
                <w:szCs w:val="21"/>
              </w:rPr>
            </w:pPr>
            <w:r>
              <w:rPr>
                <w:rFonts w:cs="宋体"/>
                <w:sz w:val="21"/>
                <w:szCs w:val="21"/>
              </w:rPr>
              <w:t>调查时期</w:t>
            </w:r>
          </w:p>
        </w:tc>
        <w:tc>
          <w:tcPr>
            <w:tcW w:w="1953" w:type="pct"/>
            <w:gridSpan w:val="7"/>
            <w:tcBorders>
              <w:tl2br w:val="nil"/>
              <w:tr2bl w:val="nil"/>
            </w:tcBorders>
            <w:vAlign w:val="center"/>
          </w:tcPr>
          <w:p w14:paraId="1534BCE0">
            <w:pPr>
              <w:ind w:firstLine="0" w:firstLineChars="0"/>
              <w:jc w:val="center"/>
              <w:rPr>
                <w:rFonts w:cs="宋体"/>
                <w:sz w:val="21"/>
                <w:szCs w:val="21"/>
              </w:rPr>
            </w:pPr>
            <w:r>
              <w:rPr>
                <w:rFonts w:cs="宋体"/>
                <w:sz w:val="21"/>
                <w:szCs w:val="21"/>
              </w:rPr>
              <w:t>数据来源</w:t>
            </w:r>
          </w:p>
        </w:tc>
      </w:tr>
      <w:tr w14:paraId="1AE0D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5" w:hRule="atLeast"/>
          <w:jc w:val="center"/>
        </w:trPr>
        <w:tc>
          <w:tcPr>
            <w:tcW w:w="258" w:type="pct"/>
            <w:vMerge w:val="continue"/>
            <w:tcBorders>
              <w:tl2br w:val="nil"/>
              <w:tr2bl w:val="nil"/>
            </w:tcBorders>
            <w:textDirection w:val="tbRlV"/>
            <w:vAlign w:val="center"/>
          </w:tcPr>
          <w:p w14:paraId="31B81356">
            <w:pPr>
              <w:ind w:firstLine="0" w:firstLineChars="0"/>
              <w:jc w:val="center"/>
              <w:rPr>
                <w:sz w:val="21"/>
              </w:rPr>
            </w:pPr>
          </w:p>
        </w:tc>
        <w:tc>
          <w:tcPr>
            <w:tcW w:w="831" w:type="pct"/>
            <w:vMerge w:val="continue"/>
            <w:tcBorders>
              <w:tl2br w:val="nil"/>
              <w:tr2bl w:val="nil"/>
            </w:tcBorders>
            <w:vAlign w:val="center"/>
          </w:tcPr>
          <w:p w14:paraId="7DCA8B80">
            <w:pPr>
              <w:ind w:firstLine="0" w:firstLineChars="0"/>
              <w:jc w:val="center"/>
              <w:rPr>
                <w:sz w:val="21"/>
              </w:rPr>
            </w:pPr>
          </w:p>
        </w:tc>
        <w:tc>
          <w:tcPr>
            <w:tcW w:w="1956" w:type="pct"/>
            <w:gridSpan w:val="6"/>
            <w:tcBorders>
              <w:tl2br w:val="nil"/>
              <w:tr2bl w:val="nil"/>
            </w:tcBorders>
            <w:vAlign w:val="center"/>
          </w:tcPr>
          <w:p w14:paraId="5E56B5B8">
            <w:pPr>
              <w:ind w:firstLine="0" w:firstLineChars="0"/>
              <w:jc w:val="center"/>
              <w:rPr>
                <w:sz w:val="21"/>
                <w:szCs w:val="21"/>
              </w:rPr>
            </w:pPr>
            <w:r>
              <w:rPr>
                <w:rFonts w:cs="宋体"/>
                <w:sz w:val="21"/>
                <w:szCs w:val="21"/>
              </w:rPr>
              <w:t>丰水期</w:t>
            </w:r>
            <w:r>
              <w:rPr>
                <w:sz w:val="21"/>
                <w:szCs w:val="21"/>
              </w:rPr>
              <w:drawing>
                <wp:inline distT="0" distB="0" distL="0" distR="0">
                  <wp:extent cx="113030" cy="97790"/>
                  <wp:effectExtent l="0" t="0" r="1270" b="16510"/>
                  <wp:docPr id="153" name="IM 75"/>
                  <wp:cNvGraphicFramePr/>
                  <a:graphic xmlns:a="http://schemas.openxmlformats.org/drawingml/2006/main">
                    <a:graphicData uri="http://schemas.openxmlformats.org/drawingml/2006/picture">
                      <pic:pic xmlns:pic="http://schemas.openxmlformats.org/drawingml/2006/picture">
                        <pic:nvPicPr>
                          <pic:cNvPr id="153" name="IM 75"/>
                          <pic:cNvPicPr/>
                        </pic:nvPicPr>
                        <pic:blipFill>
                          <a:blip r:embed="rId51"/>
                          <a:stretch>
                            <a:fillRect/>
                          </a:stretch>
                        </pic:blipFill>
                        <pic:spPr>
                          <a:xfrm>
                            <a:off x="0" y="0"/>
                            <a:ext cx="113480" cy="97878"/>
                          </a:xfrm>
                          <a:prstGeom prst="rect">
                            <a:avLst/>
                          </a:prstGeom>
                        </pic:spPr>
                      </pic:pic>
                    </a:graphicData>
                  </a:graphic>
                </wp:inline>
              </w:drawing>
            </w:r>
            <w:r>
              <w:rPr>
                <w:rFonts w:cs="宋体"/>
                <w:sz w:val="21"/>
                <w:szCs w:val="21"/>
              </w:rPr>
              <w:t>；平水期</w:t>
            </w:r>
            <w:r>
              <w:rPr>
                <w:sz w:val="21"/>
                <w:szCs w:val="21"/>
              </w:rPr>
              <w:drawing>
                <wp:inline distT="0" distB="0" distL="0" distR="0">
                  <wp:extent cx="113030" cy="97790"/>
                  <wp:effectExtent l="0" t="0" r="1270" b="16510"/>
                  <wp:docPr id="154" name="IM 76"/>
                  <wp:cNvGraphicFramePr/>
                  <a:graphic xmlns:a="http://schemas.openxmlformats.org/drawingml/2006/main">
                    <a:graphicData uri="http://schemas.openxmlformats.org/drawingml/2006/picture">
                      <pic:pic xmlns:pic="http://schemas.openxmlformats.org/drawingml/2006/picture">
                        <pic:nvPicPr>
                          <pic:cNvPr id="154" name="IM 76"/>
                          <pic:cNvPicPr/>
                        </pic:nvPicPr>
                        <pic:blipFill>
                          <a:blip r:embed="rId51"/>
                          <a:stretch>
                            <a:fillRect/>
                          </a:stretch>
                        </pic:blipFill>
                        <pic:spPr>
                          <a:xfrm>
                            <a:off x="0" y="0"/>
                            <a:ext cx="113481" cy="97878"/>
                          </a:xfrm>
                          <a:prstGeom prst="rect">
                            <a:avLst/>
                          </a:prstGeom>
                        </pic:spPr>
                      </pic:pic>
                    </a:graphicData>
                  </a:graphic>
                </wp:inline>
              </w:drawing>
            </w:r>
            <w:r>
              <w:rPr>
                <w:rFonts w:cs="宋体"/>
                <w:sz w:val="21"/>
                <w:szCs w:val="21"/>
              </w:rPr>
              <w:t>；枯水期</w:t>
            </w:r>
            <w:r>
              <w:rPr>
                <w:sz w:val="21"/>
                <w:szCs w:val="21"/>
              </w:rPr>
              <w:drawing>
                <wp:inline distT="0" distB="0" distL="0" distR="0">
                  <wp:extent cx="113030" cy="97790"/>
                  <wp:effectExtent l="0" t="0" r="1270" b="16510"/>
                  <wp:docPr id="155" name="IM 77"/>
                  <wp:cNvGraphicFramePr/>
                  <a:graphic xmlns:a="http://schemas.openxmlformats.org/drawingml/2006/main">
                    <a:graphicData uri="http://schemas.openxmlformats.org/drawingml/2006/picture">
                      <pic:pic xmlns:pic="http://schemas.openxmlformats.org/drawingml/2006/picture">
                        <pic:nvPicPr>
                          <pic:cNvPr id="155" name="IM 77"/>
                          <pic:cNvPicPr/>
                        </pic:nvPicPr>
                        <pic:blipFill>
                          <a:blip r:embed="rId51"/>
                          <a:stretch>
                            <a:fillRect/>
                          </a:stretch>
                        </pic:blipFill>
                        <pic:spPr>
                          <a:xfrm>
                            <a:off x="0" y="0"/>
                            <a:ext cx="113481" cy="97878"/>
                          </a:xfrm>
                          <a:prstGeom prst="rect">
                            <a:avLst/>
                          </a:prstGeom>
                        </pic:spPr>
                      </pic:pic>
                    </a:graphicData>
                  </a:graphic>
                </wp:inline>
              </w:drawing>
            </w:r>
            <w:r>
              <w:rPr>
                <w:rFonts w:cs="宋体"/>
                <w:sz w:val="21"/>
                <w:szCs w:val="21"/>
              </w:rPr>
              <w:t>；冰封期</w:t>
            </w:r>
            <w:r>
              <w:rPr>
                <w:sz w:val="21"/>
                <w:szCs w:val="21"/>
              </w:rPr>
              <w:drawing>
                <wp:inline distT="0" distB="0" distL="0" distR="0">
                  <wp:extent cx="110490" cy="97790"/>
                  <wp:effectExtent l="0" t="0" r="3810" b="16510"/>
                  <wp:docPr id="156" name="IM 78"/>
                  <wp:cNvGraphicFramePr/>
                  <a:graphic xmlns:a="http://schemas.openxmlformats.org/drawingml/2006/main">
                    <a:graphicData uri="http://schemas.openxmlformats.org/drawingml/2006/picture">
                      <pic:pic xmlns:pic="http://schemas.openxmlformats.org/drawingml/2006/picture">
                        <pic:nvPicPr>
                          <pic:cNvPr id="156" name="IM 78"/>
                          <pic:cNvPicPr/>
                        </pic:nvPicPr>
                        <pic:blipFill>
                          <a:blip r:embed="rId51"/>
                          <a:stretch>
                            <a:fillRect/>
                          </a:stretch>
                        </pic:blipFill>
                        <pic:spPr>
                          <a:xfrm>
                            <a:off x="0" y="0"/>
                            <a:ext cx="111080" cy="97878"/>
                          </a:xfrm>
                          <a:prstGeom prst="rect">
                            <a:avLst/>
                          </a:prstGeom>
                        </pic:spPr>
                      </pic:pic>
                    </a:graphicData>
                  </a:graphic>
                </wp:inline>
              </w:drawing>
            </w:r>
            <w:r>
              <w:rPr>
                <w:rFonts w:cs="宋体"/>
                <w:sz w:val="21"/>
                <w:szCs w:val="21"/>
              </w:rPr>
              <w:t>；春季</w:t>
            </w:r>
            <w:r>
              <w:rPr>
                <w:sz w:val="21"/>
                <w:szCs w:val="21"/>
              </w:rPr>
              <w:drawing>
                <wp:inline distT="0" distB="0" distL="0" distR="0">
                  <wp:extent cx="110490" cy="97790"/>
                  <wp:effectExtent l="0" t="0" r="3810" b="16510"/>
                  <wp:docPr id="157" name="IM 79"/>
                  <wp:cNvGraphicFramePr/>
                  <a:graphic xmlns:a="http://schemas.openxmlformats.org/drawingml/2006/main">
                    <a:graphicData uri="http://schemas.openxmlformats.org/drawingml/2006/picture">
                      <pic:pic xmlns:pic="http://schemas.openxmlformats.org/drawingml/2006/picture">
                        <pic:nvPicPr>
                          <pic:cNvPr id="157" name="IM 79"/>
                          <pic:cNvPicPr/>
                        </pic:nvPicPr>
                        <pic:blipFill>
                          <a:blip r:embed="rId51"/>
                          <a:stretch>
                            <a:fillRect/>
                          </a:stretch>
                        </pic:blipFill>
                        <pic:spPr>
                          <a:xfrm>
                            <a:off x="0" y="0"/>
                            <a:ext cx="111080" cy="97878"/>
                          </a:xfrm>
                          <a:prstGeom prst="rect">
                            <a:avLst/>
                          </a:prstGeom>
                        </pic:spPr>
                      </pic:pic>
                    </a:graphicData>
                  </a:graphic>
                </wp:inline>
              </w:drawing>
            </w:r>
            <w:r>
              <w:rPr>
                <w:rFonts w:cs="宋体"/>
                <w:sz w:val="21"/>
                <w:szCs w:val="21"/>
              </w:rPr>
              <w:t>；夏季</w:t>
            </w:r>
            <w:r>
              <w:rPr>
                <w:rFonts w:cs="微软雅黑"/>
                <w:sz w:val="21"/>
                <w:szCs w:val="21"/>
              </w:rPr>
              <w:t>团</w:t>
            </w:r>
            <w:r>
              <w:rPr>
                <w:rFonts w:cs="宋体"/>
                <w:sz w:val="21"/>
                <w:szCs w:val="21"/>
              </w:rPr>
              <w:t>；秋季</w:t>
            </w:r>
            <w:r>
              <w:rPr>
                <w:sz w:val="21"/>
                <w:szCs w:val="21"/>
              </w:rPr>
              <w:drawing>
                <wp:inline distT="0" distB="0" distL="0" distR="0">
                  <wp:extent cx="110490" cy="97790"/>
                  <wp:effectExtent l="0" t="0" r="3810" b="16510"/>
                  <wp:docPr id="158" name="IM 80"/>
                  <wp:cNvGraphicFramePr/>
                  <a:graphic xmlns:a="http://schemas.openxmlformats.org/drawingml/2006/main">
                    <a:graphicData uri="http://schemas.openxmlformats.org/drawingml/2006/picture">
                      <pic:pic xmlns:pic="http://schemas.openxmlformats.org/drawingml/2006/picture">
                        <pic:nvPicPr>
                          <pic:cNvPr id="158" name="IM 80"/>
                          <pic:cNvPicPr/>
                        </pic:nvPicPr>
                        <pic:blipFill>
                          <a:blip r:embed="rId51"/>
                          <a:stretch>
                            <a:fillRect/>
                          </a:stretch>
                        </pic:blipFill>
                        <pic:spPr>
                          <a:xfrm>
                            <a:off x="0" y="0"/>
                            <a:ext cx="111080" cy="97878"/>
                          </a:xfrm>
                          <a:prstGeom prst="rect">
                            <a:avLst/>
                          </a:prstGeom>
                        </pic:spPr>
                      </pic:pic>
                    </a:graphicData>
                  </a:graphic>
                </wp:inline>
              </w:drawing>
            </w:r>
            <w:r>
              <w:rPr>
                <w:rFonts w:cs="宋体"/>
                <w:sz w:val="21"/>
                <w:szCs w:val="21"/>
              </w:rPr>
              <w:t>；冬季</w:t>
            </w:r>
            <w:r>
              <w:rPr>
                <w:sz w:val="21"/>
                <w:szCs w:val="21"/>
              </w:rPr>
              <w:drawing>
                <wp:inline distT="0" distB="0" distL="0" distR="0">
                  <wp:extent cx="107315" cy="97790"/>
                  <wp:effectExtent l="0" t="0" r="6985" b="16510"/>
                  <wp:docPr id="159" name="IM 81"/>
                  <wp:cNvGraphicFramePr/>
                  <a:graphic xmlns:a="http://schemas.openxmlformats.org/drawingml/2006/main">
                    <a:graphicData uri="http://schemas.openxmlformats.org/drawingml/2006/picture">
                      <pic:pic xmlns:pic="http://schemas.openxmlformats.org/drawingml/2006/picture">
                        <pic:nvPicPr>
                          <pic:cNvPr id="159" name="IM 81"/>
                          <pic:cNvPicPr/>
                        </pic:nvPicPr>
                        <pic:blipFill>
                          <a:blip r:embed="rId51"/>
                          <a:stretch>
                            <a:fillRect/>
                          </a:stretch>
                        </pic:blipFill>
                        <pic:spPr>
                          <a:xfrm>
                            <a:off x="0" y="0"/>
                            <a:ext cx="107613" cy="97878"/>
                          </a:xfrm>
                          <a:prstGeom prst="rect">
                            <a:avLst/>
                          </a:prstGeom>
                        </pic:spPr>
                      </pic:pic>
                    </a:graphicData>
                  </a:graphic>
                </wp:inline>
              </w:drawing>
            </w:r>
          </w:p>
        </w:tc>
        <w:tc>
          <w:tcPr>
            <w:tcW w:w="1953" w:type="pct"/>
            <w:gridSpan w:val="7"/>
            <w:tcBorders>
              <w:tl2br w:val="nil"/>
              <w:tr2bl w:val="nil"/>
            </w:tcBorders>
            <w:vAlign w:val="center"/>
          </w:tcPr>
          <w:p w14:paraId="3F863660">
            <w:pPr>
              <w:ind w:firstLine="0" w:firstLineChars="0"/>
              <w:jc w:val="center"/>
              <w:rPr>
                <w:sz w:val="21"/>
                <w:szCs w:val="21"/>
              </w:rPr>
            </w:pPr>
            <w:r>
              <w:rPr>
                <w:rFonts w:cs="宋体"/>
                <w:sz w:val="21"/>
                <w:szCs w:val="21"/>
              </w:rPr>
              <w:t>生态环境保护主管部门</w:t>
            </w:r>
            <w:r>
              <w:rPr>
                <w:sz w:val="21"/>
                <w:szCs w:val="21"/>
              </w:rPr>
              <w:drawing>
                <wp:inline distT="0" distB="0" distL="0" distR="0">
                  <wp:extent cx="107315" cy="97790"/>
                  <wp:effectExtent l="0" t="0" r="6985" b="16510"/>
                  <wp:docPr id="160" name="IM 82"/>
                  <wp:cNvGraphicFramePr/>
                  <a:graphic xmlns:a="http://schemas.openxmlformats.org/drawingml/2006/main">
                    <a:graphicData uri="http://schemas.openxmlformats.org/drawingml/2006/picture">
                      <pic:pic xmlns:pic="http://schemas.openxmlformats.org/drawingml/2006/picture">
                        <pic:nvPicPr>
                          <pic:cNvPr id="160" name="IM 82"/>
                          <pic:cNvPicPr/>
                        </pic:nvPicPr>
                        <pic:blipFill>
                          <a:blip r:embed="rId51"/>
                          <a:stretch>
                            <a:fillRect/>
                          </a:stretch>
                        </pic:blipFill>
                        <pic:spPr>
                          <a:xfrm>
                            <a:off x="0" y="0"/>
                            <a:ext cx="107613" cy="97878"/>
                          </a:xfrm>
                          <a:prstGeom prst="rect">
                            <a:avLst/>
                          </a:prstGeom>
                        </pic:spPr>
                      </pic:pic>
                    </a:graphicData>
                  </a:graphic>
                </wp:inline>
              </w:drawing>
            </w:r>
            <w:r>
              <w:rPr>
                <w:rFonts w:cs="宋体"/>
                <w:sz w:val="21"/>
                <w:szCs w:val="21"/>
              </w:rPr>
              <w:t>；补充监测</w:t>
            </w:r>
            <w:r>
              <w:rPr>
                <w:rFonts w:cs="宋体"/>
                <w:sz w:val="21"/>
                <w:szCs w:val="21"/>
              </w:rPr>
              <w:drawing>
                <wp:inline distT="0" distB="0" distL="0" distR="0">
                  <wp:extent cx="104140" cy="97790"/>
                  <wp:effectExtent l="0" t="0" r="10160" b="16510"/>
                  <wp:docPr id="161" name="IM 83"/>
                  <wp:cNvGraphicFramePr/>
                  <a:graphic xmlns:a="http://schemas.openxmlformats.org/drawingml/2006/main">
                    <a:graphicData uri="http://schemas.openxmlformats.org/drawingml/2006/picture">
                      <pic:pic xmlns:pic="http://schemas.openxmlformats.org/drawingml/2006/picture">
                        <pic:nvPicPr>
                          <pic:cNvPr id="161" name="IM 83"/>
                          <pic:cNvPicPr/>
                        </pic:nvPicPr>
                        <pic:blipFill>
                          <a:blip r:embed="rId58"/>
                          <a:stretch>
                            <a:fillRect/>
                          </a:stretch>
                        </pic:blipFill>
                        <pic:spPr>
                          <a:xfrm>
                            <a:off x="0" y="0"/>
                            <a:ext cx="104613" cy="97878"/>
                          </a:xfrm>
                          <a:prstGeom prst="rect">
                            <a:avLst/>
                          </a:prstGeom>
                        </pic:spPr>
                      </pic:pic>
                    </a:graphicData>
                  </a:graphic>
                </wp:inline>
              </w:drawing>
            </w:r>
            <w:r>
              <w:rPr>
                <w:rFonts w:cs="宋体"/>
                <w:sz w:val="21"/>
                <w:szCs w:val="21"/>
              </w:rPr>
              <w:t>；其他</w:t>
            </w:r>
            <w:r>
              <w:rPr>
                <w:sz w:val="21"/>
                <w:szCs w:val="21"/>
              </w:rPr>
              <w:drawing>
                <wp:inline distT="0" distB="0" distL="0" distR="0">
                  <wp:extent cx="104140" cy="97790"/>
                  <wp:effectExtent l="0" t="0" r="10160" b="16510"/>
                  <wp:docPr id="162" name="IM 84"/>
                  <wp:cNvGraphicFramePr/>
                  <a:graphic xmlns:a="http://schemas.openxmlformats.org/drawingml/2006/main">
                    <a:graphicData uri="http://schemas.openxmlformats.org/drawingml/2006/picture">
                      <pic:pic xmlns:pic="http://schemas.openxmlformats.org/drawingml/2006/picture">
                        <pic:nvPicPr>
                          <pic:cNvPr id="162" name="IM 84"/>
                          <pic:cNvPicPr/>
                        </pic:nvPicPr>
                        <pic:blipFill>
                          <a:blip r:embed="rId51"/>
                          <a:stretch>
                            <a:fillRect/>
                          </a:stretch>
                        </pic:blipFill>
                        <pic:spPr>
                          <a:xfrm>
                            <a:off x="0" y="0"/>
                            <a:ext cx="104613" cy="97878"/>
                          </a:xfrm>
                          <a:prstGeom prst="rect">
                            <a:avLst/>
                          </a:prstGeom>
                        </pic:spPr>
                      </pic:pic>
                    </a:graphicData>
                  </a:graphic>
                </wp:inline>
              </w:drawing>
            </w:r>
          </w:p>
        </w:tc>
      </w:tr>
      <w:tr w14:paraId="00691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4" w:hRule="atLeast"/>
          <w:jc w:val="center"/>
        </w:trPr>
        <w:tc>
          <w:tcPr>
            <w:tcW w:w="258" w:type="pct"/>
            <w:vMerge w:val="continue"/>
            <w:tcBorders>
              <w:tl2br w:val="nil"/>
              <w:tr2bl w:val="nil"/>
            </w:tcBorders>
            <w:textDirection w:val="tbRlV"/>
            <w:vAlign w:val="center"/>
          </w:tcPr>
          <w:p w14:paraId="3E619998">
            <w:pPr>
              <w:ind w:firstLine="0" w:firstLineChars="0"/>
              <w:jc w:val="center"/>
              <w:rPr>
                <w:sz w:val="21"/>
              </w:rPr>
            </w:pPr>
          </w:p>
        </w:tc>
        <w:tc>
          <w:tcPr>
            <w:tcW w:w="831" w:type="pct"/>
            <w:tcBorders>
              <w:tl2br w:val="nil"/>
              <w:tr2bl w:val="nil"/>
            </w:tcBorders>
            <w:vAlign w:val="center"/>
          </w:tcPr>
          <w:p w14:paraId="414E2F8A">
            <w:pPr>
              <w:ind w:firstLine="0" w:firstLineChars="0"/>
              <w:jc w:val="center"/>
              <w:rPr>
                <w:rFonts w:cs="宋体"/>
                <w:sz w:val="21"/>
                <w:szCs w:val="21"/>
              </w:rPr>
            </w:pPr>
            <w:r>
              <w:rPr>
                <w:rFonts w:cs="宋体"/>
                <w:sz w:val="21"/>
                <w:szCs w:val="21"/>
              </w:rPr>
              <w:t>区域水资源开发利用状况</w:t>
            </w:r>
          </w:p>
        </w:tc>
        <w:tc>
          <w:tcPr>
            <w:tcW w:w="3910" w:type="pct"/>
            <w:gridSpan w:val="13"/>
            <w:tcBorders>
              <w:tl2br w:val="nil"/>
              <w:tr2bl w:val="nil"/>
            </w:tcBorders>
            <w:vAlign w:val="center"/>
          </w:tcPr>
          <w:p w14:paraId="6F829A5F">
            <w:pPr>
              <w:ind w:firstLine="0" w:firstLineChars="0"/>
              <w:jc w:val="center"/>
              <w:rPr>
                <w:sz w:val="21"/>
                <w:szCs w:val="21"/>
              </w:rPr>
            </w:pPr>
            <w:r>
              <w:rPr>
                <w:rFonts w:cs="宋体"/>
                <w:sz w:val="21"/>
                <w:szCs w:val="21"/>
              </w:rPr>
              <w:t>未开发</w:t>
            </w:r>
            <w:r>
              <w:rPr>
                <w:sz w:val="21"/>
                <w:szCs w:val="21"/>
              </w:rPr>
              <w:drawing>
                <wp:inline distT="0" distB="0" distL="0" distR="0">
                  <wp:extent cx="107315" cy="97790"/>
                  <wp:effectExtent l="0" t="0" r="6985" b="16510"/>
                  <wp:docPr id="163" name="IM 85"/>
                  <wp:cNvGraphicFramePr/>
                  <a:graphic xmlns:a="http://schemas.openxmlformats.org/drawingml/2006/main">
                    <a:graphicData uri="http://schemas.openxmlformats.org/drawingml/2006/picture">
                      <pic:pic xmlns:pic="http://schemas.openxmlformats.org/drawingml/2006/picture">
                        <pic:nvPicPr>
                          <pic:cNvPr id="163" name="IM 85"/>
                          <pic:cNvPicPr/>
                        </pic:nvPicPr>
                        <pic:blipFill>
                          <a:blip r:embed="rId57"/>
                          <a:stretch>
                            <a:fillRect/>
                          </a:stretch>
                        </pic:blipFill>
                        <pic:spPr>
                          <a:xfrm>
                            <a:off x="0" y="0"/>
                            <a:ext cx="107698" cy="97878"/>
                          </a:xfrm>
                          <a:prstGeom prst="rect">
                            <a:avLst/>
                          </a:prstGeom>
                        </pic:spPr>
                      </pic:pic>
                    </a:graphicData>
                  </a:graphic>
                </wp:inline>
              </w:drawing>
            </w:r>
            <w:r>
              <w:rPr>
                <w:rFonts w:cs="宋体"/>
                <w:sz w:val="21"/>
                <w:szCs w:val="21"/>
              </w:rPr>
              <w:t>；开发量</w:t>
            </w:r>
            <w:r>
              <w:rPr>
                <w:sz w:val="21"/>
                <w:szCs w:val="21"/>
              </w:rPr>
              <w:t>40%</w:t>
            </w:r>
            <w:r>
              <w:rPr>
                <w:rFonts w:cs="宋体"/>
                <w:sz w:val="21"/>
                <w:szCs w:val="21"/>
              </w:rPr>
              <w:t>以下</w:t>
            </w:r>
            <w:r>
              <w:rPr>
                <w:sz w:val="21"/>
                <w:szCs w:val="21"/>
              </w:rPr>
              <w:drawing>
                <wp:inline distT="0" distB="0" distL="0" distR="0">
                  <wp:extent cx="107315" cy="97790"/>
                  <wp:effectExtent l="0" t="0" r="6985" b="16510"/>
                  <wp:docPr id="164" name="IM 86"/>
                  <wp:cNvGraphicFramePr/>
                  <a:graphic xmlns:a="http://schemas.openxmlformats.org/drawingml/2006/main">
                    <a:graphicData uri="http://schemas.openxmlformats.org/drawingml/2006/picture">
                      <pic:pic xmlns:pic="http://schemas.openxmlformats.org/drawingml/2006/picture">
                        <pic:nvPicPr>
                          <pic:cNvPr id="164" name="IM 86"/>
                          <pic:cNvPicPr/>
                        </pic:nvPicPr>
                        <pic:blipFill>
                          <a:blip r:embed="rId56"/>
                          <a:stretch>
                            <a:fillRect/>
                          </a:stretch>
                        </pic:blipFill>
                        <pic:spPr>
                          <a:xfrm>
                            <a:off x="0" y="0"/>
                            <a:ext cx="107698" cy="97878"/>
                          </a:xfrm>
                          <a:prstGeom prst="rect">
                            <a:avLst/>
                          </a:prstGeom>
                        </pic:spPr>
                      </pic:pic>
                    </a:graphicData>
                  </a:graphic>
                </wp:inline>
              </w:drawing>
            </w:r>
            <w:r>
              <w:rPr>
                <w:rFonts w:cs="宋体"/>
                <w:sz w:val="21"/>
                <w:szCs w:val="21"/>
              </w:rPr>
              <w:t>；开发量</w:t>
            </w:r>
            <w:r>
              <w:rPr>
                <w:sz w:val="21"/>
                <w:szCs w:val="21"/>
              </w:rPr>
              <w:t>40%</w:t>
            </w:r>
            <w:r>
              <w:rPr>
                <w:rFonts w:cs="宋体"/>
                <w:sz w:val="21"/>
                <w:szCs w:val="21"/>
              </w:rPr>
              <w:t>以上</w:t>
            </w:r>
            <w:r>
              <w:rPr>
                <w:sz w:val="21"/>
                <w:szCs w:val="21"/>
              </w:rPr>
              <w:drawing>
                <wp:inline distT="0" distB="0" distL="0" distR="0">
                  <wp:extent cx="107315" cy="97790"/>
                  <wp:effectExtent l="0" t="0" r="6985" b="16510"/>
                  <wp:docPr id="165" name="IM 87"/>
                  <wp:cNvGraphicFramePr/>
                  <a:graphic xmlns:a="http://schemas.openxmlformats.org/drawingml/2006/main">
                    <a:graphicData uri="http://schemas.openxmlformats.org/drawingml/2006/picture">
                      <pic:pic xmlns:pic="http://schemas.openxmlformats.org/drawingml/2006/picture">
                        <pic:nvPicPr>
                          <pic:cNvPr id="165" name="IM 87"/>
                          <pic:cNvPicPr/>
                        </pic:nvPicPr>
                        <pic:blipFill>
                          <a:blip r:embed="rId56"/>
                          <a:stretch>
                            <a:fillRect/>
                          </a:stretch>
                        </pic:blipFill>
                        <pic:spPr>
                          <a:xfrm>
                            <a:off x="0" y="0"/>
                            <a:ext cx="107698" cy="97878"/>
                          </a:xfrm>
                          <a:prstGeom prst="rect">
                            <a:avLst/>
                          </a:prstGeom>
                        </pic:spPr>
                      </pic:pic>
                    </a:graphicData>
                  </a:graphic>
                </wp:inline>
              </w:drawing>
            </w:r>
          </w:p>
        </w:tc>
      </w:tr>
      <w:tr w14:paraId="06469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50" w:hRule="atLeast"/>
          <w:jc w:val="center"/>
        </w:trPr>
        <w:tc>
          <w:tcPr>
            <w:tcW w:w="258" w:type="pct"/>
            <w:vMerge w:val="continue"/>
            <w:tcBorders>
              <w:tl2br w:val="nil"/>
              <w:tr2bl w:val="nil"/>
            </w:tcBorders>
            <w:textDirection w:val="tbRlV"/>
            <w:vAlign w:val="center"/>
          </w:tcPr>
          <w:p w14:paraId="5A5DC067">
            <w:pPr>
              <w:ind w:firstLine="0" w:firstLineChars="0"/>
              <w:jc w:val="center"/>
              <w:rPr>
                <w:sz w:val="21"/>
              </w:rPr>
            </w:pPr>
          </w:p>
        </w:tc>
        <w:tc>
          <w:tcPr>
            <w:tcW w:w="831" w:type="pct"/>
            <w:tcBorders>
              <w:tl2br w:val="nil"/>
              <w:tr2bl w:val="nil"/>
            </w:tcBorders>
            <w:vAlign w:val="center"/>
          </w:tcPr>
          <w:p w14:paraId="59AB0895">
            <w:pPr>
              <w:ind w:firstLine="0" w:firstLineChars="0"/>
              <w:jc w:val="center"/>
              <w:rPr>
                <w:rFonts w:cs="宋体"/>
                <w:sz w:val="21"/>
                <w:szCs w:val="21"/>
              </w:rPr>
            </w:pPr>
            <w:r>
              <w:rPr>
                <w:rFonts w:cs="宋体"/>
                <w:sz w:val="21"/>
                <w:szCs w:val="21"/>
              </w:rPr>
              <w:t>水文情势调查</w:t>
            </w:r>
          </w:p>
        </w:tc>
        <w:tc>
          <w:tcPr>
            <w:tcW w:w="1956" w:type="pct"/>
            <w:gridSpan w:val="6"/>
            <w:tcBorders>
              <w:tl2br w:val="nil"/>
              <w:tr2bl w:val="nil"/>
            </w:tcBorders>
            <w:vAlign w:val="center"/>
          </w:tcPr>
          <w:p w14:paraId="11752A34">
            <w:pPr>
              <w:ind w:firstLine="0" w:firstLineChars="0"/>
              <w:jc w:val="center"/>
              <w:rPr>
                <w:rFonts w:cs="宋体"/>
                <w:sz w:val="21"/>
                <w:szCs w:val="21"/>
              </w:rPr>
            </w:pPr>
            <w:r>
              <w:rPr>
                <w:rFonts w:cs="宋体"/>
                <w:sz w:val="21"/>
                <w:szCs w:val="21"/>
              </w:rPr>
              <w:t>调查时期</w:t>
            </w:r>
          </w:p>
        </w:tc>
        <w:tc>
          <w:tcPr>
            <w:tcW w:w="1953" w:type="pct"/>
            <w:gridSpan w:val="7"/>
            <w:tcBorders>
              <w:tl2br w:val="nil"/>
              <w:tr2bl w:val="nil"/>
            </w:tcBorders>
            <w:vAlign w:val="center"/>
          </w:tcPr>
          <w:p w14:paraId="56E0B9D9">
            <w:pPr>
              <w:ind w:firstLine="0" w:firstLineChars="0"/>
              <w:jc w:val="center"/>
              <w:rPr>
                <w:rFonts w:cs="宋体"/>
                <w:sz w:val="21"/>
                <w:szCs w:val="21"/>
              </w:rPr>
            </w:pPr>
            <w:r>
              <w:rPr>
                <w:rFonts w:cs="宋体"/>
                <w:sz w:val="21"/>
                <w:szCs w:val="21"/>
              </w:rPr>
              <w:t>数据来源</w:t>
            </w:r>
          </w:p>
        </w:tc>
      </w:tr>
      <w:tr w14:paraId="1069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10" w:hRule="atLeast"/>
          <w:jc w:val="center"/>
        </w:trPr>
        <w:tc>
          <w:tcPr>
            <w:tcW w:w="258" w:type="pct"/>
            <w:vMerge w:val="continue"/>
            <w:tcBorders>
              <w:tl2br w:val="nil"/>
              <w:tr2bl w:val="nil"/>
            </w:tcBorders>
            <w:vAlign w:val="center"/>
          </w:tcPr>
          <w:p w14:paraId="5C850030">
            <w:pPr>
              <w:ind w:firstLine="0" w:firstLineChars="0"/>
              <w:jc w:val="center"/>
              <w:rPr>
                <w:sz w:val="21"/>
              </w:rPr>
            </w:pPr>
          </w:p>
        </w:tc>
        <w:tc>
          <w:tcPr>
            <w:tcW w:w="831" w:type="pct"/>
            <w:vMerge w:val="restart"/>
            <w:tcBorders>
              <w:tl2br w:val="nil"/>
              <w:tr2bl w:val="nil"/>
            </w:tcBorders>
            <w:vAlign w:val="center"/>
          </w:tcPr>
          <w:p w14:paraId="75652BCB">
            <w:pPr>
              <w:ind w:firstLine="0" w:firstLineChars="0"/>
              <w:jc w:val="center"/>
              <w:rPr>
                <w:rFonts w:cs="宋体"/>
                <w:sz w:val="21"/>
                <w:szCs w:val="21"/>
              </w:rPr>
            </w:pPr>
            <w:r>
              <w:rPr>
                <w:rFonts w:cs="宋体"/>
                <w:sz w:val="21"/>
                <w:szCs w:val="21"/>
              </w:rPr>
              <w:t>补充监测</w:t>
            </w:r>
          </w:p>
        </w:tc>
        <w:tc>
          <w:tcPr>
            <w:tcW w:w="1956" w:type="pct"/>
            <w:gridSpan w:val="6"/>
            <w:tcBorders>
              <w:tl2br w:val="nil"/>
              <w:tr2bl w:val="nil"/>
            </w:tcBorders>
            <w:vAlign w:val="center"/>
          </w:tcPr>
          <w:p w14:paraId="454DFC56">
            <w:pPr>
              <w:ind w:firstLine="0" w:firstLineChars="0"/>
              <w:jc w:val="center"/>
              <w:rPr>
                <w:sz w:val="21"/>
              </w:rPr>
            </w:pPr>
            <w:r>
              <w:rPr>
                <w:rFonts w:cs="宋体"/>
                <w:sz w:val="21"/>
                <w:szCs w:val="21"/>
              </w:rPr>
              <w:t>丰水期</w:t>
            </w:r>
            <w:r>
              <w:rPr>
                <w:sz w:val="21"/>
                <w:szCs w:val="21"/>
              </w:rPr>
              <w:drawing>
                <wp:inline distT="0" distB="0" distL="0" distR="0">
                  <wp:extent cx="113030" cy="97790"/>
                  <wp:effectExtent l="0" t="0" r="1270" b="16510"/>
                  <wp:docPr id="166" name="IM 88"/>
                  <wp:cNvGraphicFramePr/>
                  <a:graphic xmlns:a="http://schemas.openxmlformats.org/drawingml/2006/main">
                    <a:graphicData uri="http://schemas.openxmlformats.org/drawingml/2006/picture">
                      <pic:pic xmlns:pic="http://schemas.openxmlformats.org/drawingml/2006/picture">
                        <pic:nvPicPr>
                          <pic:cNvPr id="166" name="IM 88"/>
                          <pic:cNvPicPr/>
                        </pic:nvPicPr>
                        <pic:blipFill>
                          <a:blip r:embed="rId53"/>
                          <a:stretch>
                            <a:fillRect/>
                          </a:stretch>
                        </pic:blipFill>
                        <pic:spPr>
                          <a:xfrm>
                            <a:off x="0" y="0"/>
                            <a:ext cx="113480" cy="97878"/>
                          </a:xfrm>
                          <a:prstGeom prst="rect">
                            <a:avLst/>
                          </a:prstGeom>
                        </pic:spPr>
                      </pic:pic>
                    </a:graphicData>
                  </a:graphic>
                </wp:inline>
              </w:drawing>
            </w:r>
            <w:r>
              <w:rPr>
                <w:rFonts w:cs="宋体"/>
                <w:sz w:val="21"/>
                <w:szCs w:val="21"/>
              </w:rPr>
              <w:t>；平水期</w:t>
            </w:r>
            <w:r>
              <w:rPr>
                <w:sz w:val="21"/>
                <w:szCs w:val="21"/>
              </w:rPr>
              <w:drawing>
                <wp:inline distT="0" distB="0" distL="0" distR="0">
                  <wp:extent cx="113030" cy="97790"/>
                  <wp:effectExtent l="0" t="0" r="1270" b="16510"/>
                  <wp:docPr id="167" name="IM 89"/>
                  <wp:cNvGraphicFramePr/>
                  <a:graphic xmlns:a="http://schemas.openxmlformats.org/drawingml/2006/main">
                    <a:graphicData uri="http://schemas.openxmlformats.org/drawingml/2006/picture">
                      <pic:pic xmlns:pic="http://schemas.openxmlformats.org/drawingml/2006/picture">
                        <pic:nvPicPr>
                          <pic:cNvPr id="167" name="IM 89"/>
                          <pic:cNvPicPr/>
                        </pic:nvPicPr>
                        <pic:blipFill>
                          <a:blip r:embed="rId53"/>
                          <a:stretch>
                            <a:fillRect/>
                          </a:stretch>
                        </pic:blipFill>
                        <pic:spPr>
                          <a:xfrm>
                            <a:off x="0" y="0"/>
                            <a:ext cx="113481" cy="97878"/>
                          </a:xfrm>
                          <a:prstGeom prst="rect">
                            <a:avLst/>
                          </a:prstGeom>
                        </pic:spPr>
                      </pic:pic>
                    </a:graphicData>
                  </a:graphic>
                </wp:inline>
              </w:drawing>
            </w:r>
            <w:r>
              <w:rPr>
                <w:rFonts w:cs="宋体"/>
                <w:sz w:val="21"/>
                <w:szCs w:val="21"/>
              </w:rPr>
              <w:t>；枯水期</w:t>
            </w:r>
            <w:r>
              <w:rPr>
                <w:sz w:val="21"/>
                <w:szCs w:val="21"/>
              </w:rPr>
              <w:drawing>
                <wp:inline distT="0" distB="0" distL="0" distR="0">
                  <wp:extent cx="113030" cy="97790"/>
                  <wp:effectExtent l="0" t="0" r="1270" b="16510"/>
                  <wp:docPr id="168" name="IM 90"/>
                  <wp:cNvGraphicFramePr/>
                  <a:graphic xmlns:a="http://schemas.openxmlformats.org/drawingml/2006/main">
                    <a:graphicData uri="http://schemas.openxmlformats.org/drawingml/2006/picture">
                      <pic:pic xmlns:pic="http://schemas.openxmlformats.org/drawingml/2006/picture">
                        <pic:nvPicPr>
                          <pic:cNvPr id="168" name="IM 90"/>
                          <pic:cNvPicPr/>
                        </pic:nvPicPr>
                        <pic:blipFill>
                          <a:blip r:embed="rId53"/>
                          <a:stretch>
                            <a:fillRect/>
                          </a:stretch>
                        </pic:blipFill>
                        <pic:spPr>
                          <a:xfrm>
                            <a:off x="0" y="0"/>
                            <a:ext cx="113481" cy="97878"/>
                          </a:xfrm>
                          <a:prstGeom prst="rect">
                            <a:avLst/>
                          </a:prstGeom>
                        </pic:spPr>
                      </pic:pic>
                    </a:graphicData>
                  </a:graphic>
                </wp:inline>
              </w:drawing>
            </w:r>
            <w:r>
              <w:rPr>
                <w:rFonts w:cs="宋体"/>
                <w:sz w:val="21"/>
                <w:szCs w:val="21"/>
              </w:rPr>
              <w:t>；冰封期</w:t>
            </w:r>
            <w:r>
              <w:rPr>
                <w:sz w:val="21"/>
                <w:szCs w:val="21"/>
              </w:rPr>
              <w:drawing>
                <wp:inline distT="0" distB="0" distL="0" distR="0">
                  <wp:extent cx="111125" cy="97790"/>
                  <wp:effectExtent l="0" t="0" r="3175" b="16510"/>
                  <wp:docPr id="169" name="IM 91"/>
                  <wp:cNvGraphicFramePr/>
                  <a:graphic xmlns:a="http://schemas.openxmlformats.org/drawingml/2006/main">
                    <a:graphicData uri="http://schemas.openxmlformats.org/drawingml/2006/picture">
                      <pic:pic xmlns:pic="http://schemas.openxmlformats.org/drawingml/2006/picture">
                        <pic:nvPicPr>
                          <pic:cNvPr id="169" name="IM 91"/>
                          <pic:cNvPicPr/>
                        </pic:nvPicPr>
                        <pic:blipFill>
                          <a:blip r:embed="rId54"/>
                          <a:stretch>
                            <a:fillRect/>
                          </a:stretch>
                        </pic:blipFill>
                        <pic:spPr>
                          <a:xfrm>
                            <a:off x="0" y="0"/>
                            <a:ext cx="111513" cy="97878"/>
                          </a:xfrm>
                          <a:prstGeom prst="rect">
                            <a:avLst/>
                          </a:prstGeom>
                        </pic:spPr>
                      </pic:pic>
                    </a:graphicData>
                  </a:graphic>
                </wp:inline>
              </w:drawing>
            </w:r>
            <w:r>
              <w:rPr>
                <w:rFonts w:cs="宋体"/>
                <w:sz w:val="21"/>
                <w:szCs w:val="21"/>
              </w:rPr>
              <w:t>；春季</w:t>
            </w:r>
            <w:r>
              <w:rPr>
                <w:sz w:val="21"/>
                <w:szCs w:val="21"/>
              </w:rPr>
              <w:drawing>
                <wp:inline distT="0" distB="0" distL="0" distR="0">
                  <wp:extent cx="111125" cy="97790"/>
                  <wp:effectExtent l="0" t="0" r="3175" b="16510"/>
                  <wp:docPr id="170" name="IM 92"/>
                  <wp:cNvGraphicFramePr/>
                  <a:graphic xmlns:a="http://schemas.openxmlformats.org/drawingml/2006/main">
                    <a:graphicData uri="http://schemas.openxmlformats.org/drawingml/2006/picture">
                      <pic:pic xmlns:pic="http://schemas.openxmlformats.org/drawingml/2006/picture">
                        <pic:nvPicPr>
                          <pic:cNvPr id="170" name="IM 92"/>
                          <pic:cNvPicPr/>
                        </pic:nvPicPr>
                        <pic:blipFill>
                          <a:blip r:embed="rId53"/>
                          <a:stretch>
                            <a:fillRect/>
                          </a:stretch>
                        </pic:blipFill>
                        <pic:spPr>
                          <a:xfrm>
                            <a:off x="0" y="0"/>
                            <a:ext cx="111513" cy="97878"/>
                          </a:xfrm>
                          <a:prstGeom prst="rect">
                            <a:avLst/>
                          </a:prstGeom>
                        </pic:spPr>
                      </pic:pic>
                    </a:graphicData>
                  </a:graphic>
                </wp:inline>
              </w:drawing>
            </w:r>
            <w:r>
              <w:rPr>
                <w:rFonts w:cs="宋体"/>
                <w:sz w:val="21"/>
                <w:szCs w:val="21"/>
              </w:rPr>
              <w:t>；夏季</w:t>
            </w:r>
            <w:r>
              <w:rPr>
                <w:sz w:val="21"/>
                <w:szCs w:val="21"/>
              </w:rPr>
              <w:drawing>
                <wp:inline distT="0" distB="0" distL="0" distR="0">
                  <wp:extent cx="111125" cy="97790"/>
                  <wp:effectExtent l="0" t="0" r="3175" b="16510"/>
                  <wp:docPr id="171" name="IM 93"/>
                  <wp:cNvGraphicFramePr/>
                  <a:graphic xmlns:a="http://schemas.openxmlformats.org/drawingml/2006/main">
                    <a:graphicData uri="http://schemas.openxmlformats.org/drawingml/2006/picture">
                      <pic:pic xmlns:pic="http://schemas.openxmlformats.org/drawingml/2006/picture">
                        <pic:nvPicPr>
                          <pic:cNvPr id="171" name="IM 93"/>
                          <pic:cNvPicPr/>
                        </pic:nvPicPr>
                        <pic:blipFill>
                          <a:blip r:embed="rId54"/>
                          <a:stretch>
                            <a:fillRect/>
                          </a:stretch>
                        </pic:blipFill>
                        <pic:spPr>
                          <a:xfrm>
                            <a:off x="0" y="0"/>
                            <a:ext cx="111514" cy="97878"/>
                          </a:xfrm>
                          <a:prstGeom prst="rect">
                            <a:avLst/>
                          </a:prstGeom>
                        </pic:spPr>
                      </pic:pic>
                    </a:graphicData>
                  </a:graphic>
                </wp:inline>
              </w:drawing>
            </w:r>
            <w:r>
              <w:rPr>
                <w:rFonts w:cs="宋体"/>
                <w:sz w:val="21"/>
                <w:szCs w:val="21"/>
              </w:rPr>
              <w:t>；秋季</w:t>
            </w:r>
            <w:r>
              <w:rPr>
                <w:sz w:val="21"/>
                <w:szCs w:val="21"/>
              </w:rPr>
              <w:drawing>
                <wp:inline distT="0" distB="0" distL="0" distR="0">
                  <wp:extent cx="111125" cy="97790"/>
                  <wp:effectExtent l="0" t="0" r="3175" b="16510"/>
                  <wp:docPr id="172" name="IM 94"/>
                  <wp:cNvGraphicFramePr/>
                  <a:graphic xmlns:a="http://schemas.openxmlformats.org/drawingml/2006/main">
                    <a:graphicData uri="http://schemas.openxmlformats.org/drawingml/2006/picture">
                      <pic:pic xmlns:pic="http://schemas.openxmlformats.org/drawingml/2006/picture">
                        <pic:nvPicPr>
                          <pic:cNvPr id="172" name="IM 94"/>
                          <pic:cNvPicPr/>
                        </pic:nvPicPr>
                        <pic:blipFill>
                          <a:blip r:embed="rId53"/>
                          <a:stretch>
                            <a:fillRect/>
                          </a:stretch>
                        </pic:blipFill>
                        <pic:spPr>
                          <a:xfrm>
                            <a:off x="0" y="0"/>
                            <a:ext cx="111514" cy="97878"/>
                          </a:xfrm>
                          <a:prstGeom prst="rect">
                            <a:avLst/>
                          </a:prstGeom>
                        </pic:spPr>
                      </pic:pic>
                    </a:graphicData>
                  </a:graphic>
                </wp:inline>
              </w:drawing>
            </w:r>
            <w:r>
              <w:rPr>
                <w:rFonts w:cs="宋体"/>
                <w:sz w:val="21"/>
                <w:szCs w:val="21"/>
              </w:rPr>
              <w:t>；冬季</w:t>
            </w:r>
            <w:r>
              <w:rPr>
                <w:sz w:val="21"/>
              </w:rPr>
              <w:drawing>
                <wp:inline distT="0" distB="0" distL="0" distR="0">
                  <wp:extent cx="95885" cy="97790"/>
                  <wp:effectExtent l="0" t="0" r="18415" b="16510"/>
                  <wp:docPr id="173" name="IM 95"/>
                  <wp:cNvGraphicFramePr/>
                  <a:graphic xmlns:a="http://schemas.openxmlformats.org/drawingml/2006/main">
                    <a:graphicData uri="http://schemas.openxmlformats.org/drawingml/2006/picture">
                      <pic:pic xmlns:pic="http://schemas.openxmlformats.org/drawingml/2006/picture">
                        <pic:nvPicPr>
                          <pic:cNvPr id="173" name="IM 95"/>
                          <pic:cNvPicPr/>
                        </pic:nvPicPr>
                        <pic:blipFill>
                          <a:blip r:embed="rId53"/>
                          <a:stretch>
                            <a:fillRect/>
                          </a:stretch>
                        </pic:blipFill>
                        <pic:spPr>
                          <a:xfrm>
                            <a:off x="0" y="0"/>
                            <a:ext cx="96412" cy="97878"/>
                          </a:xfrm>
                          <a:prstGeom prst="rect">
                            <a:avLst/>
                          </a:prstGeom>
                        </pic:spPr>
                      </pic:pic>
                    </a:graphicData>
                  </a:graphic>
                </wp:inline>
              </w:drawing>
            </w:r>
          </w:p>
        </w:tc>
        <w:tc>
          <w:tcPr>
            <w:tcW w:w="1953" w:type="pct"/>
            <w:gridSpan w:val="7"/>
            <w:tcBorders>
              <w:tl2br w:val="nil"/>
              <w:tr2bl w:val="nil"/>
            </w:tcBorders>
            <w:vAlign w:val="center"/>
          </w:tcPr>
          <w:p w14:paraId="5BD6572B">
            <w:pPr>
              <w:ind w:firstLine="0" w:firstLineChars="0"/>
              <w:jc w:val="center"/>
              <w:rPr>
                <w:rFonts w:cs="宋体"/>
                <w:sz w:val="21"/>
                <w:szCs w:val="21"/>
              </w:rPr>
            </w:pPr>
          </w:p>
          <w:p w14:paraId="48DAE3FD">
            <w:pPr>
              <w:ind w:firstLine="0" w:firstLineChars="0"/>
              <w:jc w:val="center"/>
              <w:rPr>
                <w:sz w:val="21"/>
                <w:szCs w:val="21"/>
              </w:rPr>
            </w:pPr>
            <w:r>
              <w:rPr>
                <w:rFonts w:cs="宋体"/>
                <w:sz w:val="21"/>
                <w:szCs w:val="21"/>
              </w:rPr>
              <w:t>水行政主管部门</w:t>
            </w:r>
            <w:r>
              <w:rPr>
                <w:sz w:val="21"/>
                <w:szCs w:val="21"/>
              </w:rPr>
              <w:drawing>
                <wp:inline distT="0" distB="0" distL="0" distR="0">
                  <wp:extent cx="113030" cy="97790"/>
                  <wp:effectExtent l="0" t="0" r="1270" b="16510"/>
                  <wp:docPr id="174" name="IM 96"/>
                  <wp:cNvGraphicFramePr/>
                  <a:graphic xmlns:a="http://schemas.openxmlformats.org/drawingml/2006/main">
                    <a:graphicData uri="http://schemas.openxmlformats.org/drawingml/2006/picture">
                      <pic:pic xmlns:pic="http://schemas.openxmlformats.org/drawingml/2006/picture">
                        <pic:nvPicPr>
                          <pic:cNvPr id="174" name="IM 96"/>
                          <pic:cNvPicPr/>
                        </pic:nvPicPr>
                        <pic:blipFill>
                          <a:blip r:embed="rId54"/>
                          <a:stretch>
                            <a:fillRect/>
                          </a:stretch>
                        </pic:blipFill>
                        <pic:spPr>
                          <a:xfrm>
                            <a:off x="0" y="0"/>
                            <a:ext cx="113080" cy="97878"/>
                          </a:xfrm>
                          <a:prstGeom prst="rect">
                            <a:avLst/>
                          </a:prstGeom>
                        </pic:spPr>
                      </pic:pic>
                    </a:graphicData>
                  </a:graphic>
                </wp:inline>
              </w:drawing>
            </w:r>
            <w:r>
              <w:rPr>
                <w:rFonts w:cs="宋体"/>
                <w:sz w:val="21"/>
                <w:szCs w:val="21"/>
              </w:rPr>
              <w:t>；补充监测</w:t>
            </w:r>
            <w:r>
              <w:rPr>
                <w:sz w:val="21"/>
                <w:szCs w:val="21"/>
              </w:rPr>
              <w:drawing>
                <wp:inline distT="0" distB="0" distL="0" distR="0">
                  <wp:extent cx="113030" cy="97790"/>
                  <wp:effectExtent l="0" t="0" r="1270" b="16510"/>
                  <wp:docPr id="175" name="IM 97"/>
                  <wp:cNvGraphicFramePr/>
                  <a:graphic xmlns:a="http://schemas.openxmlformats.org/drawingml/2006/main">
                    <a:graphicData uri="http://schemas.openxmlformats.org/drawingml/2006/picture">
                      <pic:pic xmlns:pic="http://schemas.openxmlformats.org/drawingml/2006/picture">
                        <pic:nvPicPr>
                          <pic:cNvPr id="175" name="IM 97"/>
                          <pic:cNvPicPr/>
                        </pic:nvPicPr>
                        <pic:blipFill>
                          <a:blip r:embed="rId53"/>
                          <a:stretch>
                            <a:fillRect/>
                          </a:stretch>
                        </pic:blipFill>
                        <pic:spPr>
                          <a:xfrm>
                            <a:off x="0" y="0"/>
                            <a:ext cx="113080" cy="97878"/>
                          </a:xfrm>
                          <a:prstGeom prst="rect">
                            <a:avLst/>
                          </a:prstGeom>
                        </pic:spPr>
                      </pic:pic>
                    </a:graphicData>
                  </a:graphic>
                </wp:inline>
              </w:drawing>
            </w:r>
            <w:r>
              <w:rPr>
                <w:rFonts w:cs="宋体"/>
                <w:sz w:val="21"/>
                <w:szCs w:val="21"/>
              </w:rPr>
              <w:t>；其他</w:t>
            </w:r>
            <w:r>
              <w:rPr>
                <w:sz w:val="21"/>
                <w:szCs w:val="21"/>
              </w:rPr>
              <w:drawing>
                <wp:inline distT="0" distB="0" distL="0" distR="0">
                  <wp:extent cx="107315" cy="97790"/>
                  <wp:effectExtent l="0" t="0" r="6985" b="16510"/>
                  <wp:docPr id="176" name="IM 98"/>
                  <wp:cNvGraphicFramePr/>
                  <a:graphic xmlns:a="http://schemas.openxmlformats.org/drawingml/2006/main">
                    <a:graphicData uri="http://schemas.openxmlformats.org/drawingml/2006/picture">
                      <pic:pic xmlns:pic="http://schemas.openxmlformats.org/drawingml/2006/picture">
                        <pic:nvPicPr>
                          <pic:cNvPr id="176" name="IM 98"/>
                          <pic:cNvPicPr/>
                        </pic:nvPicPr>
                        <pic:blipFill>
                          <a:blip r:embed="rId53"/>
                          <a:stretch>
                            <a:fillRect/>
                          </a:stretch>
                        </pic:blipFill>
                        <pic:spPr>
                          <a:xfrm>
                            <a:off x="0" y="0"/>
                            <a:ext cx="107613" cy="97878"/>
                          </a:xfrm>
                          <a:prstGeom prst="rect">
                            <a:avLst/>
                          </a:prstGeom>
                        </pic:spPr>
                      </pic:pic>
                    </a:graphicData>
                  </a:graphic>
                </wp:inline>
              </w:drawing>
            </w:r>
          </w:p>
        </w:tc>
      </w:tr>
      <w:tr w14:paraId="55011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5" w:hRule="atLeast"/>
          <w:jc w:val="center"/>
        </w:trPr>
        <w:tc>
          <w:tcPr>
            <w:tcW w:w="258" w:type="pct"/>
            <w:vMerge w:val="continue"/>
            <w:tcBorders>
              <w:tl2br w:val="nil"/>
              <w:tr2bl w:val="nil"/>
            </w:tcBorders>
            <w:vAlign w:val="center"/>
          </w:tcPr>
          <w:p w14:paraId="2ECEF722">
            <w:pPr>
              <w:ind w:firstLine="0" w:firstLineChars="0"/>
              <w:jc w:val="center"/>
              <w:rPr>
                <w:sz w:val="21"/>
              </w:rPr>
            </w:pPr>
          </w:p>
        </w:tc>
        <w:tc>
          <w:tcPr>
            <w:tcW w:w="831" w:type="pct"/>
            <w:vMerge w:val="continue"/>
            <w:tcBorders>
              <w:tl2br w:val="nil"/>
              <w:tr2bl w:val="nil"/>
            </w:tcBorders>
            <w:vAlign w:val="center"/>
          </w:tcPr>
          <w:p w14:paraId="54EB9536">
            <w:pPr>
              <w:ind w:firstLine="0" w:firstLineChars="0"/>
              <w:jc w:val="center"/>
              <w:rPr>
                <w:rFonts w:cs="宋体"/>
                <w:sz w:val="21"/>
                <w:szCs w:val="21"/>
              </w:rPr>
            </w:pPr>
          </w:p>
        </w:tc>
        <w:tc>
          <w:tcPr>
            <w:tcW w:w="1956" w:type="pct"/>
            <w:gridSpan w:val="6"/>
            <w:tcBorders>
              <w:tl2br w:val="nil"/>
              <w:tr2bl w:val="nil"/>
            </w:tcBorders>
            <w:vAlign w:val="center"/>
          </w:tcPr>
          <w:p w14:paraId="6CC82BDB">
            <w:pPr>
              <w:ind w:firstLine="0" w:firstLineChars="0"/>
              <w:jc w:val="center"/>
              <w:rPr>
                <w:rFonts w:cs="宋体"/>
                <w:sz w:val="21"/>
                <w:szCs w:val="21"/>
              </w:rPr>
            </w:pPr>
            <w:r>
              <w:rPr>
                <w:rFonts w:cs="宋体"/>
                <w:sz w:val="21"/>
                <w:szCs w:val="21"/>
              </w:rPr>
              <w:t>监测时间</w:t>
            </w:r>
          </w:p>
        </w:tc>
        <w:tc>
          <w:tcPr>
            <w:tcW w:w="1253" w:type="pct"/>
            <w:gridSpan w:val="6"/>
            <w:tcBorders>
              <w:tl2br w:val="nil"/>
              <w:tr2bl w:val="nil"/>
            </w:tcBorders>
            <w:vAlign w:val="center"/>
          </w:tcPr>
          <w:p w14:paraId="56475855">
            <w:pPr>
              <w:ind w:firstLine="0" w:firstLineChars="0"/>
              <w:jc w:val="center"/>
              <w:rPr>
                <w:rFonts w:cs="宋体"/>
                <w:sz w:val="21"/>
                <w:szCs w:val="21"/>
              </w:rPr>
            </w:pPr>
            <w:r>
              <w:rPr>
                <w:rFonts w:cs="宋体"/>
                <w:sz w:val="21"/>
                <w:szCs w:val="21"/>
              </w:rPr>
              <w:t>监测因子</w:t>
            </w:r>
          </w:p>
        </w:tc>
        <w:tc>
          <w:tcPr>
            <w:tcW w:w="699" w:type="pct"/>
            <w:tcBorders>
              <w:tl2br w:val="nil"/>
              <w:tr2bl w:val="nil"/>
            </w:tcBorders>
            <w:vAlign w:val="center"/>
          </w:tcPr>
          <w:p w14:paraId="0A14A4C0">
            <w:pPr>
              <w:ind w:firstLine="0" w:firstLineChars="0"/>
              <w:jc w:val="center"/>
              <w:rPr>
                <w:rFonts w:cs="宋体"/>
                <w:sz w:val="21"/>
                <w:szCs w:val="21"/>
              </w:rPr>
            </w:pPr>
            <w:r>
              <w:rPr>
                <w:rFonts w:cs="宋体"/>
                <w:sz w:val="21"/>
                <w:szCs w:val="21"/>
              </w:rPr>
              <w:t>监测断面或点位</w:t>
            </w:r>
          </w:p>
        </w:tc>
      </w:tr>
      <w:tr w14:paraId="7E0BA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5" w:hRule="atLeast"/>
          <w:jc w:val="center"/>
        </w:trPr>
        <w:tc>
          <w:tcPr>
            <w:tcW w:w="258" w:type="pct"/>
            <w:vMerge w:val="continue"/>
            <w:tcBorders>
              <w:tl2br w:val="nil"/>
              <w:tr2bl w:val="nil"/>
            </w:tcBorders>
            <w:vAlign w:val="center"/>
          </w:tcPr>
          <w:p w14:paraId="257C0F33">
            <w:pPr>
              <w:ind w:firstLine="0" w:firstLineChars="0"/>
              <w:jc w:val="center"/>
              <w:rPr>
                <w:sz w:val="21"/>
              </w:rPr>
            </w:pPr>
          </w:p>
        </w:tc>
        <w:tc>
          <w:tcPr>
            <w:tcW w:w="831" w:type="pct"/>
            <w:vMerge w:val="continue"/>
            <w:tcBorders>
              <w:tl2br w:val="nil"/>
              <w:tr2bl w:val="nil"/>
            </w:tcBorders>
            <w:vAlign w:val="center"/>
          </w:tcPr>
          <w:p w14:paraId="235FE0CF">
            <w:pPr>
              <w:ind w:firstLine="0" w:firstLineChars="0"/>
              <w:jc w:val="center"/>
              <w:rPr>
                <w:sz w:val="21"/>
              </w:rPr>
            </w:pPr>
          </w:p>
        </w:tc>
        <w:tc>
          <w:tcPr>
            <w:tcW w:w="1956" w:type="pct"/>
            <w:gridSpan w:val="6"/>
            <w:tcBorders>
              <w:tl2br w:val="nil"/>
              <w:tr2bl w:val="nil"/>
            </w:tcBorders>
            <w:vAlign w:val="center"/>
          </w:tcPr>
          <w:p w14:paraId="30403167">
            <w:pPr>
              <w:ind w:firstLine="0" w:firstLineChars="0"/>
              <w:jc w:val="center"/>
              <w:rPr>
                <w:sz w:val="21"/>
              </w:rPr>
            </w:pPr>
            <w:r>
              <w:rPr>
                <w:rFonts w:cs="宋体"/>
                <w:sz w:val="21"/>
                <w:szCs w:val="21"/>
              </w:rPr>
              <w:t>丰水期</w:t>
            </w:r>
            <w:r>
              <w:rPr>
                <w:sz w:val="21"/>
                <w:szCs w:val="21"/>
              </w:rPr>
              <w:drawing>
                <wp:inline distT="0" distB="0" distL="0" distR="0">
                  <wp:extent cx="113030" cy="97790"/>
                  <wp:effectExtent l="0" t="0" r="1270" b="16510"/>
                  <wp:docPr id="177" name="IM 99"/>
                  <wp:cNvGraphicFramePr/>
                  <a:graphic xmlns:a="http://schemas.openxmlformats.org/drawingml/2006/main">
                    <a:graphicData uri="http://schemas.openxmlformats.org/drawingml/2006/picture">
                      <pic:pic xmlns:pic="http://schemas.openxmlformats.org/drawingml/2006/picture">
                        <pic:nvPicPr>
                          <pic:cNvPr id="177" name="IM 99"/>
                          <pic:cNvPicPr/>
                        </pic:nvPicPr>
                        <pic:blipFill>
                          <a:blip r:embed="rId51"/>
                          <a:stretch>
                            <a:fillRect/>
                          </a:stretch>
                        </pic:blipFill>
                        <pic:spPr>
                          <a:xfrm>
                            <a:off x="0" y="0"/>
                            <a:ext cx="113480" cy="97878"/>
                          </a:xfrm>
                          <a:prstGeom prst="rect">
                            <a:avLst/>
                          </a:prstGeom>
                        </pic:spPr>
                      </pic:pic>
                    </a:graphicData>
                  </a:graphic>
                </wp:inline>
              </w:drawing>
            </w:r>
            <w:r>
              <w:rPr>
                <w:rFonts w:cs="宋体"/>
                <w:sz w:val="21"/>
                <w:szCs w:val="21"/>
              </w:rPr>
              <w:t>；平水期</w:t>
            </w:r>
            <w:r>
              <w:rPr>
                <w:sz w:val="21"/>
                <w:szCs w:val="21"/>
              </w:rPr>
              <w:drawing>
                <wp:inline distT="0" distB="0" distL="0" distR="0">
                  <wp:extent cx="113030" cy="97790"/>
                  <wp:effectExtent l="0" t="0" r="1270" b="16510"/>
                  <wp:docPr id="178" name="IM 100"/>
                  <wp:cNvGraphicFramePr/>
                  <a:graphic xmlns:a="http://schemas.openxmlformats.org/drawingml/2006/main">
                    <a:graphicData uri="http://schemas.openxmlformats.org/drawingml/2006/picture">
                      <pic:pic xmlns:pic="http://schemas.openxmlformats.org/drawingml/2006/picture">
                        <pic:nvPicPr>
                          <pic:cNvPr id="178" name="IM 100"/>
                          <pic:cNvPicPr/>
                        </pic:nvPicPr>
                        <pic:blipFill>
                          <a:blip r:embed="rId51"/>
                          <a:stretch>
                            <a:fillRect/>
                          </a:stretch>
                        </pic:blipFill>
                        <pic:spPr>
                          <a:xfrm>
                            <a:off x="0" y="0"/>
                            <a:ext cx="113481" cy="97878"/>
                          </a:xfrm>
                          <a:prstGeom prst="rect">
                            <a:avLst/>
                          </a:prstGeom>
                        </pic:spPr>
                      </pic:pic>
                    </a:graphicData>
                  </a:graphic>
                </wp:inline>
              </w:drawing>
            </w:r>
            <w:r>
              <w:rPr>
                <w:rFonts w:cs="宋体"/>
                <w:sz w:val="21"/>
                <w:szCs w:val="21"/>
              </w:rPr>
              <w:t>；枯水期</w:t>
            </w:r>
            <w:r>
              <w:rPr>
                <w:sz w:val="21"/>
                <w:szCs w:val="21"/>
              </w:rPr>
              <w:drawing>
                <wp:inline distT="0" distB="0" distL="0" distR="0">
                  <wp:extent cx="113030" cy="97790"/>
                  <wp:effectExtent l="0" t="0" r="1270" b="16510"/>
                  <wp:docPr id="179" name="IM 101"/>
                  <wp:cNvGraphicFramePr/>
                  <a:graphic xmlns:a="http://schemas.openxmlformats.org/drawingml/2006/main">
                    <a:graphicData uri="http://schemas.openxmlformats.org/drawingml/2006/picture">
                      <pic:pic xmlns:pic="http://schemas.openxmlformats.org/drawingml/2006/picture">
                        <pic:nvPicPr>
                          <pic:cNvPr id="179" name="IM 101"/>
                          <pic:cNvPicPr/>
                        </pic:nvPicPr>
                        <pic:blipFill>
                          <a:blip r:embed="rId51"/>
                          <a:stretch>
                            <a:fillRect/>
                          </a:stretch>
                        </pic:blipFill>
                        <pic:spPr>
                          <a:xfrm>
                            <a:off x="0" y="0"/>
                            <a:ext cx="113481" cy="97878"/>
                          </a:xfrm>
                          <a:prstGeom prst="rect">
                            <a:avLst/>
                          </a:prstGeom>
                        </pic:spPr>
                      </pic:pic>
                    </a:graphicData>
                  </a:graphic>
                </wp:inline>
              </w:drawing>
            </w:r>
            <w:r>
              <w:rPr>
                <w:rFonts w:cs="宋体"/>
                <w:sz w:val="21"/>
                <w:szCs w:val="21"/>
              </w:rPr>
              <w:t>；冰封期</w:t>
            </w:r>
            <w:r>
              <w:rPr>
                <w:sz w:val="21"/>
                <w:szCs w:val="21"/>
              </w:rPr>
              <w:drawing>
                <wp:inline distT="0" distB="0" distL="0" distR="0">
                  <wp:extent cx="111125" cy="97790"/>
                  <wp:effectExtent l="0" t="0" r="3175" b="16510"/>
                  <wp:docPr id="180" name="IM 102"/>
                  <wp:cNvGraphicFramePr/>
                  <a:graphic xmlns:a="http://schemas.openxmlformats.org/drawingml/2006/main">
                    <a:graphicData uri="http://schemas.openxmlformats.org/drawingml/2006/picture">
                      <pic:pic xmlns:pic="http://schemas.openxmlformats.org/drawingml/2006/picture">
                        <pic:nvPicPr>
                          <pic:cNvPr id="180" name="IM 102"/>
                          <pic:cNvPicPr/>
                        </pic:nvPicPr>
                        <pic:blipFill>
                          <a:blip r:embed="rId58"/>
                          <a:stretch>
                            <a:fillRect/>
                          </a:stretch>
                        </pic:blipFill>
                        <pic:spPr>
                          <a:xfrm>
                            <a:off x="0" y="0"/>
                            <a:ext cx="111513" cy="97878"/>
                          </a:xfrm>
                          <a:prstGeom prst="rect">
                            <a:avLst/>
                          </a:prstGeom>
                        </pic:spPr>
                      </pic:pic>
                    </a:graphicData>
                  </a:graphic>
                </wp:inline>
              </w:drawing>
            </w:r>
            <w:r>
              <w:rPr>
                <w:rFonts w:cs="宋体"/>
                <w:sz w:val="21"/>
                <w:szCs w:val="21"/>
              </w:rPr>
              <w:t>；春季</w:t>
            </w:r>
            <w:r>
              <w:rPr>
                <w:sz w:val="21"/>
                <w:szCs w:val="21"/>
              </w:rPr>
              <w:drawing>
                <wp:inline distT="0" distB="0" distL="0" distR="0">
                  <wp:extent cx="111125" cy="97790"/>
                  <wp:effectExtent l="0" t="0" r="3175" b="16510"/>
                  <wp:docPr id="181" name="IM 103"/>
                  <wp:cNvGraphicFramePr/>
                  <a:graphic xmlns:a="http://schemas.openxmlformats.org/drawingml/2006/main">
                    <a:graphicData uri="http://schemas.openxmlformats.org/drawingml/2006/picture">
                      <pic:pic xmlns:pic="http://schemas.openxmlformats.org/drawingml/2006/picture">
                        <pic:nvPicPr>
                          <pic:cNvPr id="181" name="IM 103"/>
                          <pic:cNvPicPr/>
                        </pic:nvPicPr>
                        <pic:blipFill>
                          <a:blip r:embed="rId51"/>
                          <a:stretch>
                            <a:fillRect/>
                          </a:stretch>
                        </pic:blipFill>
                        <pic:spPr>
                          <a:xfrm>
                            <a:off x="0" y="0"/>
                            <a:ext cx="111513" cy="97878"/>
                          </a:xfrm>
                          <a:prstGeom prst="rect">
                            <a:avLst/>
                          </a:prstGeom>
                        </pic:spPr>
                      </pic:pic>
                    </a:graphicData>
                  </a:graphic>
                </wp:inline>
              </w:drawing>
            </w:r>
            <w:r>
              <w:rPr>
                <w:rFonts w:cs="宋体"/>
                <w:sz w:val="21"/>
                <w:szCs w:val="21"/>
              </w:rPr>
              <w:t>；夏季</w:t>
            </w:r>
            <w:r>
              <w:rPr>
                <w:sz w:val="21"/>
                <w:szCs w:val="21"/>
              </w:rPr>
              <w:drawing>
                <wp:inline distT="0" distB="0" distL="0" distR="0">
                  <wp:extent cx="111125" cy="97790"/>
                  <wp:effectExtent l="0" t="0" r="3175" b="16510"/>
                  <wp:docPr id="182" name="IM 104"/>
                  <wp:cNvGraphicFramePr/>
                  <a:graphic xmlns:a="http://schemas.openxmlformats.org/drawingml/2006/main">
                    <a:graphicData uri="http://schemas.openxmlformats.org/drawingml/2006/picture">
                      <pic:pic xmlns:pic="http://schemas.openxmlformats.org/drawingml/2006/picture">
                        <pic:nvPicPr>
                          <pic:cNvPr id="182" name="IM 104"/>
                          <pic:cNvPicPr/>
                        </pic:nvPicPr>
                        <pic:blipFill>
                          <a:blip r:embed="rId58"/>
                          <a:stretch>
                            <a:fillRect/>
                          </a:stretch>
                        </pic:blipFill>
                        <pic:spPr>
                          <a:xfrm>
                            <a:off x="0" y="0"/>
                            <a:ext cx="111514" cy="97878"/>
                          </a:xfrm>
                          <a:prstGeom prst="rect">
                            <a:avLst/>
                          </a:prstGeom>
                        </pic:spPr>
                      </pic:pic>
                    </a:graphicData>
                  </a:graphic>
                </wp:inline>
              </w:drawing>
            </w:r>
            <w:r>
              <w:rPr>
                <w:rFonts w:cs="宋体"/>
                <w:sz w:val="21"/>
                <w:szCs w:val="21"/>
              </w:rPr>
              <w:t>；秋季</w:t>
            </w:r>
            <w:r>
              <w:rPr>
                <w:sz w:val="21"/>
                <w:szCs w:val="21"/>
              </w:rPr>
              <w:drawing>
                <wp:inline distT="0" distB="0" distL="0" distR="0">
                  <wp:extent cx="111125" cy="97790"/>
                  <wp:effectExtent l="0" t="0" r="3175" b="16510"/>
                  <wp:docPr id="183" name="IM 105"/>
                  <wp:cNvGraphicFramePr/>
                  <a:graphic xmlns:a="http://schemas.openxmlformats.org/drawingml/2006/main">
                    <a:graphicData uri="http://schemas.openxmlformats.org/drawingml/2006/picture">
                      <pic:pic xmlns:pic="http://schemas.openxmlformats.org/drawingml/2006/picture">
                        <pic:nvPicPr>
                          <pic:cNvPr id="183" name="IM 105"/>
                          <pic:cNvPicPr/>
                        </pic:nvPicPr>
                        <pic:blipFill>
                          <a:blip r:embed="rId51"/>
                          <a:stretch>
                            <a:fillRect/>
                          </a:stretch>
                        </pic:blipFill>
                        <pic:spPr>
                          <a:xfrm>
                            <a:off x="0" y="0"/>
                            <a:ext cx="111514" cy="97878"/>
                          </a:xfrm>
                          <a:prstGeom prst="rect">
                            <a:avLst/>
                          </a:prstGeom>
                        </pic:spPr>
                      </pic:pic>
                    </a:graphicData>
                  </a:graphic>
                </wp:inline>
              </w:drawing>
            </w:r>
            <w:r>
              <w:rPr>
                <w:rFonts w:cs="宋体"/>
                <w:sz w:val="21"/>
                <w:szCs w:val="21"/>
              </w:rPr>
              <w:t>；冬季</w:t>
            </w:r>
            <w:r>
              <w:rPr>
                <w:sz w:val="21"/>
              </w:rPr>
              <w:drawing>
                <wp:inline distT="0" distB="0" distL="0" distR="0">
                  <wp:extent cx="95885" cy="97790"/>
                  <wp:effectExtent l="0" t="0" r="18415" b="16510"/>
                  <wp:docPr id="184" name="IM 106"/>
                  <wp:cNvGraphicFramePr/>
                  <a:graphic xmlns:a="http://schemas.openxmlformats.org/drawingml/2006/main">
                    <a:graphicData uri="http://schemas.openxmlformats.org/drawingml/2006/picture">
                      <pic:pic xmlns:pic="http://schemas.openxmlformats.org/drawingml/2006/picture">
                        <pic:nvPicPr>
                          <pic:cNvPr id="184" name="IM 106"/>
                          <pic:cNvPicPr/>
                        </pic:nvPicPr>
                        <pic:blipFill>
                          <a:blip r:embed="rId51"/>
                          <a:stretch>
                            <a:fillRect/>
                          </a:stretch>
                        </pic:blipFill>
                        <pic:spPr>
                          <a:xfrm>
                            <a:off x="0" y="0"/>
                            <a:ext cx="96412" cy="97878"/>
                          </a:xfrm>
                          <a:prstGeom prst="rect">
                            <a:avLst/>
                          </a:prstGeom>
                        </pic:spPr>
                      </pic:pic>
                    </a:graphicData>
                  </a:graphic>
                </wp:inline>
              </w:drawing>
            </w:r>
          </w:p>
        </w:tc>
        <w:tc>
          <w:tcPr>
            <w:tcW w:w="1253" w:type="pct"/>
            <w:gridSpan w:val="6"/>
            <w:tcBorders>
              <w:tl2br w:val="nil"/>
              <w:tr2bl w:val="nil"/>
            </w:tcBorders>
            <w:vAlign w:val="center"/>
          </w:tcPr>
          <w:p w14:paraId="29B40BD8">
            <w:pPr>
              <w:ind w:firstLine="0" w:firstLineChars="0"/>
              <w:jc w:val="center"/>
              <w:rPr>
                <w:sz w:val="21"/>
              </w:rPr>
            </w:pPr>
          </w:p>
          <w:p w14:paraId="7B37259F">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c>
          <w:tcPr>
            <w:tcW w:w="699" w:type="pct"/>
            <w:tcBorders>
              <w:tl2br w:val="nil"/>
              <w:tr2bl w:val="nil"/>
            </w:tcBorders>
            <w:vAlign w:val="center"/>
          </w:tcPr>
          <w:p w14:paraId="0DAB41E5">
            <w:pPr>
              <w:ind w:firstLine="0" w:firstLineChars="0"/>
              <w:jc w:val="center"/>
              <w:rPr>
                <w:rFonts w:cs="宋体"/>
                <w:sz w:val="21"/>
                <w:szCs w:val="21"/>
              </w:rPr>
            </w:pPr>
            <w:r>
              <w:rPr>
                <w:rFonts w:cs="宋体"/>
                <w:sz w:val="21"/>
                <w:szCs w:val="21"/>
              </w:rPr>
              <w:t>监测断面或点位个数</w:t>
            </w:r>
            <w:r>
              <w:rPr>
                <w:rFonts w:hint="eastAsia" w:cs="宋体"/>
                <w:sz w:val="21"/>
                <w:szCs w:val="21"/>
              </w:rPr>
              <w:t>（</w:t>
            </w:r>
            <w:r>
              <w:rPr>
                <w:sz w:val="21"/>
                <w:szCs w:val="21"/>
              </w:rPr>
              <w:t>/</w:t>
            </w:r>
            <w:r>
              <w:rPr>
                <w:rFonts w:hint="eastAsia" w:cs="宋体"/>
                <w:sz w:val="21"/>
                <w:szCs w:val="21"/>
              </w:rPr>
              <w:t>）</w:t>
            </w:r>
            <w:r>
              <w:rPr>
                <w:rFonts w:cs="宋体"/>
                <w:sz w:val="21"/>
                <w:szCs w:val="21"/>
              </w:rPr>
              <w:t>个</w:t>
            </w:r>
          </w:p>
        </w:tc>
      </w:tr>
      <w:tr w14:paraId="33DFF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restart"/>
            <w:tcBorders>
              <w:tl2br w:val="nil"/>
              <w:tr2bl w:val="nil"/>
            </w:tcBorders>
            <w:textDirection w:val="tbRlV"/>
            <w:vAlign w:val="center"/>
          </w:tcPr>
          <w:p w14:paraId="213FD809">
            <w:pPr>
              <w:ind w:firstLine="0" w:firstLineChars="0"/>
              <w:jc w:val="center"/>
              <w:rPr>
                <w:rFonts w:cs="宋体"/>
                <w:sz w:val="21"/>
                <w:szCs w:val="21"/>
              </w:rPr>
            </w:pPr>
            <w:r>
              <w:rPr>
                <w:rFonts w:cs="宋体"/>
                <w:sz w:val="21"/>
                <w:szCs w:val="21"/>
              </w:rPr>
              <w:t>现状评价</w:t>
            </w:r>
          </w:p>
        </w:tc>
        <w:tc>
          <w:tcPr>
            <w:tcW w:w="831" w:type="pct"/>
            <w:tcBorders>
              <w:tl2br w:val="nil"/>
              <w:tr2bl w:val="nil"/>
            </w:tcBorders>
            <w:vAlign w:val="center"/>
          </w:tcPr>
          <w:p w14:paraId="294F880B">
            <w:pPr>
              <w:ind w:firstLine="0" w:firstLineChars="0"/>
              <w:jc w:val="center"/>
              <w:rPr>
                <w:rFonts w:cs="宋体"/>
                <w:sz w:val="21"/>
                <w:szCs w:val="21"/>
              </w:rPr>
            </w:pPr>
            <w:r>
              <w:rPr>
                <w:rFonts w:cs="宋体"/>
                <w:sz w:val="21"/>
                <w:szCs w:val="21"/>
              </w:rPr>
              <w:t>评价范围</w:t>
            </w:r>
          </w:p>
        </w:tc>
        <w:tc>
          <w:tcPr>
            <w:tcW w:w="3910" w:type="pct"/>
            <w:gridSpan w:val="13"/>
            <w:tcBorders>
              <w:tl2br w:val="nil"/>
              <w:tr2bl w:val="nil"/>
            </w:tcBorders>
            <w:vAlign w:val="center"/>
          </w:tcPr>
          <w:p w14:paraId="6B22DF5E">
            <w:pPr>
              <w:ind w:firstLine="0" w:firstLineChars="0"/>
              <w:jc w:val="center"/>
              <w:rPr>
                <w:sz w:val="21"/>
                <w:szCs w:val="14"/>
              </w:rPr>
            </w:pPr>
            <w:r>
              <w:rPr>
                <w:rFonts w:cs="宋体"/>
                <w:sz w:val="21"/>
                <w:szCs w:val="21"/>
              </w:rPr>
              <w:t>河流：长度</w:t>
            </w:r>
            <w:r>
              <w:rPr>
                <w:rFonts w:hint="eastAsia" w:cs="宋体"/>
                <w:sz w:val="21"/>
                <w:szCs w:val="21"/>
              </w:rPr>
              <w:t>（</w:t>
            </w:r>
            <w:r>
              <w:rPr>
                <w:sz w:val="21"/>
                <w:szCs w:val="21"/>
              </w:rPr>
              <w:t>/</w:t>
            </w:r>
            <w:r>
              <w:rPr>
                <w:rFonts w:hint="eastAsia" w:cs="宋体"/>
                <w:sz w:val="21"/>
                <w:szCs w:val="21"/>
              </w:rPr>
              <w:t>）</w:t>
            </w:r>
            <w:r>
              <w:rPr>
                <w:sz w:val="21"/>
                <w:szCs w:val="21"/>
              </w:rPr>
              <w:t>km</w:t>
            </w:r>
            <w:r>
              <w:rPr>
                <w:rFonts w:cs="宋体"/>
                <w:sz w:val="21"/>
                <w:szCs w:val="21"/>
              </w:rPr>
              <w:t>；湖库、河口及近岸海域：面积</w:t>
            </w:r>
            <w:r>
              <w:rPr>
                <w:rFonts w:hint="eastAsia" w:cs="宋体"/>
                <w:sz w:val="21"/>
                <w:szCs w:val="21"/>
              </w:rPr>
              <w:t>（</w:t>
            </w:r>
            <w:r>
              <w:rPr>
                <w:sz w:val="21"/>
                <w:szCs w:val="21"/>
              </w:rPr>
              <w:t>/</w:t>
            </w:r>
            <w:r>
              <w:rPr>
                <w:rFonts w:hint="eastAsia" w:cs="宋体"/>
                <w:sz w:val="21"/>
                <w:szCs w:val="21"/>
              </w:rPr>
              <w:t>）</w:t>
            </w:r>
            <w:r>
              <w:rPr>
                <w:sz w:val="21"/>
                <w:szCs w:val="21"/>
              </w:rPr>
              <w:t>km</w:t>
            </w:r>
            <w:r>
              <w:rPr>
                <w:sz w:val="21"/>
                <w:szCs w:val="14"/>
                <w:vertAlign w:val="superscript"/>
              </w:rPr>
              <w:t>2</w:t>
            </w:r>
          </w:p>
        </w:tc>
      </w:tr>
      <w:tr w14:paraId="268A8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32FAD454">
            <w:pPr>
              <w:ind w:firstLine="0" w:firstLineChars="0"/>
              <w:jc w:val="center"/>
              <w:rPr>
                <w:sz w:val="21"/>
              </w:rPr>
            </w:pPr>
          </w:p>
        </w:tc>
        <w:tc>
          <w:tcPr>
            <w:tcW w:w="831" w:type="pct"/>
            <w:tcBorders>
              <w:tl2br w:val="nil"/>
              <w:tr2bl w:val="nil"/>
            </w:tcBorders>
            <w:vAlign w:val="center"/>
          </w:tcPr>
          <w:p w14:paraId="5BB06BBD">
            <w:pPr>
              <w:ind w:firstLine="0" w:firstLineChars="0"/>
              <w:jc w:val="center"/>
              <w:rPr>
                <w:rFonts w:cs="宋体"/>
                <w:sz w:val="21"/>
                <w:szCs w:val="21"/>
              </w:rPr>
            </w:pPr>
            <w:r>
              <w:rPr>
                <w:rFonts w:cs="宋体"/>
                <w:sz w:val="21"/>
                <w:szCs w:val="21"/>
              </w:rPr>
              <w:t>评价因子</w:t>
            </w:r>
          </w:p>
        </w:tc>
        <w:tc>
          <w:tcPr>
            <w:tcW w:w="3910" w:type="pct"/>
            <w:gridSpan w:val="13"/>
            <w:tcBorders>
              <w:tl2br w:val="nil"/>
              <w:tr2bl w:val="nil"/>
            </w:tcBorders>
            <w:vAlign w:val="center"/>
          </w:tcPr>
          <w:p w14:paraId="1A22079B">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r>
      <w:tr w14:paraId="5BC71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4" w:hRule="atLeast"/>
          <w:jc w:val="center"/>
        </w:trPr>
        <w:tc>
          <w:tcPr>
            <w:tcW w:w="258" w:type="pct"/>
            <w:vMerge w:val="continue"/>
            <w:tcBorders>
              <w:tl2br w:val="nil"/>
              <w:tr2bl w:val="nil"/>
            </w:tcBorders>
            <w:textDirection w:val="tbRlV"/>
            <w:vAlign w:val="center"/>
          </w:tcPr>
          <w:p w14:paraId="2B3F9210">
            <w:pPr>
              <w:ind w:firstLine="0" w:firstLineChars="0"/>
              <w:jc w:val="center"/>
              <w:rPr>
                <w:sz w:val="21"/>
              </w:rPr>
            </w:pPr>
          </w:p>
        </w:tc>
        <w:tc>
          <w:tcPr>
            <w:tcW w:w="831" w:type="pct"/>
            <w:tcBorders>
              <w:tl2br w:val="nil"/>
              <w:tr2bl w:val="nil"/>
            </w:tcBorders>
            <w:vAlign w:val="center"/>
          </w:tcPr>
          <w:p w14:paraId="40D32A8E">
            <w:pPr>
              <w:ind w:firstLine="0" w:firstLineChars="0"/>
              <w:jc w:val="center"/>
              <w:rPr>
                <w:rFonts w:cs="宋体"/>
                <w:sz w:val="21"/>
                <w:szCs w:val="21"/>
              </w:rPr>
            </w:pPr>
            <w:r>
              <w:rPr>
                <w:rFonts w:cs="宋体"/>
                <w:sz w:val="21"/>
                <w:szCs w:val="21"/>
              </w:rPr>
              <w:t>评价标准</w:t>
            </w:r>
          </w:p>
        </w:tc>
        <w:tc>
          <w:tcPr>
            <w:tcW w:w="3910" w:type="pct"/>
            <w:gridSpan w:val="13"/>
            <w:tcBorders>
              <w:tl2br w:val="nil"/>
              <w:tr2bl w:val="nil"/>
            </w:tcBorders>
            <w:vAlign w:val="center"/>
          </w:tcPr>
          <w:p w14:paraId="00147304">
            <w:pPr>
              <w:ind w:firstLine="0" w:firstLineChars="0"/>
              <w:jc w:val="center"/>
              <w:rPr>
                <w:sz w:val="21"/>
                <w:szCs w:val="21"/>
              </w:rPr>
            </w:pPr>
            <w:r>
              <w:rPr>
                <w:rFonts w:cs="宋体"/>
                <w:sz w:val="21"/>
                <w:szCs w:val="21"/>
              </w:rPr>
              <w:t>河流、湖库、河口：Ⅰ类</w:t>
            </w:r>
            <w:r>
              <w:rPr>
                <w:sz w:val="21"/>
                <w:szCs w:val="21"/>
              </w:rPr>
              <w:drawing>
                <wp:inline distT="0" distB="0" distL="0" distR="0">
                  <wp:extent cx="111760" cy="97790"/>
                  <wp:effectExtent l="0" t="0" r="2540" b="16510"/>
                  <wp:docPr id="185" name="IM 107"/>
                  <wp:cNvGraphicFramePr/>
                  <a:graphic xmlns:a="http://schemas.openxmlformats.org/drawingml/2006/main">
                    <a:graphicData uri="http://schemas.openxmlformats.org/drawingml/2006/picture">
                      <pic:pic xmlns:pic="http://schemas.openxmlformats.org/drawingml/2006/picture">
                        <pic:nvPicPr>
                          <pic:cNvPr id="185" name="IM 107"/>
                          <pic:cNvPicPr/>
                        </pic:nvPicPr>
                        <pic:blipFill>
                          <a:blip r:embed="rId53"/>
                          <a:stretch>
                            <a:fillRect/>
                          </a:stretch>
                        </pic:blipFill>
                        <pic:spPr>
                          <a:xfrm>
                            <a:off x="0" y="0"/>
                            <a:ext cx="112251" cy="97878"/>
                          </a:xfrm>
                          <a:prstGeom prst="rect">
                            <a:avLst/>
                          </a:prstGeom>
                        </pic:spPr>
                      </pic:pic>
                    </a:graphicData>
                  </a:graphic>
                </wp:inline>
              </w:drawing>
            </w:r>
            <w:r>
              <w:rPr>
                <w:rFonts w:cs="宋体"/>
                <w:sz w:val="21"/>
                <w:szCs w:val="21"/>
              </w:rPr>
              <w:t>；Ⅱ类</w:t>
            </w:r>
            <w:r>
              <w:rPr>
                <w:sz w:val="21"/>
                <w:szCs w:val="21"/>
              </w:rPr>
              <w:drawing>
                <wp:inline distT="0" distB="0" distL="0" distR="0">
                  <wp:extent cx="111760" cy="97790"/>
                  <wp:effectExtent l="0" t="0" r="2540" b="16510"/>
                  <wp:docPr id="186" name="IM 108"/>
                  <wp:cNvGraphicFramePr/>
                  <a:graphic xmlns:a="http://schemas.openxmlformats.org/drawingml/2006/main">
                    <a:graphicData uri="http://schemas.openxmlformats.org/drawingml/2006/picture">
                      <pic:pic xmlns:pic="http://schemas.openxmlformats.org/drawingml/2006/picture">
                        <pic:nvPicPr>
                          <pic:cNvPr id="186" name="IM 108"/>
                          <pic:cNvPicPr/>
                        </pic:nvPicPr>
                        <pic:blipFill>
                          <a:blip r:embed="rId55"/>
                          <a:stretch>
                            <a:fillRect/>
                          </a:stretch>
                        </pic:blipFill>
                        <pic:spPr>
                          <a:xfrm>
                            <a:off x="0" y="0"/>
                            <a:ext cx="112251" cy="97878"/>
                          </a:xfrm>
                          <a:prstGeom prst="rect">
                            <a:avLst/>
                          </a:prstGeom>
                        </pic:spPr>
                      </pic:pic>
                    </a:graphicData>
                  </a:graphic>
                </wp:inline>
              </w:drawing>
            </w:r>
            <w:r>
              <w:rPr>
                <w:rFonts w:cs="宋体"/>
                <w:sz w:val="21"/>
                <w:szCs w:val="21"/>
              </w:rPr>
              <w:t>；Ⅲ类</w:t>
            </w:r>
            <w:r>
              <w:rPr>
                <w:sz w:val="21"/>
                <w:szCs w:val="21"/>
              </w:rPr>
              <w:drawing>
                <wp:inline distT="0" distB="0" distL="0" distR="0">
                  <wp:extent cx="111760" cy="97790"/>
                  <wp:effectExtent l="0" t="0" r="2540" b="16510"/>
                  <wp:docPr id="187" name="IM 109"/>
                  <wp:cNvGraphicFramePr/>
                  <a:graphic xmlns:a="http://schemas.openxmlformats.org/drawingml/2006/main">
                    <a:graphicData uri="http://schemas.openxmlformats.org/drawingml/2006/picture">
                      <pic:pic xmlns:pic="http://schemas.openxmlformats.org/drawingml/2006/picture">
                        <pic:nvPicPr>
                          <pic:cNvPr id="187" name="IM 109"/>
                          <pic:cNvPicPr/>
                        </pic:nvPicPr>
                        <pic:blipFill>
                          <a:blip r:embed="rId53"/>
                          <a:stretch>
                            <a:fillRect/>
                          </a:stretch>
                        </pic:blipFill>
                        <pic:spPr>
                          <a:xfrm>
                            <a:off x="0" y="0"/>
                            <a:ext cx="112251" cy="97878"/>
                          </a:xfrm>
                          <a:prstGeom prst="rect">
                            <a:avLst/>
                          </a:prstGeom>
                        </pic:spPr>
                      </pic:pic>
                    </a:graphicData>
                  </a:graphic>
                </wp:inline>
              </w:drawing>
            </w:r>
            <w:r>
              <w:rPr>
                <w:rFonts w:cs="宋体"/>
                <w:sz w:val="21"/>
                <w:szCs w:val="21"/>
              </w:rPr>
              <w:t>；Ⅳ类</w:t>
            </w:r>
            <w:r>
              <w:rPr>
                <w:sz w:val="21"/>
                <w:szCs w:val="21"/>
              </w:rPr>
              <w:drawing>
                <wp:inline distT="0" distB="0" distL="0" distR="0">
                  <wp:extent cx="111760" cy="97790"/>
                  <wp:effectExtent l="0" t="0" r="2540" b="16510"/>
                  <wp:docPr id="188" name="IM 110"/>
                  <wp:cNvGraphicFramePr/>
                  <a:graphic xmlns:a="http://schemas.openxmlformats.org/drawingml/2006/main">
                    <a:graphicData uri="http://schemas.openxmlformats.org/drawingml/2006/picture">
                      <pic:pic xmlns:pic="http://schemas.openxmlformats.org/drawingml/2006/picture">
                        <pic:nvPicPr>
                          <pic:cNvPr id="188" name="IM 110"/>
                          <pic:cNvPicPr/>
                        </pic:nvPicPr>
                        <pic:blipFill>
                          <a:blip r:embed="rId55"/>
                          <a:stretch>
                            <a:fillRect/>
                          </a:stretch>
                        </pic:blipFill>
                        <pic:spPr>
                          <a:xfrm>
                            <a:off x="0" y="0"/>
                            <a:ext cx="112251" cy="97878"/>
                          </a:xfrm>
                          <a:prstGeom prst="rect">
                            <a:avLst/>
                          </a:prstGeom>
                        </pic:spPr>
                      </pic:pic>
                    </a:graphicData>
                  </a:graphic>
                </wp:inline>
              </w:drawing>
            </w:r>
            <w:r>
              <w:rPr>
                <w:rFonts w:cs="宋体"/>
                <w:sz w:val="21"/>
                <w:szCs w:val="21"/>
              </w:rPr>
              <w:t>；Ⅴ类</w:t>
            </w:r>
            <w:r>
              <w:rPr>
                <w:sz w:val="21"/>
                <w:szCs w:val="21"/>
              </w:rPr>
              <w:drawing>
                <wp:inline distT="0" distB="0" distL="0" distR="0">
                  <wp:extent cx="111760" cy="97790"/>
                  <wp:effectExtent l="0" t="0" r="2540" b="16510"/>
                  <wp:docPr id="189" name="IM 111"/>
                  <wp:cNvGraphicFramePr/>
                  <a:graphic xmlns:a="http://schemas.openxmlformats.org/drawingml/2006/main">
                    <a:graphicData uri="http://schemas.openxmlformats.org/drawingml/2006/picture">
                      <pic:pic xmlns:pic="http://schemas.openxmlformats.org/drawingml/2006/picture">
                        <pic:nvPicPr>
                          <pic:cNvPr id="189" name="IM 111"/>
                          <pic:cNvPicPr/>
                        </pic:nvPicPr>
                        <pic:blipFill>
                          <a:blip r:embed="rId53"/>
                          <a:stretch>
                            <a:fillRect/>
                          </a:stretch>
                        </pic:blipFill>
                        <pic:spPr>
                          <a:xfrm>
                            <a:off x="0" y="0"/>
                            <a:ext cx="112251" cy="97878"/>
                          </a:xfrm>
                          <a:prstGeom prst="rect">
                            <a:avLst/>
                          </a:prstGeom>
                        </pic:spPr>
                      </pic:pic>
                    </a:graphicData>
                  </a:graphic>
                </wp:inline>
              </w:drawing>
            </w:r>
          </w:p>
          <w:p w14:paraId="2B8D035F">
            <w:pPr>
              <w:ind w:firstLine="0" w:firstLineChars="0"/>
              <w:jc w:val="center"/>
              <w:rPr>
                <w:rFonts w:cs="宋体"/>
                <w:sz w:val="21"/>
                <w:szCs w:val="21"/>
              </w:rPr>
            </w:pPr>
            <w:r>
              <w:rPr>
                <w:rFonts w:cs="宋体"/>
                <w:sz w:val="21"/>
                <w:szCs w:val="21"/>
              </w:rPr>
              <w:t>近岸海域：第一类</w:t>
            </w:r>
            <w:r>
              <w:rPr>
                <w:sz w:val="21"/>
                <w:szCs w:val="21"/>
              </w:rPr>
              <w:drawing>
                <wp:inline distT="0" distB="0" distL="0" distR="0">
                  <wp:extent cx="111760" cy="97790"/>
                  <wp:effectExtent l="0" t="0" r="2540" b="16510"/>
                  <wp:docPr id="190" name="IM 112"/>
                  <wp:cNvGraphicFramePr/>
                  <a:graphic xmlns:a="http://schemas.openxmlformats.org/drawingml/2006/main">
                    <a:graphicData uri="http://schemas.openxmlformats.org/drawingml/2006/picture">
                      <pic:pic xmlns:pic="http://schemas.openxmlformats.org/drawingml/2006/picture">
                        <pic:nvPicPr>
                          <pic:cNvPr id="190" name="IM 112"/>
                          <pic:cNvPicPr/>
                        </pic:nvPicPr>
                        <pic:blipFill>
                          <a:blip r:embed="rId53"/>
                          <a:stretch>
                            <a:fillRect/>
                          </a:stretch>
                        </pic:blipFill>
                        <pic:spPr>
                          <a:xfrm>
                            <a:off x="0" y="0"/>
                            <a:ext cx="111977" cy="97878"/>
                          </a:xfrm>
                          <a:prstGeom prst="rect">
                            <a:avLst/>
                          </a:prstGeom>
                        </pic:spPr>
                      </pic:pic>
                    </a:graphicData>
                  </a:graphic>
                </wp:inline>
              </w:drawing>
            </w:r>
            <w:r>
              <w:rPr>
                <w:rFonts w:cs="宋体"/>
                <w:sz w:val="21"/>
                <w:szCs w:val="21"/>
              </w:rPr>
              <w:t>；第二类</w:t>
            </w:r>
            <w:r>
              <w:rPr>
                <w:sz w:val="21"/>
                <w:szCs w:val="21"/>
              </w:rPr>
              <w:drawing>
                <wp:inline distT="0" distB="0" distL="0" distR="0">
                  <wp:extent cx="111760" cy="97790"/>
                  <wp:effectExtent l="0" t="0" r="2540" b="16510"/>
                  <wp:docPr id="191" name="IM 113"/>
                  <wp:cNvGraphicFramePr/>
                  <a:graphic xmlns:a="http://schemas.openxmlformats.org/drawingml/2006/main">
                    <a:graphicData uri="http://schemas.openxmlformats.org/drawingml/2006/picture">
                      <pic:pic xmlns:pic="http://schemas.openxmlformats.org/drawingml/2006/picture">
                        <pic:nvPicPr>
                          <pic:cNvPr id="191" name="IM 113"/>
                          <pic:cNvPicPr/>
                        </pic:nvPicPr>
                        <pic:blipFill>
                          <a:blip r:embed="rId53"/>
                          <a:stretch>
                            <a:fillRect/>
                          </a:stretch>
                        </pic:blipFill>
                        <pic:spPr>
                          <a:xfrm>
                            <a:off x="0" y="0"/>
                            <a:ext cx="111977" cy="97878"/>
                          </a:xfrm>
                          <a:prstGeom prst="rect">
                            <a:avLst/>
                          </a:prstGeom>
                        </pic:spPr>
                      </pic:pic>
                    </a:graphicData>
                  </a:graphic>
                </wp:inline>
              </w:drawing>
            </w:r>
            <w:r>
              <w:rPr>
                <w:rFonts w:cs="宋体"/>
                <w:sz w:val="21"/>
                <w:szCs w:val="21"/>
              </w:rPr>
              <w:t>；第三类</w:t>
            </w:r>
            <w:r>
              <w:rPr>
                <w:sz w:val="21"/>
                <w:szCs w:val="21"/>
              </w:rPr>
              <w:drawing>
                <wp:inline distT="0" distB="0" distL="0" distR="0">
                  <wp:extent cx="111760" cy="97790"/>
                  <wp:effectExtent l="0" t="0" r="2540" b="16510"/>
                  <wp:docPr id="201" name="IM 114"/>
                  <wp:cNvGraphicFramePr/>
                  <a:graphic xmlns:a="http://schemas.openxmlformats.org/drawingml/2006/main">
                    <a:graphicData uri="http://schemas.openxmlformats.org/drawingml/2006/picture">
                      <pic:pic xmlns:pic="http://schemas.openxmlformats.org/drawingml/2006/picture">
                        <pic:nvPicPr>
                          <pic:cNvPr id="201" name="IM 114"/>
                          <pic:cNvPicPr/>
                        </pic:nvPicPr>
                        <pic:blipFill>
                          <a:blip r:embed="rId53"/>
                          <a:stretch>
                            <a:fillRect/>
                          </a:stretch>
                        </pic:blipFill>
                        <pic:spPr>
                          <a:xfrm>
                            <a:off x="0" y="0"/>
                            <a:ext cx="111977" cy="97878"/>
                          </a:xfrm>
                          <a:prstGeom prst="rect">
                            <a:avLst/>
                          </a:prstGeom>
                        </pic:spPr>
                      </pic:pic>
                    </a:graphicData>
                  </a:graphic>
                </wp:inline>
              </w:drawing>
            </w:r>
            <w:r>
              <w:rPr>
                <w:rFonts w:cs="宋体"/>
                <w:sz w:val="21"/>
                <w:szCs w:val="21"/>
              </w:rPr>
              <w:t>；第四类</w:t>
            </w:r>
            <w:r>
              <w:rPr>
                <w:sz w:val="21"/>
                <w:szCs w:val="21"/>
              </w:rPr>
              <w:drawing>
                <wp:inline distT="0" distB="0" distL="0" distR="0">
                  <wp:extent cx="111760" cy="97790"/>
                  <wp:effectExtent l="0" t="0" r="2540" b="16510"/>
                  <wp:docPr id="203" name="IM 115"/>
                  <wp:cNvGraphicFramePr/>
                  <a:graphic xmlns:a="http://schemas.openxmlformats.org/drawingml/2006/main">
                    <a:graphicData uri="http://schemas.openxmlformats.org/drawingml/2006/picture">
                      <pic:pic xmlns:pic="http://schemas.openxmlformats.org/drawingml/2006/picture">
                        <pic:nvPicPr>
                          <pic:cNvPr id="203" name="IM 115"/>
                          <pic:cNvPicPr/>
                        </pic:nvPicPr>
                        <pic:blipFill>
                          <a:blip r:embed="rId53"/>
                          <a:stretch>
                            <a:fillRect/>
                          </a:stretch>
                        </pic:blipFill>
                        <pic:spPr>
                          <a:xfrm>
                            <a:off x="0" y="0"/>
                            <a:ext cx="111977" cy="97878"/>
                          </a:xfrm>
                          <a:prstGeom prst="rect">
                            <a:avLst/>
                          </a:prstGeom>
                        </pic:spPr>
                      </pic:pic>
                    </a:graphicData>
                  </a:graphic>
                </wp:inline>
              </w:drawing>
            </w:r>
            <w:r>
              <w:rPr>
                <w:rFonts w:cs="宋体"/>
                <w:sz w:val="21"/>
                <w:szCs w:val="21"/>
              </w:rPr>
              <w:t>规划年评价标准</w:t>
            </w:r>
            <w:r>
              <w:rPr>
                <w:rFonts w:hint="eastAsia" w:cs="宋体"/>
                <w:sz w:val="21"/>
                <w:szCs w:val="21"/>
              </w:rPr>
              <w:t>（</w:t>
            </w:r>
            <w:r>
              <w:rPr>
                <w:sz w:val="21"/>
                <w:szCs w:val="21"/>
              </w:rPr>
              <w:t>/</w:t>
            </w:r>
            <w:r>
              <w:rPr>
                <w:rFonts w:hint="eastAsia" w:cs="宋体"/>
                <w:sz w:val="21"/>
                <w:szCs w:val="21"/>
              </w:rPr>
              <w:t>）</w:t>
            </w:r>
          </w:p>
        </w:tc>
      </w:tr>
      <w:tr w14:paraId="1B577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01188C8C">
            <w:pPr>
              <w:ind w:firstLine="0" w:firstLineChars="0"/>
              <w:jc w:val="center"/>
              <w:rPr>
                <w:sz w:val="21"/>
              </w:rPr>
            </w:pPr>
          </w:p>
        </w:tc>
        <w:tc>
          <w:tcPr>
            <w:tcW w:w="831" w:type="pct"/>
            <w:tcBorders>
              <w:tl2br w:val="nil"/>
              <w:tr2bl w:val="nil"/>
            </w:tcBorders>
            <w:vAlign w:val="center"/>
          </w:tcPr>
          <w:p w14:paraId="25D47AE7">
            <w:pPr>
              <w:ind w:firstLine="0" w:firstLineChars="0"/>
              <w:jc w:val="center"/>
              <w:rPr>
                <w:rFonts w:cs="宋体"/>
                <w:sz w:val="21"/>
                <w:szCs w:val="21"/>
              </w:rPr>
            </w:pPr>
            <w:r>
              <w:rPr>
                <w:rFonts w:cs="宋体"/>
                <w:sz w:val="21"/>
                <w:szCs w:val="21"/>
              </w:rPr>
              <w:t>评价时期</w:t>
            </w:r>
          </w:p>
        </w:tc>
        <w:tc>
          <w:tcPr>
            <w:tcW w:w="3910" w:type="pct"/>
            <w:gridSpan w:val="13"/>
            <w:tcBorders>
              <w:tl2br w:val="nil"/>
              <w:tr2bl w:val="nil"/>
            </w:tcBorders>
            <w:vAlign w:val="center"/>
          </w:tcPr>
          <w:p w14:paraId="637BB18E">
            <w:pPr>
              <w:ind w:firstLine="0" w:firstLineChars="0"/>
              <w:jc w:val="center"/>
              <w:rPr>
                <w:sz w:val="21"/>
                <w:szCs w:val="21"/>
              </w:rPr>
            </w:pPr>
            <w:r>
              <w:rPr>
                <w:rFonts w:cs="宋体"/>
                <w:sz w:val="21"/>
                <w:szCs w:val="21"/>
              </w:rPr>
              <w:t>丰水期</w:t>
            </w:r>
            <w:r>
              <w:rPr>
                <w:sz w:val="21"/>
                <w:szCs w:val="21"/>
              </w:rPr>
              <w:drawing>
                <wp:inline distT="0" distB="0" distL="0" distR="0">
                  <wp:extent cx="112395" cy="97790"/>
                  <wp:effectExtent l="0" t="0" r="1905" b="16510"/>
                  <wp:docPr id="204" name="IM 116"/>
                  <wp:cNvGraphicFramePr/>
                  <a:graphic xmlns:a="http://schemas.openxmlformats.org/drawingml/2006/main">
                    <a:graphicData uri="http://schemas.openxmlformats.org/drawingml/2006/picture">
                      <pic:pic xmlns:pic="http://schemas.openxmlformats.org/drawingml/2006/picture">
                        <pic:nvPicPr>
                          <pic:cNvPr id="204" name="IM 116"/>
                          <pic:cNvPicPr/>
                        </pic:nvPicPr>
                        <pic:blipFill>
                          <a:blip r:embed="rId54"/>
                          <a:stretch>
                            <a:fillRect/>
                          </a:stretch>
                        </pic:blipFill>
                        <pic:spPr>
                          <a:xfrm>
                            <a:off x="0" y="0"/>
                            <a:ext cx="112895" cy="97878"/>
                          </a:xfrm>
                          <a:prstGeom prst="rect">
                            <a:avLst/>
                          </a:prstGeom>
                        </pic:spPr>
                      </pic:pic>
                    </a:graphicData>
                  </a:graphic>
                </wp:inline>
              </w:drawing>
            </w:r>
            <w:r>
              <w:rPr>
                <w:rFonts w:cs="宋体"/>
                <w:sz w:val="21"/>
                <w:szCs w:val="21"/>
              </w:rPr>
              <w:t>；平水期</w:t>
            </w:r>
            <w:r>
              <w:rPr>
                <w:sz w:val="21"/>
                <w:szCs w:val="21"/>
              </w:rPr>
              <w:drawing>
                <wp:inline distT="0" distB="0" distL="0" distR="0">
                  <wp:extent cx="112395" cy="97790"/>
                  <wp:effectExtent l="0" t="0" r="1905" b="16510"/>
                  <wp:docPr id="205" name="IM 117"/>
                  <wp:cNvGraphicFramePr/>
                  <a:graphic xmlns:a="http://schemas.openxmlformats.org/drawingml/2006/main">
                    <a:graphicData uri="http://schemas.openxmlformats.org/drawingml/2006/picture">
                      <pic:pic xmlns:pic="http://schemas.openxmlformats.org/drawingml/2006/picture">
                        <pic:nvPicPr>
                          <pic:cNvPr id="205" name="IM 117"/>
                          <pic:cNvPicPr/>
                        </pic:nvPicPr>
                        <pic:blipFill>
                          <a:blip r:embed="rId53"/>
                          <a:stretch>
                            <a:fillRect/>
                          </a:stretch>
                        </pic:blipFill>
                        <pic:spPr>
                          <a:xfrm>
                            <a:off x="0" y="0"/>
                            <a:ext cx="112896" cy="97878"/>
                          </a:xfrm>
                          <a:prstGeom prst="rect">
                            <a:avLst/>
                          </a:prstGeom>
                        </pic:spPr>
                      </pic:pic>
                    </a:graphicData>
                  </a:graphic>
                </wp:inline>
              </w:drawing>
            </w:r>
            <w:r>
              <w:rPr>
                <w:rFonts w:cs="宋体"/>
                <w:sz w:val="21"/>
                <w:szCs w:val="21"/>
              </w:rPr>
              <w:t>；枯水期</w:t>
            </w:r>
            <w:r>
              <w:rPr>
                <w:sz w:val="21"/>
                <w:szCs w:val="21"/>
              </w:rPr>
              <w:drawing>
                <wp:inline distT="0" distB="0" distL="0" distR="0">
                  <wp:extent cx="112395" cy="97790"/>
                  <wp:effectExtent l="0" t="0" r="1905" b="16510"/>
                  <wp:docPr id="206" name="IM 118"/>
                  <wp:cNvGraphicFramePr/>
                  <a:graphic xmlns:a="http://schemas.openxmlformats.org/drawingml/2006/main">
                    <a:graphicData uri="http://schemas.openxmlformats.org/drawingml/2006/picture">
                      <pic:pic xmlns:pic="http://schemas.openxmlformats.org/drawingml/2006/picture">
                        <pic:nvPicPr>
                          <pic:cNvPr id="206" name="IM 118"/>
                          <pic:cNvPicPr/>
                        </pic:nvPicPr>
                        <pic:blipFill>
                          <a:blip r:embed="rId54"/>
                          <a:stretch>
                            <a:fillRect/>
                          </a:stretch>
                        </pic:blipFill>
                        <pic:spPr>
                          <a:xfrm>
                            <a:off x="0" y="0"/>
                            <a:ext cx="112896" cy="97878"/>
                          </a:xfrm>
                          <a:prstGeom prst="rect">
                            <a:avLst/>
                          </a:prstGeom>
                        </pic:spPr>
                      </pic:pic>
                    </a:graphicData>
                  </a:graphic>
                </wp:inline>
              </w:drawing>
            </w:r>
            <w:r>
              <w:rPr>
                <w:rFonts w:cs="宋体"/>
                <w:sz w:val="21"/>
                <w:szCs w:val="21"/>
              </w:rPr>
              <w:t>；冰封期</w:t>
            </w:r>
            <w:r>
              <w:rPr>
                <w:sz w:val="21"/>
                <w:szCs w:val="21"/>
              </w:rPr>
              <w:drawing>
                <wp:inline distT="0" distB="0" distL="0" distR="0">
                  <wp:extent cx="112395" cy="97790"/>
                  <wp:effectExtent l="0" t="0" r="1905" b="16510"/>
                  <wp:docPr id="207" name="IM 119"/>
                  <wp:cNvGraphicFramePr/>
                  <a:graphic xmlns:a="http://schemas.openxmlformats.org/drawingml/2006/main">
                    <a:graphicData uri="http://schemas.openxmlformats.org/drawingml/2006/picture">
                      <pic:pic xmlns:pic="http://schemas.openxmlformats.org/drawingml/2006/picture">
                        <pic:nvPicPr>
                          <pic:cNvPr id="207" name="IM 119"/>
                          <pic:cNvPicPr/>
                        </pic:nvPicPr>
                        <pic:blipFill>
                          <a:blip r:embed="rId53"/>
                          <a:stretch>
                            <a:fillRect/>
                          </a:stretch>
                        </pic:blipFill>
                        <pic:spPr>
                          <a:xfrm>
                            <a:off x="0" y="0"/>
                            <a:ext cx="112896" cy="97878"/>
                          </a:xfrm>
                          <a:prstGeom prst="rect">
                            <a:avLst/>
                          </a:prstGeom>
                        </pic:spPr>
                      </pic:pic>
                    </a:graphicData>
                  </a:graphic>
                </wp:inline>
              </w:drawing>
            </w:r>
            <w:r>
              <w:rPr>
                <w:rFonts w:cs="宋体"/>
                <w:sz w:val="21"/>
                <w:szCs w:val="21"/>
              </w:rPr>
              <w:t>；春季</w:t>
            </w:r>
            <w:r>
              <w:rPr>
                <w:sz w:val="21"/>
                <w:szCs w:val="21"/>
              </w:rPr>
              <w:drawing>
                <wp:inline distT="0" distB="0" distL="0" distR="0">
                  <wp:extent cx="112395" cy="97790"/>
                  <wp:effectExtent l="0" t="0" r="1905" b="16510"/>
                  <wp:docPr id="208" name="IM 120"/>
                  <wp:cNvGraphicFramePr/>
                  <a:graphic xmlns:a="http://schemas.openxmlformats.org/drawingml/2006/main">
                    <a:graphicData uri="http://schemas.openxmlformats.org/drawingml/2006/picture">
                      <pic:pic xmlns:pic="http://schemas.openxmlformats.org/drawingml/2006/picture">
                        <pic:nvPicPr>
                          <pic:cNvPr id="208" name="IM 120"/>
                          <pic:cNvPicPr/>
                        </pic:nvPicPr>
                        <pic:blipFill>
                          <a:blip r:embed="rId53"/>
                          <a:stretch>
                            <a:fillRect/>
                          </a:stretch>
                        </pic:blipFill>
                        <pic:spPr>
                          <a:xfrm>
                            <a:off x="0" y="0"/>
                            <a:ext cx="112896" cy="97878"/>
                          </a:xfrm>
                          <a:prstGeom prst="rect">
                            <a:avLst/>
                          </a:prstGeom>
                        </pic:spPr>
                      </pic:pic>
                    </a:graphicData>
                  </a:graphic>
                </wp:inline>
              </w:drawing>
            </w:r>
            <w:r>
              <w:rPr>
                <w:rFonts w:cs="宋体"/>
                <w:sz w:val="21"/>
                <w:szCs w:val="21"/>
              </w:rPr>
              <w:t>；夏季</w:t>
            </w:r>
            <w:r>
              <w:rPr>
                <w:sz w:val="21"/>
                <w:szCs w:val="21"/>
              </w:rPr>
              <w:drawing>
                <wp:inline distT="0" distB="0" distL="0" distR="0">
                  <wp:extent cx="112395" cy="97790"/>
                  <wp:effectExtent l="0" t="0" r="1905" b="16510"/>
                  <wp:docPr id="209" name="IM 121"/>
                  <wp:cNvGraphicFramePr/>
                  <a:graphic xmlns:a="http://schemas.openxmlformats.org/drawingml/2006/main">
                    <a:graphicData uri="http://schemas.openxmlformats.org/drawingml/2006/picture">
                      <pic:pic xmlns:pic="http://schemas.openxmlformats.org/drawingml/2006/picture">
                        <pic:nvPicPr>
                          <pic:cNvPr id="209" name="IM 121"/>
                          <pic:cNvPicPr/>
                        </pic:nvPicPr>
                        <pic:blipFill>
                          <a:blip r:embed="rId53"/>
                          <a:stretch>
                            <a:fillRect/>
                          </a:stretch>
                        </pic:blipFill>
                        <pic:spPr>
                          <a:xfrm>
                            <a:off x="0" y="0"/>
                            <a:ext cx="112896" cy="97878"/>
                          </a:xfrm>
                          <a:prstGeom prst="rect">
                            <a:avLst/>
                          </a:prstGeom>
                        </pic:spPr>
                      </pic:pic>
                    </a:graphicData>
                  </a:graphic>
                </wp:inline>
              </w:drawing>
            </w:r>
            <w:r>
              <w:rPr>
                <w:rFonts w:cs="宋体"/>
                <w:sz w:val="21"/>
                <w:szCs w:val="21"/>
              </w:rPr>
              <w:t>；秋季</w:t>
            </w:r>
            <w:r>
              <w:rPr>
                <w:sz w:val="21"/>
                <w:szCs w:val="21"/>
              </w:rPr>
              <w:drawing>
                <wp:inline distT="0" distB="0" distL="0" distR="0">
                  <wp:extent cx="112395" cy="97790"/>
                  <wp:effectExtent l="0" t="0" r="1905" b="16510"/>
                  <wp:docPr id="210" name="IM 122"/>
                  <wp:cNvGraphicFramePr/>
                  <a:graphic xmlns:a="http://schemas.openxmlformats.org/drawingml/2006/main">
                    <a:graphicData uri="http://schemas.openxmlformats.org/drawingml/2006/picture">
                      <pic:pic xmlns:pic="http://schemas.openxmlformats.org/drawingml/2006/picture">
                        <pic:nvPicPr>
                          <pic:cNvPr id="210" name="IM 122"/>
                          <pic:cNvPicPr/>
                        </pic:nvPicPr>
                        <pic:blipFill>
                          <a:blip r:embed="rId53"/>
                          <a:stretch>
                            <a:fillRect/>
                          </a:stretch>
                        </pic:blipFill>
                        <pic:spPr>
                          <a:xfrm>
                            <a:off x="0" y="0"/>
                            <a:ext cx="112896" cy="97878"/>
                          </a:xfrm>
                          <a:prstGeom prst="rect">
                            <a:avLst/>
                          </a:prstGeom>
                        </pic:spPr>
                      </pic:pic>
                    </a:graphicData>
                  </a:graphic>
                </wp:inline>
              </w:drawing>
            </w:r>
            <w:r>
              <w:rPr>
                <w:rFonts w:cs="宋体"/>
                <w:sz w:val="21"/>
                <w:szCs w:val="21"/>
              </w:rPr>
              <w:t>；冬季</w:t>
            </w:r>
            <w:r>
              <w:rPr>
                <w:sz w:val="21"/>
                <w:szCs w:val="21"/>
              </w:rPr>
              <w:drawing>
                <wp:inline distT="0" distB="0" distL="0" distR="0">
                  <wp:extent cx="112395" cy="97790"/>
                  <wp:effectExtent l="0" t="0" r="1905" b="16510"/>
                  <wp:docPr id="211" name="IM 123"/>
                  <wp:cNvGraphicFramePr/>
                  <a:graphic xmlns:a="http://schemas.openxmlformats.org/drawingml/2006/main">
                    <a:graphicData uri="http://schemas.openxmlformats.org/drawingml/2006/picture">
                      <pic:pic xmlns:pic="http://schemas.openxmlformats.org/drawingml/2006/picture">
                        <pic:nvPicPr>
                          <pic:cNvPr id="211" name="IM 123"/>
                          <pic:cNvPicPr/>
                        </pic:nvPicPr>
                        <pic:blipFill>
                          <a:blip r:embed="rId53"/>
                          <a:stretch>
                            <a:fillRect/>
                          </a:stretch>
                        </pic:blipFill>
                        <pic:spPr>
                          <a:xfrm>
                            <a:off x="0" y="0"/>
                            <a:ext cx="112895" cy="97878"/>
                          </a:xfrm>
                          <a:prstGeom prst="rect">
                            <a:avLst/>
                          </a:prstGeom>
                        </pic:spPr>
                      </pic:pic>
                    </a:graphicData>
                  </a:graphic>
                </wp:inline>
              </w:drawing>
            </w:r>
          </w:p>
        </w:tc>
      </w:tr>
      <w:tr w14:paraId="65B7C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603" w:hRule="atLeast"/>
          <w:jc w:val="center"/>
        </w:trPr>
        <w:tc>
          <w:tcPr>
            <w:tcW w:w="258" w:type="pct"/>
            <w:vMerge w:val="continue"/>
            <w:tcBorders>
              <w:tl2br w:val="nil"/>
              <w:tr2bl w:val="nil"/>
            </w:tcBorders>
            <w:textDirection w:val="tbRlV"/>
            <w:vAlign w:val="center"/>
          </w:tcPr>
          <w:p w14:paraId="0699D1B3">
            <w:pPr>
              <w:ind w:firstLine="0" w:firstLineChars="0"/>
              <w:jc w:val="center"/>
              <w:rPr>
                <w:sz w:val="21"/>
              </w:rPr>
            </w:pPr>
          </w:p>
        </w:tc>
        <w:tc>
          <w:tcPr>
            <w:tcW w:w="831" w:type="pct"/>
            <w:tcBorders>
              <w:tl2br w:val="nil"/>
              <w:tr2bl w:val="nil"/>
            </w:tcBorders>
            <w:vAlign w:val="center"/>
          </w:tcPr>
          <w:p w14:paraId="560E790C">
            <w:pPr>
              <w:ind w:firstLine="0" w:firstLineChars="0"/>
              <w:jc w:val="center"/>
              <w:rPr>
                <w:rFonts w:cs="宋体"/>
                <w:sz w:val="21"/>
                <w:szCs w:val="21"/>
              </w:rPr>
            </w:pPr>
            <w:r>
              <w:rPr>
                <w:rFonts w:cs="宋体"/>
                <w:sz w:val="21"/>
                <w:szCs w:val="21"/>
              </w:rPr>
              <w:t>评价结论</w:t>
            </w:r>
          </w:p>
        </w:tc>
        <w:tc>
          <w:tcPr>
            <w:tcW w:w="3008" w:type="pct"/>
            <w:gridSpan w:val="11"/>
            <w:tcBorders>
              <w:tl2br w:val="nil"/>
              <w:tr2bl w:val="nil"/>
            </w:tcBorders>
            <w:vAlign w:val="center"/>
          </w:tcPr>
          <w:p w14:paraId="0446A3F8">
            <w:pPr>
              <w:ind w:firstLine="0" w:firstLineChars="0"/>
              <w:jc w:val="center"/>
              <w:rPr>
                <w:sz w:val="21"/>
                <w:szCs w:val="21"/>
              </w:rPr>
            </w:pPr>
            <w:r>
              <w:rPr>
                <w:rFonts w:cs="宋体"/>
                <w:sz w:val="21"/>
                <w:szCs w:val="21"/>
              </w:rPr>
              <w:t>水环境功能区或水功能区、近岸海域环境功能区水质达标状况</w:t>
            </w:r>
            <w:r>
              <w:rPr>
                <w:sz w:val="21"/>
                <w:szCs w:val="21"/>
              </w:rPr>
              <w:drawing>
                <wp:inline distT="0" distB="0" distL="0" distR="0">
                  <wp:extent cx="111125" cy="97790"/>
                  <wp:effectExtent l="0" t="0" r="3175" b="16510"/>
                  <wp:docPr id="212" name="IM 124"/>
                  <wp:cNvGraphicFramePr/>
                  <a:graphic xmlns:a="http://schemas.openxmlformats.org/drawingml/2006/main">
                    <a:graphicData uri="http://schemas.openxmlformats.org/drawingml/2006/picture">
                      <pic:pic xmlns:pic="http://schemas.openxmlformats.org/drawingml/2006/picture">
                        <pic:nvPicPr>
                          <pic:cNvPr id="212" name="IM 124"/>
                          <pic:cNvPicPr/>
                        </pic:nvPicPr>
                        <pic:blipFill>
                          <a:blip r:embed="rId55"/>
                          <a:stretch>
                            <a:fillRect/>
                          </a:stretch>
                        </pic:blipFill>
                        <pic:spPr>
                          <a:xfrm>
                            <a:off x="0" y="0"/>
                            <a:ext cx="111165" cy="97878"/>
                          </a:xfrm>
                          <a:prstGeom prst="rect">
                            <a:avLst/>
                          </a:prstGeom>
                        </pic:spPr>
                      </pic:pic>
                    </a:graphicData>
                  </a:graphic>
                </wp:inline>
              </w:drawing>
            </w:r>
            <w:r>
              <w:rPr>
                <w:rFonts w:cs="宋体"/>
                <w:sz w:val="21"/>
                <w:szCs w:val="21"/>
              </w:rPr>
              <w:t>：达标</w:t>
            </w:r>
            <w:r>
              <w:rPr>
                <w:sz w:val="21"/>
                <w:szCs w:val="21"/>
              </w:rPr>
              <w:drawing>
                <wp:inline distT="0" distB="0" distL="0" distR="0">
                  <wp:extent cx="111125" cy="97790"/>
                  <wp:effectExtent l="0" t="0" r="3175" b="16510"/>
                  <wp:docPr id="213" name="IM 125"/>
                  <wp:cNvGraphicFramePr/>
                  <a:graphic xmlns:a="http://schemas.openxmlformats.org/drawingml/2006/main">
                    <a:graphicData uri="http://schemas.openxmlformats.org/drawingml/2006/picture">
                      <pic:pic xmlns:pic="http://schemas.openxmlformats.org/drawingml/2006/picture">
                        <pic:nvPicPr>
                          <pic:cNvPr id="213" name="IM 125"/>
                          <pic:cNvPicPr/>
                        </pic:nvPicPr>
                        <pic:blipFill>
                          <a:blip r:embed="rId53"/>
                          <a:stretch>
                            <a:fillRect/>
                          </a:stretch>
                        </pic:blipFill>
                        <pic:spPr>
                          <a:xfrm>
                            <a:off x="0" y="0"/>
                            <a:ext cx="111165" cy="97878"/>
                          </a:xfrm>
                          <a:prstGeom prst="rect">
                            <a:avLst/>
                          </a:prstGeom>
                        </pic:spPr>
                      </pic:pic>
                    </a:graphicData>
                  </a:graphic>
                </wp:inline>
              </w:drawing>
            </w:r>
            <w:r>
              <w:rPr>
                <w:rFonts w:cs="宋体"/>
                <w:sz w:val="21"/>
                <w:szCs w:val="21"/>
              </w:rPr>
              <w:t>；不达标</w:t>
            </w:r>
            <w:r>
              <w:rPr>
                <w:sz w:val="21"/>
                <w:szCs w:val="21"/>
              </w:rPr>
              <w:drawing>
                <wp:inline distT="0" distB="0" distL="0" distR="0">
                  <wp:extent cx="111125" cy="97790"/>
                  <wp:effectExtent l="0" t="0" r="3175" b="16510"/>
                  <wp:docPr id="214" name="IM 126"/>
                  <wp:cNvGraphicFramePr/>
                  <a:graphic xmlns:a="http://schemas.openxmlformats.org/drawingml/2006/main">
                    <a:graphicData uri="http://schemas.openxmlformats.org/drawingml/2006/picture">
                      <pic:pic xmlns:pic="http://schemas.openxmlformats.org/drawingml/2006/picture">
                        <pic:nvPicPr>
                          <pic:cNvPr id="214" name="IM 126"/>
                          <pic:cNvPicPr/>
                        </pic:nvPicPr>
                        <pic:blipFill>
                          <a:blip r:embed="rId55"/>
                          <a:stretch>
                            <a:fillRect/>
                          </a:stretch>
                        </pic:blipFill>
                        <pic:spPr>
                          <a:xfrm>
                            <a:off x="0" y="0"/>
                            <a:ext cx="111165" cy="97878"/>
                          </a:xfrm>
                          <a:prstGeom prst="rect">
                            <a:avLst/>
                          </a:prstGeom>
                        </pic:spPr>
                      </pic:pic>
                    </a:graphicData>
                  </a:graphic>
                </wp:inline>
              </w:drawing>
            </w:r>
            <w:r>
              <w:rPr>
                <w:rFonts w:cs="宋体"/>
                <w:sz w:val="21"/>
                <w:szCs w:val="21"/>
              </w:rPr>
              <w:t>水环境控制单元或断面水质达标状况</w:t>
            </w:r>
            <w:r>
              <w:rPr>
                <w:sz w:val="21"/>
                <w:szCs w:val="21"/>
              </w:rPr>
              <w:drawing>
                <wp:inline distT="0" distB="0" distL="0" distR="0">
                  <wp:extent cx="109220" cy="97790"/>
                  <wp:effectExtent l="0" t="0" r="5080" b="16510"/>
                  <wp:docPr id="215" name="IM 127"/>
                  <wp:cNvGraphicFramePr/>
                  <a:graphic xmlns:a="http://schemas.openxmlformats.org/drawingml/2006/main">
                    <a:graphicData uri="http://schemas.openxmlformats.org/drawingml/2006/picture">
                      <pic:pic xmlns:pic="http://schemas.openxmlformats.org/drawingml/2006/picture">
                        <pic:nvPicPr>
                          <pic:cNvPr id="215" name="IM 127"/>
                          <pic:cNvPicPr/>
                        </pic:nvPicPr>
                        <pic:blipFill>
                          <a:blip r:embed="rId55"/>
                          <a:stretch>
                            <a:fillRect/>
                          </a:stretch>
                        </pic:blipFill>
                        <pic:spPr>
                          <a:xfrm>
                            <a:off x="0" y="0"/>
                            <a:ext cx="109347" cy="97878"/>
                          </a:xfrm>
                          <a:prstGeom prst="rect">
                            <a:avLst/>
                          </a:prstGeom>
                        </pic:spPr>
                      </pic:pic>
                    </a:graphicData>
                  </a:graphic>
                </wp:inline>
              </w:drawing>
            </w:r>
            <w:r>
              <w:rPr>
                <w:rFonts w:hint="eastAsia"/>
                <w:sz w:val="21"/>
                <w:szCs w:val="21"/>
              </w:rPr>
              <w:t>；</w:t>
            </w:r>
            <w:r>
              <w:rPr>
                <w:rFonts w:cs="宋体"/>
                <w:sz w:val="21"/>
                <w:szCs w:val="21"/>
              </w:rPr>
              <w:t>达标</w:t>
            </w:r>
            <w:r>
              <w:rPr>
                <w:sz w:val="21"/>
                <w:szCs w:val="21"/>
              </w:rPr>
              <w:drawing>
                <wp:inline distT="0" distB="0" distL="0" distR="0">
                  <wp:extent cx="109220" cy="97790"/>
                  <wp:effectExtent l="0" t="0" r="5080" b="16510"/>
                  <wp:docPr id="216" name="IM 128"/>
                  <wp:cNvGraphicFramePr/>
                  <a:graphic xmlns:a="http://schemas.openxmlformats.org/drawingml/2006/main">
                    <a:graphicData uri="http://schemas.openxmlformats.org/drawingml/2006/picture">
                      <pic:pic xmlns:pic="http://schemas.openxmlformats.org/drawingml/2006/picture">
                        <pic:nvPicPr>
                          <pic:cNvPr id="216" name="IM 128"/>
                          <pic:cNvPicPr/>
                        </pic:nvPicPr>
                        <pic:blipFill>
                          <a:blip r:embed="rId53"/>
                          <a:stretch>
                            <a:fillRect/>
                          </a:stretch>
                        </pic:blipFill>
                        <pic:spPr>
                          <a:xfrm>
                            <a:off x="0" y="0"/>
                            <a:ext cx="109347" cy="97878"/>
                          </a:xfrm>
                          <a:prstGeom prst="rect">
                            <a:avLst/>
                          </a:prstGeom>
                        </pic:spPr>
                      </pic:pic>
                    </a:graphicData>
                  </a:graphic>
                </wp:inline>
              </w:drawing>
            </w:r>
            <w:r>
              <w:rPr>
                <w:rFonts w:cs="宋体"/>
                <w:sz w:val="21"/>
                <w:szCs w:val="21"/>
              </w:rPr>
              <w:t>；不达标</w:t>
            </w:r>
            <w:r>
              <w:rPr>
                <w:sz w:val="21"/>
                <w:szCs w:val="21"/>
              </w:rPr>
              <w:drawing>
                <wp:inline distT="0" distB="0" distL="0" distR="0">
                  <wp:extent cx="109220" cy="97790"/>
                  <wp:effectExtent l="0" t="0" r="5080" b="16510"/>
                  <wp:docPr id="217" name="IM 129"/>
                  <wp:cNvGraphicFramePr/>
                  <a:graphic xmlns:a="http://schemas.openxmlformats.org/drawingml/2006/main">
                    <a:graphicData uri="http://schemas.openxmlformats.org/drawingml/2006/picture">
                      <pic:pic xmlns:pic="http://schemas.openxmlformats.org/drawingml/2006/picture">
                        <pic:nvPicPr>
                          <pic:cNvPr id="217" name="IM 129"/>
                          <pic:cNvPicPr/>
                        </pic:nvPicPr>
                        <pic:blipFill>
                          <a:blip r:embed="rId54"/>
                          <a:stretch>
                            <a:fillRect/>
                          </a:stretch>
                        </pic:blipFill>
                        <pic:spPr>
                          <a:xfrm>
                            <a:off x="0" y="0"/>
                            <a:ext cx="109347" cy="97878"/>
                          </a:xfrm>
                          <a:prstGeom prst="rect">
                            <a:avLst/>
                          </a:prstGeom>
                        </pic:spPr>
                      </pic:pic>
                    </a:graphicData>
                  </a:graphic>
                </wp:inline>
              </w:drawing>
            </w:r>
            <w:r>
              <w:rPr>
                <w:rFonts w:cs="宋体"/>
                <w:sz w:val="21"/>
                <w:szCs w:val="21"/>
              </w:rPr>
              <w:t>水环境保护目标质量状况</w:t>
            </w:r>
            <w:r>
              <w:rPr>
                <w:sz w:val="21"/>
                <w:szCs w:val="21"/>
              </w:rPr>
              <w:drawing>
                <wp:inline distT="0" distB="0" distL="0" distR="0">
                  <wp:extent cx="111125" cy="97790"/>
                  <wp:effectExtent l="0" t="0" r="3175" b="16510"/>
                  <wp:docPr id="218" name="IM 130"/>
                  <wp:cNvGraphicFramePr/>
                  <a:graphic xmlns:a="http://schemas.openxmlformats.org/drawingml/2006/main">
                    <a:graphicData uri="http://schemas.openxmlformats.org/drawingml/2006/picture">
                      <pic:pic xmlns:pic="http://schemas.openxmlformats.org/drawingml/2006/picture">
                        <pic:nvPicPr>
                          <pic:cNvPr id="218" name="IM 130"/>
                          <pic:cNvPicPr/>
                        </pic:nvPicPr>
                        <pic:blipFill>
                          <a:blip r:embed="rId55"/>
                          <a:stretch>
                            <a:fillRect/>
                          </a:stretch>
                        </pic:blipFill>
                        <pic:spPr>
                          <a:xfrm>
                            <a:off x="0" y="0"/>
                            <a:ext cx="111165" cy="97878"/>
                          </a:xfrm>
                          <a:prstGeom prst="rect">
                            <a:avLst/>
                          </a:prstGeom>
                        </pic:spPr>
                      </pic:pic>
                    </a:graphicData>
                  </a:graphic>
                </wp:inline>
              </w:drawing>
            </w:r>
            <w:r>
              <w:rPr>
                <w:rFonts w:cs="宋体"/>
                <w:sz w:val="21"/>
                <w:szCs w:val="21"/>
              </w:rPr>
              <w:t>：达标</w:t>
            </w:r>
            <w:r>
              <w:rPr>
                <w:sz w:val="21"/>
                <w:szCs w:val="21"/>
              </w:rPr>
              <w:drawing>
                <wp:inline distT="0" distB="0" distL="0" distR="0">
                  <wp:extent cx="111125" cy="97790"/>
                  <wp:effectExtent l="0" t="0" r="3175" b="16510"/>
                  <wp:docPr id="219" name="IM 131"/>
                  <wp:cNvGraphicFramePr/>
                  <a:graphic xmlns:a="http://schemas.openxmlformats.org/drawingml/2006/main">
                    <a:graphicData uri="http://schemas.openxmlformats.org/drawingml/2006/picture">
                      <pic:pic xmlns:pic="http://schemas.openxmlformats.org/drawingml/2006/picture">
                        <pic:nvPicPr>
                          <pic:cNvPr id="219" name="IM 131"/>
                          <pic:cNvPicPr/>
                        </pic:nvPicPr>
                        <pic:blipFill>
                          <a:blip r:embed="rId53"/>
                          <a:stretch>
                            <a:fillRect/>
                          </a:stretch>
                        </pic:blipFill>
                        <pic:spPr>
                          <a:xfrm>
                            <a:off x="0" y="0"/>
                            <a:ext cx="111165" cy="97878"/>
                          </a:xfrm>
                          <a:prstGeom prst="rect">
                            <a:avLst/>
                          </a:prstGeom>
                        </pic:spPr>
                      </pic:pic>
                    </a:graphicData>
                  </a:graphic>
                </wp:inline>
              </w:drawing>
            </w:r>
            <w:r>
              <w:rPr>
                <w:rFonts w:cs="宋体"/>
                <w:sz w:val="21"/>
                <w:szCs w:val="21"/>
              </w:rPr>
              <w:t>；不达标</w:t>
            </w:r>
            <w:r>
              <w:rPr>
                <w:sz w:val="21"/>
                <w:szCs w:val="21"/>
              </w:rPr>
              <w:drawing>
                <wp:inline distT="0" distB="0" distL="0" distR="0">
                  <wp:extent cx="111125" cy="97790"/>
                  <wp:effectExtent l="0" t="0" r="3175" b="16510"/>
                  <wp:docPr id="220" name="IM 132"/>
                  <wp:cNvGraphicFramePr/>
                  <a:graphic xmlns:a="http://schemas.openxmlformats.org/drawingml/2006/main">
                    <a:graphicData uri="http://schemas.openxmlformats.org/drawingml/2006/picture">
                      <pic:pic xmlns:pic="http://schemas.openxmlformats.org/drawingml/2006/picture">
                        <pic:nvPicPr>
                          <pic:cNvPr id="220" name="IM 132"/>
                          <pic:cNvPicPr/>
                        </pic:nvPicPr>
                        <pic:blipFill>
                          <a:blip r:embed="rId55"/>
                          <a:stretch>
                            <a:fillRect/>
                          </a:stretch>
                        </pic:blipFill>
                        <pic:spPr>
                          <a:xfrm>
                            <a:off x="0" y="0"/>
                            <a:ext cx="111165" cy="97878"/>
                          </a:xfrm>
                          <a:prstGeom prst="rect">
                            <a:avLst/>
                          </a:prstGeom>
                        </pic:spPr>
                      </pic:pic>
                    </a:graphicData>
                  </a:graphic>
                </wp:inline>
              </w:drawing>
            </w:r>
            <w:r>
              <w:rPr>
                <w:rFonts w:cs="宋体"/>
                <w:sz w:val="21"/>
                <w:szCs w:val="21"/>
              </w:rPr>
              <w:t>对照断面、控制断面等代表性断面的水质状况</w:t>
            </w:r>
            <w:r>
              <w:rPr>
                <w:sz w:val="21"/>
                <w:szCs w:val="21"/>
              </w:rPr>
              <w:drawing>
                <wp:inline distT="0" distB="0" distL="0" distR="0">
                  <wp:extent cx="107315" cy="97790"/>
                  <wp:effectExtent l="0" t="0" r="6985" b="16510"/>
                  <wp:docPr id="221" name="IM 133"/>
                  <wp:cNvGraphicFramePr/>
                  <a:graphic xmlns:a="http://schemas.openxmlformats.org/drawingml/2006/main">
                    <a:graphicData uri="http://schemas.openxmlformats.org/drawingml/2006/picture">
                      <pic:pic xmlns:pic="http://schemas.openxmlformats.org/drawingml/2006/picture">
                        <pic:nvPicPr>
                          <pic:cNvPr id="221" name="IM 133"/>
                          <pic:cNvPicPr/>
                        </pic:nvPicPr>
                        <pic:blipFill>
                          <a:blip r:embed="rId53"/>
                          <a:stretch>
                            <a:fillRect/>
                          </a:stretch>
                        </pic:blipFill>
                        <pic:spPr>
                          <a:xfrm>
                            <a:off x="0" y="0"/>
                            <a:ext cx="107740" cy="97878"/>
                          </a:xfrm>
                          <a:prstGeom prst="rect">
                            <a:avLst/>
                          </a:prstGeom>
                        </pic:spPr>
                      </pic:pic>
                    </a:graphicData>
                  </a:graphic>
                </wp:inline>
              </w:drawing>
            </w:r>
            <w:r>
              <w:rPr>
                <w:rFonts w:hint="eastAsia"/>
                <w:sz w:val="21"/>
                <w:szCs w:val="21"/>
              </w:rPr>
              <w:t>：</w:t>
            </w:r>
            <w:r>
              <w:rPr>
                <w:rFonts w:cs="宋体"/>
                <w:sz w:val="21"/>
                <w:szCs w:val="21"/>
              </w:rPr>
              <w:t>达标</w:t>
            </w:r>
            <w:r>
              <w:rPr>
                <w:sz w:val="21"/>
                <w:szCs w:val="21"/>
              </w:rPr>
              <w:drawing>
                <wp:inline distT="0" distB="0" distL="0" distR="0">
                  <wp:extent cx="107315" cy="97790"/>
                  <wp:effectExtent l="0" t="0" r="6985" b="16510"/>
                  <wp:docPr id="222" name="IM 134"/>
                  <wp:cNvGraphicFramePr/>
                  <a:graphic xmlns:a="http://schemas.openxmlformats.org/drawingml/2006/main">
                    <a:graphicData uri="http://schemas.openxmlformats.org/drawingml/2006/picture">
                      <pic:pic xmlns:pic="http://schemas.openxmlformats.org/drawingml/2006/picture">
                        <pic:nvPicPr>
                          <pic:cNvPr id="222" name="IM 134"/>
                          <pic:cNvPicPr/>
                        </pic:nvPicPr>
                        <pic:blipFill>
                          <a:blip r:embed="rId53"/>
                          <a:stretch>
                            <a:fillRect/>
                          </a:stretch>
                        </pic:blipFill>
                        <pic:spPr>
                          <a:xfrm>
                            <a:off x="0" y="0"/>
                            <a:ext cx="107740" cy="97878"/>
                          </a:xfrm>
                          <a:prstGeom prst="rect">
                            <a:avLst/>
                          </a:prstGeom>
                        </pic:spPr>
                      </pic:pic>
                    </a:graphicData>
                  </a:graphic>
                </wp:inline>
              </w:drawing>
            </w:r>
            <w:r>
              <w:rPr>
                <w:rFonts w:cs="宋体"/>
                <w:sz w:val="21"/>
                <w:szCs w:val="21"/>
              </w:rPr>
              <w:t>；不达标</w:t>
            </w:r>
            <w:r>
              <w:rPr>
                <w:sz w:val="21"/>
                <w:szCs w:val="21"/>
              </w:rPr>
              <w:drawing>
                <wp:inline distT="0" distB="0" distL="0" distR="0">
                  <wp:extent cx="107315" cy="97790"/>
                  <wp:effectExtent l="0" t="0" r="6985" b="16510"/>
                  <wp:docPr id="223" name="IM 135"/>
                  <wp:cNvGraphicFramePr/>
                  <a:graphic xmlns:a="http://schemas.openxmlformats.org/drawingml/2006/main">
                    <a:graphicData uri="http://schemas.openxmlformats.org/drawingml/2006/picture">
                      <pic:pic xmlns:pic="http://schemas.openxmlformats.org/drawingml/2006/picture">
                        <pic:nvPicPr>
                          <pic:cNvPr id="223" name="IM 135"/>
                          <pic:cNvPicPr/>
                        </pic:nvPicPr>
                        <pic:blipFill>
                          <a:blip r:embed="rId53"/>
                          <a:stretch>
                            <a:fillRect/>
                          </a:stretch>
                        </pic:blipFill>
                        <pic:spPr>
                          <a:xfrm>
                            <a:off x="0" y="0"/>
                            <a:ext cx="107613" cy="97878"/>
                          </a:xfrm>
                          <a:prstGeom prst="rect">
                            <a:avLst/>
                          </a:prstGeom>
                        </pic:spPr>
                      </pic:pic>
                    </a:graphicData>
                  </a:graphic>
                </wp:inline>
              </w:drawing>
            </w:r>
            <w:r>
              <w:rPr>
                <w:rFonts w:cs="宋体"/>
                <w:sz w:val="21"/>
                <w:szCs w:val="21"/>
              </w:rPr>
              <w:t>底泥污染评价</w:t>
            </w:r>
            <w:r>
              <w:rPr>
                <w:sz w:val="21"/>
                <w:szCs w:val="21"/>
              </w:rPr>
              <w:drawing>
                <wp:inline distT="0" distB="0" distL="0" distR="0">
                  <wp:extent cx="107315" cy="97790"/>
                  <wp:effectExtent l="0" t="0" r="6985" b="16510"/>
                  <wp:docPr id="224" name="IM 136"/>
                  <wp:cNvGraphicFramePr/>
                  <a:graphic xmlns:a="http://schemas.openxmlformats.org/drawingml/2006/main">
                    <a:graphicData uri="http://schemas.openxmlformats.org/drawingml/2006/picture">
                      <pic:pic xmlns:pic="http://schemas.openxmlformats.org/drawingml/2006/picture">
                        <pic:nvPicPr>
                          <pic:cNvPr id="224" name="IM 136"/>
                          <pic:cNvPicPr/>
                        </pic:nvPicPr>
                        <pic:blipFill>
                          <a:blip r:embed="rId53"/>
                          <a:stretch>
                            <a:fillRect/>
                          </a:stretch>
                        </pic:blipFill>
                        <pic:spPr>
                          <a:xfrm>
                            <a:off x="0" y="0"/>
                            <a:ext cx="107613" cy="97878"/>
                          </a:xfrm>
                          <a:prstGeom prst="rect">
                            <a:avLst/>
                          </a:prstGeom>
                        </pic:spPr>
                      </pic:pic>
                    </a:graphicData>
                  </a:graphic>
                </wp:inline>
              </w:drawing>
            </w:r>
            <w:r>
              <w:rPr>
                <w:rFonts w:cs="宋体"/>
                <w:sz w:val="21"/>
                <w:szCs w:val="21"/>
              </w:rPr>
              <w:t>水资源与开发利用程度及其水文情势评价</w:t>
            </w:r>
            <w:r>
              <w:rPr>
                <w:sz w:val="21"/>
                <w:szCs w:val="21"/>
              </w:rPr>
              <w:drawing>
                <wp:inline distT="0" distB="0" distL="0" distR="0">
                  <wp:extent cx="107315" cy="97790"/>
                  <wp:effectExtent l="0" t="0" r="6985" b="16510"/>
                  <wp:docPr id="225" name="IM 137"/>
                  <wp:cNvGraphicFramePr/>
                  <a:graphic xmlns:a="http://schemas.openxmlformats.org/drawingml/2006/main">
                    <a:graphicData uri="http://schemas.openxmlformats.org/drawingml/2006/picture">
                      <pic:pic xmlns:pic="http://schemas.openxmlformats.org/drawingml/2006/picture">
                        <pic:nvPicPr>
                          <pic:cNvPr id="225" name="IM 137"/>
                          <pic:cNvPicPr/>
                        </pic:nvPicPr>
                        <pic:blipFill>
                          <a:blip r:embed="rId53"/>
                          <a:stretch>
                            <a:fillRect/>
                          </a:stretch>
                        </pic:blipFill>
                        <pic:spPr>
                          <a:xfrm>
                            <a:off x="0" y="0"/>
                            <a:ext cx="107867" cy="97878"/>
                          </a:xfrm>
                          <a:prstGeom prst="rect">
                            <a:avLst/>
                          </a:prstGeom>
                        </pic:spPr>
                      </pic:pic>
                    </a:graphicData>
                  </a:graphic>
                </wp:inline>
              </w:drawing>
            </w:r>
            <w:r>
              <w:rPr>
                <w:rFonts w:cs="宋体"/>
                <w:sz w:val="21"/>
                <w:szCs w:val="21"/>
              </w:rPr>
              <w:t>水环境质量回顾评价</w:t>
            </w:r>
            <w:r>
              <w:rPr>
                <w:sz w:val="21"/>
                <w:szCs w:val="21"/>
              </w:rPr>
              <w:drawing>
                <wp:inline distT="0" distB="0" distL="0" distR="0">
                  <wp:extent cx="107315" cy="97790"/>
                  <wp:effectExtent l="0" t="0" r="6985" b="16510"/>
                  <wp:docPr id="226" name="IM 138"/>
                  <wp:cNvGraphicFramePr/>
                  <a:graphic xmlns:a="http://schemas.openxmlformats.org/drawingml/2006/main">
                    <a:graphicData uri="http://schemas.openxmlformats.org/drawingml/2006/picture">
                      <pic:pic xmlns:pic="http://schemas.openxmlformats.org/drawingml/2006/picture">
                        <pic:nvPicPr>
                          <pic:cNvPr id="226" name="IM 138"/>
                          <pic:cNvPicPr/>
                        </pic:nvPicPr>
                        <pic:blipFill>
                          <a:blip r:embed="rId53"/>
                          <a:stretch>
                            <a:fillRect/>
                          </a:stretch>
                        </pic:blipFill>
                        <pic:spPr>
                          <a:xfrm>
                            <a:off x="0" y="0"/>
                            <a:ext cx="107613" cy="97878"/>
                          </a:xfrm>
                          <a:prstGeom prst="rect">
                            <a:avLst/>
                          </a:prstGeom>
                        </pic:spPr>
                      </pic:pic>
                    </a:graphicData>
                  </a:graphic>
                </wp:inline>
              </w:drawing>
            </w:r>
            <w:r>
              <w:rPr>
                <w:rFonts w:cs="宋体"/>
                <w:sz w:val="21"/>
                <w:szCs w:val="21"/>
              </w:rPr>
              <w:t>流域</w:t>
            </w:r>
            <w:r>
              <w:rPr>
                <w:rFonts w:hint="eastAsia" w:cs="宋体"/>
                <w:sz w:val="21"/>
                <w:szCs w:val="21"/>
              </w:rPr>
              <w:t>（</w:t>
            </w:r>
            <w:r>
              <w:rPr>
                <w:rFonts w:cs="宋体"/>
                <w:sz w:val="21"/>
                <w:szCs w:val="21"/>
              </w:rPr>
              <w:t>区域</w:t>
            </w:r>
            <w:r>
              <w:rPr>
                <w:rFonts w:hint="eastAsia" w:cs="宋体"/>
                <w:sz w:val="21"/>
                <w:szCs w:val="21"/>
              </w:rPr>
              <w:t>）</w:t>
            </w:r>
            <w:r>
              <w:rPr>
                <w:rFonts w:cs="宋体"/>
                <w:sz w:val="21"/>
                <w:szCs w:val="21"/>
              </w:rPr>
              <w:t>水资源</w:t>
            </w:r>
            <w:r>
              <w:rPr>
                <w:rFonts w:hint="eastAsia" w:cs="宋体"/>
                <w:sz w:val="21"/>
                <w:szCs w:val="21"/>
              </w:rPr>
              <w:t>（</w:t>
            </w:r>
            <w:r>
              <w:rPr>
                <w:rFonts w:cs="宋体"/>
                <w:sz w:val="21"/>
                <w:szCs w:val="21"/>
              </w:rPr>
              <w:t>包括水能资源</w:t>
            </w:r>
            <w:r>
              <w:rPr>
                <w:rFonts w:hint="eastAsia" w:cs="宋体"/>
                <w:sz w:val="21"/>
                <w:szCs w:val="21"/>
              </w:rPr>
              <w:t>）</w:t>
            </w:r>
            <w:r>
              <w:rPr>
                <w:rFonts w:cs="宋体"/>
                <w:sz w:val="21"/>
                <w:szCs w:val="21"/>
              </w:rPr>
              <w:t>与开发利用总体状况、生态流量管理要求与现状满足程度、建设项目占用水域空间的水流状况与河湖演变状况</w:t>
            </w:r>
            <w:r>
              <w:rPr>
                <w:sz w:val="21"/>
                <w:szCs w:val="21"/>
              </w:rPr>
              <w:drawing>
                <wp:inline distT="0" distB="0" distL="0" distR="0">
                  <wp:extent cx="107315" cy="97790"/>
                  <wp:effectExtent l="0" t="0" r="6985" b="16510"/>
                  <wp:docPr id="227" name="IM 139"/>
                  <wp:cNvGraphicFramePr/>
                  <a:graphic xmlns:a="http://schemas.openxmlformats.org/drawingml/2006/main">
                    <a:graphicData uri="http://schemas.openxmlformats.org/drawingml/2006/picture">
                      <pic:pic xmlns:pic="http://schemas.openxmlformats.org/drawingml/2006/picture">
                        <pic:nvPicPr>
                          <pic:cNvPr id="227" name="IM 139"/>
                          <pic:cNvPicPr/>
                        </pic:nvPicPr>
                        <pic:blipFill>
                          <a:blip r:embed="rId53"/>
                          <a:stretch>
                            <a:fillRect/>
                          </a:stretch>
                        </pic:blipFill>
                        <pic:spPr>
                          <a:xfrm>
                            <a:off x="0" y="0"/>
                            <a:ext cx="107867" cy="97878"/>
                          </a:xfrm>
                          <a:prstGeom prst="rect">
                            <a:avLst/>
                          </a:prstGeom>
                        </pic:spPr>
                      </pic:pic>
                    </a:graphicData>
                  </a:graphic>
                </wp:inline>
              </w:drawing>
            </w:r>
          </w:p>
        </w:tc>
        <w:tc>
          <w:tcPr>
            <w:tcW w:w="901" w:type="pct"/>
            <w:gridSpan w:val="2"/>
            <w:tcBorders>
              <w:tl2br w:val="nil"/>
              <w:tr2bl w:val="nil"/>
            </w:tcBorders>
            <w:vAlign w:val="center"/>
          </w:tcPr>
          <w:p w14:paraId="250D1612">
            <w:pPr>
              <w:ind w:firstLine="0" w:firstLineChars="0"/>
              <w:jc w:val="center"/>
              <w:rPr>
                <w:sz w:val="21"/>
                <w:szCs w:val="21"/>
              </w:rPr>
            </w:pPr>
            <w:r>
              <w:rPr>
                <w:rFonts w:cs="宋体"/>
                <w:sz w:val="21"/>
                <w:szCs w:val="21"/>
              </w:rPr>
              <w:t>达标区</w:t>
            </w:r>
            <w:r>
              <w:rPr>
                <w:sz w:val="21"/>
                <w:szCs w:val="21"/>
              </w:rPr>
              <w:drawing>
                <wp:inline distT="0" distB="0" distL="0" distR="0">
                  <wp:extent cx="107315" cy="97790"/>
                  <wp:effectExtent l="0" t="0" r="6985" b="16510"/>
                  <wp:docPr id="228" name="IM 140"/>
                  <wp:cNvGraphicFramePr/>
                  <a:graphic xmlns:a="http://schemas.openxmlformats.org/drawingml/2006/main">
                    <a:graphicData uri="http://schemas.openxmlformats.org/drawingml/2006/picture">
                      <pic:pic xmlns:pic="http://schemas.openxmlformats.org/drawingml/2006/picture">
                        <pic:nvPicPr>
                          <pic:cNvPr id="228" name="IM 140"/>
                          <pic:cNvPicPr/>
                        </pic:nvPicPr>
                        <pic:blipFill>
                          <a:blip r:embed="rId54"/>
                          <a:stretch>
                            <a:fillRect/>
                          </a:stretch>
                        </pic:blipFill>
                        <pic:spPr>
                          <a:xfrm>
                            <a:off x="0" y="0"/>
                            <a:ext cx="107613" cy="97878"/>
                          </a:xfrm>
                          <a:prstGeom prst="rect">
                            <a:avLst/>
                          </a:prstGeom>
                        </pic:spPr>
                      </pic:pic>
                    </a:graphicData>
                  </a:graphic>
                </wp:inline>
              </w:drawing>
            </w:r>
          </w:p>
          <w:p w14:paraId="02147421">
            <w:pPr>
              <w:ind w:firstLine="0" w:firstLineChars="0"/>
              <w:jc w:val="center"/>
              <w:rPr>
                <w:sz w:val="21"/>
                <w:szCs w:val="21"/>
              </w:rPr>
            </w:pPr>
            <w:r>
              <w:rPr>
                <w:rFonts w:cs="宋体"/>
                <w:sz w:val="21"/>
                <w:szCs w:val="21"/>
              </w:rPr>
              <w:t>不达标区</w:t>
            </w:r>
            <w:r>
              <w:rPr>
                <w:sz w:val="21"/>
                <w:szCs w:val="21"/>
              </w:rPr>
              <w:drawing>
                <wp:inline distT="0" distB="0" distL="0" distR="0">
                  <wp:extent cx="107315" cy="97790"/>
                  <wp:effectExtent l="0" t="0" r="6985" b="16510"/>
                  <wp:docPr id="229" name="IM 141"/>
                  <wp:cNvGraphicFramePr/>
                  <a:graphic xmlns:a="http://schemas.openxmlformats.org/drawingml/2006/main">
                    <a:graphicData uri="http://schemas.openxmlformats.org/drawingml/2006/picture">
                      <pic:pic xmlns:pic="http://schemas.openxmlformats.org/drawingml/2006/picture">
                        <pic:nvPicPr>
                          <pic:cNvPr id="229" name="IM 141"/>
                          <pic:cNvPicPr/>
                        </pic:nvPicPr>
                        <pic:blipFill>
                          <a:blip r:embed="rId55"/>
                          <a:stretch>
                            <a:fillRect/>
                          </a:stretch>
                        </pic:blipFill>
                        <pic:spPr>
                          <a:xfrm>
                            <a:off x="0" y="0"/>
                            <a:ext cx="107612" cy="97878"/>
                          </a:xfrm>
                          <a:prstGeom prst="rect">
                            <a:avLst/>
                          </a:prstGeom>
                        </pic:spPr>
                      </pic:pic>
                    </a:graphicData>
                  </a:graphic>
                </wp:inline>
              </w:drawing>
            </w:r>
          </w:p>
        </w:tc>
      </w:tr>
      <w:tr w14:paraId="4EBAA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restart"/>
            <w:tcBorders>
              <w:tl2br w:val="nil"/>
              <w:tr2bl w:val="nil"/>
            </w:tcBorders>
            <w:textDirection w:val="tbRlV"/>
            <w:vAlign w:val="center"/>
          </w:tcPr>
          <w:p w14:paraId="55CCF682">
            <w:pPr>
              <w:ind w:firstLine="0" w:firstLineChars="0"/>
              <w:jc w:val="center"/>
              <w:rPr>
                <w:rFonts w:cs="宋体"/>
                <w:sz w:val="21"/>
                <w:szCs w:val="21"/>
              </w:rPr>
            </w:pPr>
            <w:r>
              <w:rPr>
                <w:rFonts w:cs="宋体"/>
                <w:sz w:val="21"/>
                <w:szCs w:val="21"/>
              </w:rPr>
              <w:t>影响预测</w:t>
            </w:r>
          </w:p>
        </w:tc>
        <w:tc>
          <w:tcPr>
            <w:tcW w:w="831" w:type="pct"/>
            <w:tcBorders>
              <w:tl2br w:val="nil"/>
              <w:tr2bl w:val="nil"/>
            </w:tcBorders>
            <w:vAlign w:val="center"/>
          </w:tcPr>
          <w:p w14:paraId="3319C247">
            <w:pPr>
              <w:ind w:firstLine="0" w:firstLineChars="0"/>
              <w:jc w:val="center"/>
              <w:rPr>
                <w:rFonts w:cs="宋体"/>
                <w:sz w:val="21"/>
                <w:szCs w:val="21"/>
              </w:rPr>
            </w:pPr>
            <w:r>
              <w:rPr>
                <w:rFonts w:cs="宋体"/>
                <w:sz w:val="21"/>
                <w:szCs w:val="21"/>
              </w:rPr>
              <w:t>预测范围</w:t>
            </w:r>
          </w:p>
        </w:tc>
        <w:tc>
          <w:tcPr>
            <w:tcW w:w="3910" w:type="pct"/>
            <w:gridSpan w:val="13"/>
            <w:tcBorders>
              <w:tl2br w:val="nil"/>
              <w:tr2bl w:val="nil"/>
            </w:tcBorders>
            <w:vAlign w:val="center"/>
          </w:tcPr>
          <w:p w14:paraId="7E3EEA97">
            <w:pPr>
              <w:ind w:firstLine="0" w:firstLineChars="0"/>
              <w:jc w:val="center"/>
              <w:rPr>
                <w:sz w:val="21"/>
                <w:szCs w:val="14"/>
              </w:rPr>
            </w:pPr>
            <w:r>
              <w:rPr>
                <w:rFonts w:cs="宋体"/>
                <w:sz w:val="21"/>
                <w:szCs w:val="21"/>
              </w:rPr>
              <w:t>河流：长度</w:t>
            </w:r>
            <w:r>
              <w:rPr>
                <w:rFonts w:hint="eastAsia" w:cs="宋体"/>
                <w:sz w:val="21"/>
                <w:szCs w:val="21"/>
              </w:rPr>
              <w:t>（</w:t>
            </w:r>
            <w:r>
              <w:rPr>
                <w:sz w:val="21"/>
                <w:szCs w:val="21"/>
              </w:rPr>
              <w:t>/</w:t>
            </w:r>
            <w:r>
              <w:rPr>
                <w:rFonts w:hint="eastAsia" w:cs="宋体"/>
                <w:sz w:val="21"/>
                <w:szCs w:val="21"/>
              </w:rPr>
              <w:t>）</w:t>
            </w:r>
            <w:r>
              <w:rPr>
                <w:sz w:val="21"/>
                <w:szCs w:val="21"/>
              </w:rPr>
              <w:t>km</w:t>
            </w:r>
            <w:r>
              <w:rPr>
                <w:rFonts w:cs="宋体"/>
                <w:sz w:val="21"/>
                <w:szCs w:val="21"/>
              </w:rPr>
              <w:t>；湖库、河口及近岸海域：面积</w:t>
            </w:r>
            <w:r>
              <w:rPr>
                <w:rFonts w:hint="eastAsia" w:cs="宋体"/>
                <w:sz w:val="21"/>
                <w:szCs w:val="21"/>
              </w:rPr>
              <w:t>（</w:t>
            </w:r>
            <w:r>
              <w:rPr>
                <w:sz w:val="21"/>
                <w:szCs w:val="21"/>
              </w:rPr>
              <w:t>/</w:t>
            </w:r>
            <w:r>
              <w:rPr>
                <w:rFonts w:hint="eastAsia" w:cs="宋体"/>
                <w:sz w:val="21"/>
                <w:szCs w:val="21"/>
              </w:rPr>
              <w:t>）</w:t>
            </w:r>
            <w:r>
              <w:rPr>
                <w:sz w:val="21"/>
                <w:szCs w:val="21"/>
              </w:rPr>
              <w:t>km</w:t>
            </w:r>
            <w:r>
              <w:rPr>
                <w:sz w:val="21"/>
                <w:szCs w:val="14"/>
                <w:vertAlign w:val="superscript"/>
              </w:rPr>
              <w:t>2</w:t>
            </w:r>
          </w:p>
        </w:tc>
      </w:tr>
      <w:tr w14:paraId="381CB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6A199C17">
            <w:pPr>
              <w:ind w:firstLine="0" w:firstLineChars="0"/>
              <w:jc w:val="center"/>
              <w:rPr>
                <w:sz w:val="21"/>
              </w:rPr>
            </w:pPr>
          </w:p>
        </w:tc>
        <w:tc>
          <w:tcPr>
            <w:tcW w:w="831" w:type="pct"/>
            <w:tcBorders>
              <w:tl2br w:val="nil"/>
              <w:tr2bl w:val="nil"/>
            </w:tcBorders>
            <w:vAlign w:val="center"/>
          </w:tcPr>
          <w:p w14:paraId="73861E7B">
            <w:pPr>
              <w:ind w:firstLine="0" w:firstLineChars="0"/>
              <w:jc w:val="center"/>
              <w:rPr>
                <w:rFonts w:cs="宋体"/>
                <w:sz w:val="21"/>
                <w:szCs w:val="21"/>
              </w:rPr>
            </w:pPr>
            <w:r>
              <w:rPr>
                <w:rFonts w:cs="宋体"/>
                <w:sz w:val="21"/>
                <w:szCs w:val="21"/>
              </w:rPr>
              <w:t>预测因子</w:t>
            </w:r>
          </w:p>
        </w:tc>
        <w:tc>
          <w:tcPr>
            <w:tcW w:w="3910" w:type="pct"/>
            <w:gridSpan w:val="13"/>
            <w:tcBorders>
              <w:tl2br w:val="nil"/>
              <w:tr2bl w:val="nil"/>
            </w:tcBorders>
            <w:vAlign w:val="center"/>
          </w:tcPr>
          <w:p w14:paraId="7B4C45BF">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r>
      <w:tr w14:paraId="4FE39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6" w:hRule="atLeast"/>
          <w:jc w:val="center"/>
        </w:trPr>
        <w:tc>
          <w:tcPr>
            <w:tcW w:w="258" w:type="pct"/>
            <w:vMerge w:val="continue"/>
            <w:tcBorders>
              <w:tl2br w:val="nil"/>
              <w:tr2bl w:val="nil"/>
            </w:tcBorders>
            <w:textDirection w:val="tbRlV"/>
            <w:vAlign w:val="center"/>
          </w:tcPr>
          <w:p w14:paraId="403F1C23">
            <w:pPr>
              <w:ind w:firstLine="0" w:firstLineChars="0"/>
              <w:jc w:val="center"/>
              <w:rPr>
                <w:sz w:val="21"/>
              </w:rPr>
            </w:pPr>
          </w:p>
        </w:tc>
        <w:tc>
          <w:tcPr>
            <w:tcW w:w="831" w:type="pct"/>
            <w:tcBorders>
              <w:tl2br w:val="nil"/>
              <w:tr2bl w:val="nil"/>
            </w:tcBorders>
            <w:vAlign w:val="center"/>
          </w:tcPr>
          <w:p w14:paraId="50273CD6">
            <w:pPr>
              <w:ind w:firstLine="0" w:firstLineChars="0"/>
              <w:jc w:val="center"/>
              <w:rPr>
                <w:rFonts w:cs="宋体"/>
                <w:sz w:val="21"/>
                <w:szCs w:val="21"/>
              </w:rPr>
            </w:pPr>
            <w:r>
              <w:rPr>
                <w:rFonts w:cs="宋体"/>
                <w:sz w:val="21"/>
                <w:szCs w:val="21"/>
              </w:rPr>
              <w:t>预测时期</w:t>
            </w:r>
          </w:p>
        </w:tc>
        <w:tc>
          <w:tcPr>
            <w:tcW w:w="3910" w:type="pct"/>
            <w:gridSpan w:val="13"/>
            <w:tcBorders>
              <w:tl2br w:val="nil"/>
              <w:tr2bl w:val="nil"/>
            </w:tcBorders>
            <w:vAlign w:val="center"/>
          </w:tcPr>
          <w:p w14:paraId="0C55BA95">
            <w:pPr>
              <w:ind w:firstLine="0" w:firstLineChars="0"/>
              <w:jc w:val="center"/>
              <w:rPr>
                <w:sz w:val="21"/>
                <w:szCs w:val="21"/>
              </w:rPr>
            </w:pPr>
            <w:r>
              <w:rPr>
                <w:rFonts w:cs="宋体"/>
                <w:sz w:val="21"/>
                <w:szCs w:val="21"/>
              </w:rPr>
              <w:t>丰水期</w:t>
            </w:r>
            <w:r>
              <w:rPr>
                <w:sz w:val="21"/>
                <w:szCs w:val="21"/>
              </w:rPr>
              <w:drawing>
                <wp:inline distT="0" distB="0" distL="0" distR="0">
                  <wp:extent cx="113030" cy="97790"/>
                  <wp:effectExtent l="0" t="0" r="1270" b="16510"/>
                  <wp:docPr id="230" name="IM 142"/>
                  <wp:cNvGraphicFramePr/>
                  <a:graphic xmlns:a="http://schemas.openxmlformats.org/drawingml/2006/main">
                    <a:graphicData uri="http://schemas.openxmlformats.org/drawingml/2006/picture">
                      <pic:pic xmlns:pic="http://schemas.openxmlformats.org/drawingml/2006/picture">
                        <pic:nvPicPr>
                          <pic:cNvPr id="230" name="IM 142"/>
                          <pic:cNvPicPr/>
                        </pic:nvPicPr>
                        <pic:blipFill>
                          <a:blip r:embed="rId57"/>
                          <a:stretch>
                            <a:fillRect/>
                          </a:stretch>
                        </pic:blipFill>
                        <pic:spPr>
                          <a:xfrm>
                            <a:off x="0" y="0"/>
                            <a:ext cx="113650" cy="97878"/>
                          </a:xfrm>
                          <a:prstGeom prst="rect">
                            <a:avLst/>
                          </a:prstGeom>
                        </pic:spPr>
                      </pic:pic>
                    </a:graphicData>
                  </a:graphic>
                </wp:inline>
              </w:drawing>
            </w:r>
            <w:r>
              <w:rPr>
                <w:rFonts w:cs="宋体"/>
                <w:sz w:val="21"/>
                <w:szCs w:val="21"/>
              </w:rPr>
              <w:t>；平水期</w:t>
            </w:r>
            <w:r>
              <w:rPr>
                <w:sz w:val="21"/>
                <w:szCs w:val="21"/>
              </w:rPr>
              <w:drawing>
                <wp:inline distT="0" distB="0" distL="0" distR="0">
                  <wp:extent cx="113030" cy="97790"/>
                  <wp:effectExtent l="0" t="0" r="1270" b="16510"/>
                  <wp:docPr id="231" name="IM 143"/>
                  <wp:cNvGraphicFramePr/>
                  <a:graphic xmlns:a="http://schemas.openxmlformats.org/drawingml/2006/main">
                    <a:graphicData uri="http://schemas.openxmlformats.org/drawingml/2006/picture">
                      <pic:pic xmlns:pic="http://schemas.openxmlformats.org/drawingml/2006/picture">
                        <pic:nvPicPr>
                          <pic:cNvPr id="231" name="IM 143"/>
                          <pic:cNvPicPr/>
                        </pic:nvPicPr>
                        <pic:blipFill>
                          <a:blip r:embed="rId56"/>
                          <a:stretch>
                            <a:fillRect/>
                          </a:stretch>
                        </pic:blipFill>
                        <pic:spPr>
                          <a:xfrm>
                            <a:off x="0" y="0"/>
                            <a:ext cx="113650" cy="97878"/>
                          </a:xfrm>
                          <a:prstGeom prst="rect">
                            <a:avLst/>
                          </a:prstGeom>
                        </pic:spPr>
                      </pic:pic>
                    </a:graphicData>
                  </a:graphic>
                </wp:inline>
              </w:drawing>
            </w:r>
            <w:r>
              <w:rPr>
                <w:rFonts w:cs="宋体"/>
                <w:sz w:val="21"/>
                <w:szCs w:val="21"/>
              </w:rPr>
              <w:t>；枯水期</w:t>
            </w:r>
            <w:r>
              <w:rPr>
                <w:sz w:val="21"/>
                <w:szCs w:val="21"/>
              </w:rPr>
              <w:drawing>
                <wp:inline distT="0" distB="0" distL="0" distR="0">
                  <wp:extent cx="113030" cy="97790"/>
                  <wp:effectExtent l="0" t="0" r="1270" b="16510"/>
                  <wp:docPr id="232" name="IM 144"/>
                  <wp:cNvGraphicFramePr/>
                  <a:graphic xmlns:a="http://schemas.openxmlformats.org/drawingml/2006/main">
                    <a:graphicData uri="http://schemas.openxmlformats.org/drawingml/2006/picture">
                      <pic:pic xmlns:pic="http://schemas.openxmlformats.org/drawingml/2006/picture">
                        <pic:nvPicPr>
                          <pic:cNvPr id="232" name="IM 144"/>
                          <pic:cNvPicPr/>
                        </pic:nvPicPr>
                        <pic:blipFill>
                          <a:blip r:embed="rId57"/>
                          <a:stretch>
                            <a:fillRect/>
                          </a:stretch>
                        </pic:blipFill>
                        <pic:spPr>
                          <a:xfrm>
                            <a:off x="0" y="0"/>
                            <a:ext cx="113650" cy="97878"/>
                          </a:xfrm>
                          <a:prstGeom prst="rect">
                            <a:avLst/>
                          </a:prstGeom>
                        </pic:spPr>
                      </pic:pic>
                    </a:graphicData>
                  </a:graphic>
                </wp:inline>
              </w:drawing>
            </w:r>
            <w:r>
              <w:rPr>
                <w:rFonts w:cs="宋体"/>
                <w:sz w:val="21"/>
                <w:szCs w:val="21"/>
              </w:rPr>
              <w:t>；冰封期</w:t>
            </w:r>
            <w:r>
              <w:rPr>
                <w:sz w:val="21"/>
                <w:szCs w:val="21"/>
              </w:rPr>
              <w:drawing>
                <wp:inline distT="0" distB="0" distL="0" distR="0">
                  <wp:extent cx="113030" cy="97790"/>
                  <wp:effectExtent l="0" t="0" r="1270" b="16510"/>
                  <wp:docPr id="233" name="IM 145"/>
                  <wp:cNvGraphicFramePr/>
                  <a:graphic xmlns:a="http://schemas.openxmlformats.org/drawingml/2006/main">
                    <a:graphicData uri="http://schemas.openxmlformats.org/drawingml/2006/picture">
                      <pic:pic xmlns:pic="http://schemas.openxmlformats.org/drawingml/2006/picture">
                        <pic:nvPicPr>
                          <pic:cNvPr id="233" name="IM 145"/>
                          <pic:cNvPicPr/>
                        </pic:nvPicPr>
                        <pic:blipFill>
                          <a:blip r:embed="rId56"/>
                          <a:stretch>
                            <a:fillRect/>
                          </a:stretch>
                        </pic:blipFill>
                        <pic:spPr>
                          <a:xfrm>
                            <a:off x="0" y="0"/>
                            <a:ext cx="113650" cy="97878"/>
                          </a:xfrm>
                          <a:prstGeom prst="rect">
                            <a:avLst/>
                          </a:prstGeom>
                        </pic:spPr>
                      </pic:pic>
                    </a:graphicData>
                  </a:graphic>
                </wp:inline>
              </w:drawing>
            </w:r>
            <w:r>
              <w:rPr>
                <w:rFonts w:cs="宋体"/>
                <w:sz w:val="21"/>
                <w:szCs w:val="21"/>
              </w:rPr>
              <w:t>；春季</w:t>
            </w:r>
            <w:r>
              <w:rPr>
                <w:sz w:val="21"/>
                <w:szCs w:val="21"/>
              </w:rPr>
              <w:drawing>
                <wp:inline distT="0" distB="0" distL="0" distR="0">
                  <wp:extent cx="113030" cy="97790"/>
                  <wp:effectExtent l="0" t="0" r="1270" b="16510"/>
                  <wp:docPr id="234" name="IM 146"/>
                  <wp:cNvGraphicFramePr/>
                  <a:graphic xmlns:a="http://schemas.openxmlformats.org/drawingml/2006/main">
                    <a:graphicData uri="http://schemas.openxmlformats.org/drawingml/2006/picture">
                      <pic:pic xmlns:pic="http://schemas.openxmlformats.org/drawingml/2006/picture">
                        <pic:nvPicPr>
                          <pic:cNvPr id="234" name="IM 146"/>
                          <pic:cNvPicPr/>
                        </pic:nvPicPr>
                        <pic:blipFill>
                          <a:blip r:embed="rId57"/>
                          <a:stretch>
                            <a:fillRect/>
                          </a:stretch>
                        </pic:blipFill>
                        <pic:spPr>
                          <a:xfrm>
                            <a:off x="0" y="0"/>
                            <a:ext cx="113650" cy="97878"/>
                          </a:xfrm>
                          <a:prstGeom prst="rect">
                            <a:avLst/>
                          </a:prstGeom>
                        </pic:spPr>
                      </pic:pic>
                    </a:graphicData>
                  </a:graphic>
                </wp:inline>
              </w:drawing>
            </w:r>
            <w:r>
              <w:rPr>
                <w:rFonts w:cs="宋体"/>
                <w:sz w:val="21"/>
                <w:szCs w:val="21"/>
              </w:rPr>
              <w:t>；夏季</w:t>
            </w:r>
            <w:r>
              <w:rPr>
                <w:sz w:val="21"/>
                <w:szCs w:val="21"/>
              </w:rPr>
              <w:drawing>
                <wp:inline distT="0" distB="0" distL="0" distR="0">
                  <wp:extent cx="113030" cy="97790"/>
                  <wp:effectExtent l="0" t="0" r="1270" b="16510"/>
                  <wp:docPr id="235" name="IM 147"/>
                  <wp:cNvGraphicFramePr/>
                  <a:graphic xmlns:a="http://schemas.openxmlformats.org/drawingml/2006/main">
                    <a:graphicData uri="http://schemas.openxmlformats.org/drawingml/2006/picture">
                      <pic:pic xmlns:pic="http://schemas.openxmlformats.org/drawingml/2006/picture">
                        <pic:nvPicPr>
                          <pic:cNvPr id="235" name="IM 147"/>
                          <pic:cNvPicPr/>
                        </pic:nvPicPr>
                        <pic:blipFill>
                          <a:blip r:embed="rId56"/>
                          <a:stretch>
                            <a:fillRect/>
                          </a:stretch>
                        </pic:blipFill>
                        <pic:spPr>
                          <a:xfrm>
                            <a:off x="0" y="0"/>
                            <a:ext cx="113650" cy="97878"/>
                          </a:xfrm>
                          <a:prstGeom prst="rect">
                            <a:avLst/>
                          </a:prstGeom>
                        </pic:spPr>
                      </pic:pic>
                    </a:graphicData>
                  </a:graphic>
                </wp:inline>
              </w:drawing>
            </w:r>
            <w:r>
              <w:rPr>
                <w:rFonts w:cs="宋体"/>
                <w:sz w:val="21"/>
                <w:szCs w:val="21"/>
              </w:rPr>
              <w:t>；秋季</w:t>
            </w:r>
            <w:r>
              <w:rPr>
                <w:sz w:val="21"/>
                <w:szCs w:val="21"/>
              </w:rPr>
              <w:drawing>
                <wp:inline distT="0" distB="0" distL="0" distR="0">
                  <wp:extent cx="113030" cy="97790"/>
                  <wp:effectExtent l="0" t="0" r="1270" b="16510"/>
                  <wp:docPr id="236" name="IM 148"/>
                  <wp:cNvGraphicFramePr/>
                  <a:graphic xmlns:a="http://schemas.openxmlformats.org/drawingml/2006/main">
                    <a:graphicData uri="http://schemas.openxmlformats.org/drawingml/2006/picture">
                      <pic:pic xmlns:pic="http://schemas.openxmlformats.org/drawingml/2006/picture">
                        <pic:nvPicPr>
                          <pic:cNvPr id="236" name="IM 148"/>
                          <pic:cNvPicPr/>
                        </pic:nvPicPr>
                        <pic:blipFill>
                          <a:blip r:embed="rId57"/>
                          <a:stretch>
                            <a:fillRect/>
                          </a:stretch>
                        </pic:blipFill>
                        <pic:spPr>
                          <a:xfrm>
                            <a:off x="0" y="0"/>
                            <a:ext cx="113650" cy="97878"/>
                          </a:xfrm>
                          <a:prstGeom prst="rect">
                            <a:avLst/>
                          </a:prstGeom>
                        </pic:spPr>
                      </pic:pic>
                    </a:graphicData>
                  </a:graphic>
                </wp:inline>
              </w:drawing>
            </w:r>
            <w:r>
              <w:rPr>
                <w:rFonts w:cs="宋体"/>
                <w:sz w:val="21"/>
                <w:szCs w:val="21"/>
              </w:rPr>
              <w:t>；冬季</w:t>
            </w:r>
            <w:r>
              <w:rPr>
                <w:rFonts w:cs="宋体"/>
                <w:sz w:val="21"/>
                <w:szCs w:val="21"/>
              </w:rPr>
              <w:drawing>
                <wp:inline distT="0" distB="0" distL="0" distR="0">
                  <wp:extent cx="104775" cy="97790"/>
                  <wp:effectExtent l="0" t="0" r="9525" b="16510"/>
                  <wp:docPr id="237" name="IM 149"/>
                  <wp:cNvGraphicFramePr/>
                  <a:graphic xmlns:a="http://schemas.openxmlformats.org/drawingml/2006/main">
                    <a:graphicData uri="http://schemas.openxmlformats.org/drawingml/2006/picture">
                      <pic:pic xmlns:pic="http://schemas.openxmlformats.org/drawingml/2006/picture">
                        <pic:nvPicPr>
                          <pic:cNvPr id="237" name="IM 149"/>
                          <pic:cNvPicPr/>
                        </pic:nvPicPr>
                        <pic:blipFill>
                          <a:blip r:embed="rId56"/>
                          <a:stretch>
                            <a:fillRect/>
                          </a:stretch>
                        </pic:blipFill>
                        <pic:spPr>
                          <a:xfrm>
                            <a:off x="0" y="0"/>
                            <a:ext cx="105006" cy="97878"/>
                          </a:xfrm>
                          <a:prstGeom prst="rect">
                            <a:avLst/>
                          </a:prstGeom>
                        </pic:spPr>
                      </pic:pic>
                    </a:graphicData>
                  </a:graphic>
                </wp:inline>
              </w:drawing>
            </w:r>
            <w:r>
              <w:rPr>
                <w:rFonts w:cs="宋体"/>
                <w:sz w:val="21"/>
                <w:szCs w:val="21"/>
              </w:rPr>
              <w:t>；设计水文条件</w:t>
            </w:r>
            <w:r>
              <w:rPr>
                <w:sz w:val="21"/>
                <w:szCs w:val="21"/>
              </w:rPr>
              <w:drawing>
                <wp:inline distT="0" distB="0" distL="0" distR="0">
                  <wp:extent cx="104775" cy="97790"/>
                  <wp:effectExtent l="0" t="0" r="9525" b="16510"/>
                  <wp:docPr id="238" name="IM 150"/>
                  <wp:cNvGraphicFramePr/>
                  <a:graphic xmlns:a="http://schemas.openxmlformats.org/drawingml/2006/main">
                    <a:graphicData uri="http://schemas.openxmlformats.org/drawingml/2006/picture">
                      <pic:pic xmlns:pic="http://schemas.openxmlformats.org/drawingml/2006/picture">
                        <pic:nvPicPr>
                          <pic:cNvPr id="238" name="IM 150"/>
                          <pic:cNvPicPr/>
                        </pic:nvPicPr>
                        <pic:blipFill>
                          <a:blip r:embed="rId56"/>
                          <a:stretch>
                            <a:fillRect/>
                          </a:stretch>
                        </pic:blipFill>
                        <pic:spPr>
                          <a:xfrm>
                            <a:off x="0" y="0"/>
                            <a:ext cx="105006" cy="97878"/>
                          </a:xfrm>
                          <a:prstGeom prst="rect">
                            <a:avLst/>
                          </a:prstGeom>
                        </pic:spPr>
                      </pic:pic>
                    </a:graphicData>
                  </a:graphic>
                </wp:inline>
              </w:drawing>
            </w:r>
          </w:p>
        </w:tc>
      </w:tr>
      <w:tr w14:paraId="0BB6A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04" w:hRule="atLeast"/>
          <w:jc w:val="center"/>
        </w:trPr>
        <w:tc>
          <w:tcPr>
            <w:tcW w:w="258" w:type="pct"/>
            <w:vMerge w:val="continue"/>
            <w:tcBorders>
              <w:tl2br w:val="nil"/>
              <w:tr2bl w:val="nil"/>
            </w:tcBorders>
            <w:textDirection w:val="tbRlV"/>
            <w:vAlign w:val="center"/>
          </w:tcPr>
          <w:p w14:paraId="69D63D7D">
            <w:pPr>
              <w:ind w:firstLine="0" w:firstLineChars="0"/>
              <w:jc w:val="center"/>
              <w:rPr>
                <w:sz w:val="21"/>
              </w:rPr>
            </w:pPr>
          </w:p>
        </w:tc>
        <w:tc>
          <w:tcPr>
            <w:tcW w:w="831" w:type="pct"/>
            <w:tcBorders>
              <w:tl2br w:val="nil"/>
              <w:tr2bl w:val="nil"/>
            </w:tcBorders>
            <w:vAlign w:val="center"/>
          </w:tcPr>
          <w:p w14:paraId="5B01C19F">
            <w:pPr>
              <w:ind w:firstLine="0" w:firstLineChars="0"/>
              <w:jc w:val="center"/>
              <w:rPr>
                <w:rFonts w:cs="宋体"/>
                <w:sz w:val="21"/>
                <w:szCs w:val="21"/>
              </w:rPr>
            </w:pPr>
            <w:r>
              <w:rPr>
                <w:rFonts w:cs="宋体"/>
                <w:sz w:val="21"/>
                <w:szCs w:val="21"/>
              </w:rPr>
              <w:t>预测情景</w:t>
            </w:r>
          </w:p>
        </w:tc>
        <w:tc>
          <w:tcPr>
            <w:tcW w:w="3910" w:type="pct"/>
            <w:gridSpan w:val="13"/>
            <w:tcBorders>
              <w:tl2br w:val="nil"/>
              <w:tr2bl w:val="nil"/>
            </w:tcBorders>
            <w:vAlign w:val="center"/>
          </w:tcPr>
          <w:p w14:paraId="6D6DC91A">
            <w:pPr>
              <w:ind w:firstLine="0" w:firstLineChars="0"/>
              <w:jc w:val="center"/>
              <w:rPr>
                <w:rFonts w:cs="宋体"/>
                <w:sz w:val="21"/>
                <w:szCs w:val="21"/>
              </w:rPr>
            </w:pPr>
            <w:r>
              <w:rPr>
                <w:rFonts w:cs="宋体"/>
                <w:sz w:val="21"/>
                <w:szCs w:val="21"/>
              </w:rPr>
              <w:t>建设期</w:t>
            </w:r>
            <w:r>
              <w:rPr>
                <w:sz w:val="21"/>
                <w:szCs w:val="21"/>
              </w:rPr>
              <w:drawing>
                <wp:inline distT="0" distB="0" distL="0" distR="0">
                  <wp:extent cx="113665" cy="97790"/>
                  <wp:effectExtent l="0" t="0" r="635" b="16510"/>
                  <wp:docPr id="239" name="IM 151"/>
                  <wp:cNvGraphicFramePr/>
                  <a:graphic xmlns:a="http://schemas.openxmlformats.org/drawingml/2006/main">
                    <a:graphicData uri="http://schemas.openxmlformats.org/drawingml/2006/picture">
                      <pic:pic xmlns:pic="http://schemas.openxmlformats.org/drawingml/2006/picture">
                        <pic:nvPicPr>
                          <pic:cNvPr id="239" name="IM 151"/>
                          <pic:cNvPicPr/>
                        </pic:nvPicPr>
                        <pic:blipFill>
                          <a:blip r:embed="rId55"/>
                          <a:stretch>
                            <a:fillRect/>
                          </a:stretch>
                        </pic:blipFill>
                        <pic:spPr>
                          <a:xfrm>
                            <a:off x="0" y="0"/>
                            <a:ext cx="113921" cy="97878"/>
                          </a:xfrm>
                          <a:prstGeom prst="rect">
                            <a:avLst/>
                          </a:prstGeom>
                        </pic:spPr>
                      </pic:pic>
                    </a:graphicData>
                  </a:graphic>
                </wp:inline>
              </w:drawing>
            </w:r>
            <w:r>
              <w:rPr>
                <w:rFonts w:cs="宋体"/>
                <w:sz w:val="21"/>
                <w:szCs w:val="21"/>
              </w:rPr>
              <w:t>；生产运行期</w:t>
            </w:r>
            <w:r>
              <w:rPr>
                <w:sz w:val="21"/>
                <w:szCs w:val="21"/>
              </w:rPr>
              <w:drawing>
                <wp:inline distT="0" distB="0" distL="0" distR="0">
                  <wp:extent cx="113665" cy="97790"/>
                  <wp:effectExtent l="0" t="0" r="635" b="16510"/>
                  <wp:docPr id="240" name="IM 152"/>
                  <wp:cNvGraphicFramePr/>
                  <a:graphic xmlns:a="http://schemas.openxmlformats.org/drawingml/2006/main">
                    <a:graphicData uri="http://schemas.openxmlformats.org/drawingml/2006/picture">
                      <pic:pic xmlns:pic="http://schemas.openxmlformats.org/drawingml/2006/picture">
                        <pic:nvPicPr>
                          <pic:cNvPr id="240" name="IM 152"/>
                          <pic:cNvPicPr/>
                        </pic:nvPicPr>
                        <pic:blipFill>
                          <a:blip r:embed="rId53"/>
                          <a:stretch>
                            <a:fillRect/>
                          </a:stretch>
                        </pic:blipFill>
                        <pic:spPr>
                          <a:xfrm>
                            <a:off x="0" y="0"/>
                            <a:ext cx="113921" cy="97878"/>
                          </a:xfrm>
                          <a:prstGeom prst="rect">
                            <a:avLst/>
                          </a:prstGeom>
                        </pic:spPr>
                      </pic:pic>
                    </a:graphicData>
                  </a:graphic>
                </wp:inline>
              </w:drawing>
            </w:r>
            <w:r>
              <w:rPr>
                <w:rFonts w:cs="宋体"/>
                <w:sz w:val="21"/>
                <w:szCs w:val="21"/>
              </w:rPr>
              <w:t>；服务期满后</w:t>
            </w:r>
            <w:r>
              <w:rPr>
                <w:sz w:val="21"/>
                <w:szCs w:val="21"/>
              </w:rPr>
              <w:drawing>
                <wp:inline distT="0" distB="0" distL="0" distR="0">
                  <wp:extent cx="113665" cy="97790"/>
                  <wp:effectExtent l="0" t="0" r="635" b="16510"/>
                  <wp:docPr id="241" name="IM 153"/>
                  <wp:cNvGraphicFramePr/>
                  <a:graphic xmlns:a="http://schemas.openxmlformats.org/drawingml/2006/main">
                    <a:graphicData uri="http://schemas.openxmlformats.org/drawingml/2006/picture">
                      <pic:pic xmlns:pic="http://schemas.openxmlformats.org/drawingml/2006/picture">
                        <pic:nvPicPr>
                          <pic:cNvPr id="241" name="IM 153"/>
                          <pic:cNvPicPr/>
                        </pic:nvPicPr>
                        <pic:blipFill>
                          <a:blip r:embed="rId55"/>
                          <a:stretch>
                            <a:fillRect/>
                          </a:stretch>
                        </pic:blipFill>
                        <pic:spPr>
                          <a:xfrm>
                            <a:off x="0" y="0"/>
                            <a:ext cx="113921" cy="97878"/>
                          </a:xfrm>
                          <a:prstGeom prst="rect">
                            <a:avLst/>
                          </a:prstGeom>
                        </pic:spPr>
                      </pic:pic>
                    </a:graphicData>
                  </a:graphic>
                </wp:inline>
              </w:drawing>
            </w:r>
            <w:r>
              <w:rPr>
                <w:rFonts w:cs="宋体"/>
                <w:sz w:val="21"/>
                <w:szCs w:val="21"/>
              </w:rPr>
              <w:t>；</w:t>
            </w:r>
          </w:p>
          <w:p w14:paraId="27C8CA35">
            <w:pPr>
              <w:ind w:firstLine="0" w:firstLineChars="0"/>
              <w:jc w:val="center"/>
              <w:rPr>
                <w:rFonts w:cs="宋体"/>
                <w:sz w:val="21"/>
                <w:szCs w:val="21"/>
              </w:rPr>
            </w:pPr>
            <w:r>
              <w:rPr>
                <w:rFonts w:cs="宋体"/>
                <w:sz w:val="21"/>
                <w:szCs w:val="21"/>
              </w:rPr>
              <w:t>正常工况</w:t>
            </w:r>
            <w:r>
              <w:rPr>
                <w:sz w:val="21"/>
                <w:szCs w:val="21"/>
              </w:rPr>
              <w:drawing>
                <wp:inline distT="0" distB="0" distL="0" distR="0">
                  <wp:extent cx="110490" cy="97790"/>
                  <wp:effectExtent l="0" t="0" r="3810" b="16510"/>
                  <wp:docPr id="242" name="IM 154"/>
                  <wp:cNvGraphicFramePr/>
                  <a:graphic xmlns:a="http://schemas.openxmlformats.org/drawingml/2006/main">
                    <a:graphicData uri="http://schemas.openxmlformats.org/drawingml/2006/picture">
                      <pic:pic xmlns:pic="http://schemas.openxmlformats.org/drawingml/2006/picture">
                        <pic:nvPicPr>
                          <pic:cNvPr id="242" name="IM 154"/>
                          <pic:cNvPicPr/>
                        </pic:nvPicPr>
                        <pic:blipFill>
                          <a:blip r:embed="rId53"/>
                          <a:stretch>
                            <a:fillRect/>
                          </a:stretch>
                        </pic:blipFill>
                        <pic:spPr>
                          <a:xfrm>
                            <a:off x="0" y="0"/>
                            <a:ext cx="110607" cy="97878"/>
                          </a:xfrm>
                          <a:prstGeom prst="rect">
                            <a:avLst/>
                          </a:prstGeom>
                        </pic:spPr>
                      </pic:pic>
                    </a:graphicData>
                  </a:graphic>
                </wp:inline>
              </w:drawing>
            </w:r>
            <w:r>
              <w:rPr>
                <w:rFonts w:cs="宋体"/>
                <w:sz w:val="21"/>
                <w:szCs w:val="21"/>
              </w:rPr>
              <w:t>；非正常工况</w:t>
            </w:r>
            <w:r>
              <w:rPr>
                <w:sz w:val="21"/>
                <w:szCs w:val="21"/>
              </w:rPr>
              <w:drawing>
                <wp:inline distT="0" distB="0" distL="0" distR="0">
                  <wp:extent cx="110490" cy="97790"/>
                  <wp:effectExtent l="0" t="0" r="3810" b="16510"/>
                  <wp:docPr id="243" name="IM 155"/>
                  <wp:cNvGraphicFramePr/>
                  <a:graphic xmlns:a="http://schemas.openxmlformats.org/drawingml/2006/main">
                    <a:graphicData uri="http://schemas.openxmlformats.org/drawingml/2006/picture">
                      <pic:pic xmlns:pic="http://schemas.openxmlformats.org/drawingml/2006/picture">
                        <pic:nvPicPr>
                          <pic:cNvPr id="243" name="IM 155"/>
                          <pic:cNvPicPr/>
                        </pic:nvPicPr>
                        <pic:blipFill>
                          <a:blip r:embed="rId53"/>
                          <a:stretch>
                            <a:fillRect/>
                          </a:stretch>
                        </pic:blipFill>
                        <pic:spPr>
                          <a:xfrm>
                            <a:off x="0" y="0"/>
                            <a:ext cx="110607" cy="97878"/>
                          </a:xfrm>
                          <a:prstGeom prst="rect">
                            <a:avLst/>
                          </a:prstGeom>
                        </pic:spPr>
                      </pic:pic>
                    </a:graphicData>
                  </a:graphic>
                </wp:inline>
              </w:drawing>
            </w:r>
            <w:r>
              <w:rPr>
                <w:rFonts w:cs="宋体"/>
                <w:sz w:val="21"/>
                <w:szCs w:val="21"/>
              </w:rPr>
              <w:t>；</w:t>
            </w:r>
          </w:p>
          <w:p w14:paraId="5D020C1F">
            <w:pPr>
              <w:ind w:firstLine="0" w:firstLineChars="0"/>
              <w:jc w:val="center"/>
              <w:rPr>
                <w:rFonts w:cs="宋体"/>
                <w:sz w:val="21"/>
                <w:szCs w:val="21"/>
              </w:rPr>
            </w:pPr>
            <w:r>
              <w:rPr>
                <w:rFonts w:cs="宋体"/>
                <w:sz w:val="21"/>
                <w:szCs w:val="21"/>
              </w:rPr>
              <w:t>污染控制和减缓措施方案</w:t>
            </w:r>
            <w:r>
              <w:rPr>
                <w:sz w:val="21"/>
                <w:szCs w:val="21"/>
              </w:rPr>
              <w:drawing>
                <wp:inline distT="0" distB="0" distL="0" distR="0">
                  <wp:extent cx="107315" cy="97790"/>
                  <wp:effectExtent l="0" t="0" r="6985" b="16510"/>
                  <wp:docPr id="244" name="IM 156"/>
                  <wp:cNvGraphicFramePr/>
                  <a:graphic xmlns:a="http://schemas.openxmlformats.org/drawingml/2006/main">
                    <a:graphicData uri="http://schemas.openxmlformats.org/drawingml/2006/picture">
                      <pic:pic xmlns:pic="http://schemas.openxmlformats.org/drawingml/2006/picture">
                        <pic:nvPicPr>
                          <pic:cNvPr id="244" name="IM 156"/>
                          <pic:cNvPicPr/>
                        </pic:nvPicPr>
                        <pic:blipFill>
                          <a:blip r:embed="rId53"/>
                          <a:stretch>
                            <a:fillRect/>
                          </a:stretch>
                        </pic:blipFill>
                        <pic:spPr>
                          <a:xfrm>
                            <a:off x="0" y="0"/>
                            <a:ext cx="107867" cy="97878"/>
                          </a:xfrm>
                          <a:prstGeom prst="rect">
                            <a:avLst/>
                          </a:prstGeom>
                        </pic:spPr>
                      </pic:pic>
                    </a:graphicData>
                  </a:graphic>
                </wp:inline>
              </w:drawing>
            </w:r>
            <w:r>
              <w:rPr>
                <w:rFonts w:cs="宋体"/>
                <w:sz w:val="21"/>
                <w:szCs w:val="21"/>
              </w:rPr>
              <w:t>；</w:t>
            </w:r>
          </w:p>
          <w:p w14:paraId="3297FC4C">
            <w:pPr>
              <w:ind w:firstLine="0" w:firstLineChars="0"/>
              <w:jc w:val="center"/>
              <w:rPr>
                <w:sz w:val="21"/>
                <w:szCs w:val="21"/>
              </w:rPr>
            </w:pPr>
            <w:r>
              <w:rPr>
                <w:rFonts w:cs="宋体"/>
                <w:sz w:val="21"/>
                <w:szCs w:val="21"/>
              </w:rPr>
              <w:t>区</w:t>
            </w:r>
            <w:r>
              <w:rPr>
                <w:rFonts w:hint="eastAsia" w:cs="宋体"/>
                <w:sz w:val="21"/>
                <w:szCs w:val="21"/>
              </w:rPr>
              <w:t>（</w:t>
            </w:r>
            <w:r>
              <w:rPr>
                <w:rFonts w:cs="宋体"/>
                <w:sz w:val="21"/>
                <w:szCs w:val="21"/>
              </w:rPr>
              <w:t>流</w:t>
            </w:r>
            <w:r>
              <w:rPr>
                <w:rFonts w:hint="eastAsia" w:cs="宋体"/>
                <w:sz w:val="21"/>
                <w:szCs w:val="21"/>
              </w:rPr>
              <w:t>）</w:t>
            </w:r>
            <w:r>
              <w:rPr>
                <w:rFonts w:cs="宋体"/>
                <w:sz w:val="21"/>
                <w:szCs w:val="21"/>
              </w:rPr>
              <w:t>域环境质量改善目标要求情景</w:t>
            </w:r>
            <w:r>
              <w:rPr>
                <w:sz w:val="21"/>
                <w:szCs w:val="21"/>
              </w:rPr>
              <w:drawing>
                <wp:inline distT="0" distB="0" distL="0" distR="0">
                  <wp:extent cx="107315" cy="97790"/>
                  <wp:effectExtent l="0" t="0" r="6985" b="16510"/>
                  <wp:docPr id="245" name="IM 157"/>
                  <wp:cNvGraphicFramePr/>
                  <a:graphic xmlns:a="http://schemas.openxmlformats.org/drawingml/2006/main">
                    <a:graphicData uri="http://schemas.openxmlformats.org/drawingml/2006/picture">
                      <pic:pic xmlns:pic="http://schemas.openxmlformats.org/drawingml/2006/picture">
                        <pic:nvPicPr>
                          <pic:cNvPr id="245" name="IM 157"/>
                          <pic:cNvPicPr/>
                        </pic:nvPicPr>
                        <pic:blipFill>
                          <a:blip r:embed="rId53"/>
                          <a:stretch>
                            <a:fillRect/>
                          </a:stretch>
                        </pic:blipFill>
                        <pic:spPr>
                          <a:xfrm>
                            <a:off x="0" y="0"/>
                            <a:ext cx="107867" cy="97878"/>
                          </a:xfrm>
                          <a:prstGeom prst="rect">
                            <a:avLst/>
                          </a:prstGeom>
                        </pic:spPr>
                      </pic:pic>
                    </a:graphicData>
                  </a:graphic>
                </wp:inline>
              </w:drawing>
            </w:r>
          </w:p>
        </w:tc>
      </w:tr>
      <w:tr w14:paraId="077D8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7A1103D9">
            <w:pPr>
              <w:ind w:firstLine="0" w:firstLineChars="0"/>
              <w:jc w:val="center"/>
              <w:rPr>
                <w:sz w:val="21"/>
              </w:rPr>
            </w:pPr>
          </w:p>
        </w:tc>
        <w:tc>
          <w:tcPr>
            <w:tcW w:w="831" w:type="pct"/>
            <w:tcBorders>
              <w:tl2br w:val="nil"/>
              <w:tr2bl w:val="nil"/>
            </w:tcBorders>
            <w:vAlign w:val="center"/>
          </w:tcPr>
          <w:p w14:paraId="79CD9CEE">
            <w:pPr>
              <w:ind w:firstLine="0" w:firstLineChars="0"/>
              <w:jc w:val="center"/>
              <w:rPr>
                <w:rFonts w:cs="宋体"/>
                <w:sz w:val="21"/>
                <w:szCs w:val="21"/>
              </w:rPr>
            </w:pPr>
            <w:r>
              <w:rPr>
                <w:rFonts w:cs="宋体"/>
                <w:sz w:val="21"/>
                <w:szCs w:val="21"/>
              </w:rPr>
              <w:t>预测方法</w:t>
            </w:r>
          </w:p>
        </w:tc>
        <w:tc>
          <w:tcPr>
            <w:tcW w:w="3910" w:type="pct"/>
            <w:gridSpan w:val="13"/>
            <w:tcBorders>
              <w:tl2br w:val="nil"/>
              <w:tr2bl w:val="nil"/>
            </w:tcBorders>
            <w:vAlign w:val="center"/>
          </w:tcPr>
          <w:p w14:paraId="600A5576">
            <w:pPr>
              <w:ind w:firstLine="0" w:firstLineChars="0"/>
              <w:jc w:val="center"/>
              <w:rPr>
                <w:sz w:val="21"/>
                <w:szCs w:val="21"/>
              </w:rPr>
            </w:pPr>
            <w:r>
              <w:rPr>
                <w:rFonts w:cs="宋体"/>
                <w:sz w:val="21"/>
                <w:szCs w:val="21"/>
              </w:rPr>
              <w:t>数值解</w:t>
            </w:r>
            <w:r>
              <w:rPr>
                <w:sz w:val="21"/>
                <w:szCs w:val="21"/>
              </w:rPr>
              <w:drawing>
                <wp:inline distT="0" distB="0" distL="0" distR="0">
                  <wp:extent cx="111125" cy="97790"/>
                  <wp:effectExtent l="0" t="0" r="3175" b="16510"/>
                  <wp:docPr id="246" name="IM 158"/>
                  <wp:cNvGraphicFramePr/>
                  <a:graphic xmlns:a="http://schemas.openxmlformats.org/drawingml/2006/main">
                    <a:graphicData uri="http://schemas.openxmlformats.org/drawingml/2006/picture">
                      <pic:pic xmlns:pic="http://schemas.openxmlformats.org/drawingml/2006/picture">
                        <pic:nvPicPr>
                          <pic:cNvPr id="246" name="IM 158"/>
                          <pic:cNvPicPr/>
                        </pic:nvPicPr>
                        <pic:blipFill>
                          <a:blip r:embed="rId53"/>
                          <a:stretch>
                            <a:fillRect/>
                          </a:stretch>
                        </pic:blipFill>
                        <pic:spPr>
                          <a:xfrm>
                            <a:off x="0" y="0"/>
                            <a:ext cx="111560" cy="97878"/>
                          </a:xfrm>
                          <a:prstGeom prst="rect">
                            <a:avLst/>
                          </a:prstGeom>
                        </pic:spPr>
                      </pic:pic>
                    </a:graphicData>
                  </a:graphic>
                </wp:inline>
              </w:drawing>
            </w:r>
            <w:r>
              <w:rPr>
                <w:rFonts w:cs="宋体"/>
                <w:sz w:val="21"/>
                <w:szCs w:val="21"/>
              </w:rPr>
              <w:t>；解析解</w:t>
            </w:r>
            <w:r>
              <w:rPr>
                <w:sz w:val="21"/>
                <w:szCs w:val="21"/>
              </w:rPr>
              <w:drawing>
                <wp:inline distT="0" distB="0" distL="0" distR="0">
                  <wp:extent cx="111125" cy="97790"/>
                  <wp:effectExtent l="0" t="0" r="3175" b="16510"/>
                  <wp:docPr id="247" name="IM 159"/>
                  <wp:cNvGraphicFramePr/>
                  <a:graphic xmlns:a="http://schemas.openxmlformats.org/drawingml/2006/main">
                    <a:graphicData uri="http://schemas.openxmlformats.org/drawingml/2006/picture">
                      <pic:pic xmlns:pic="http://schemas.openxmlformats.org/drawingml/2006/picture">
                        <pic:nvPicPr>
                          <pic:cNvPr id="247" name="IM 159"/>
                          <pic:cNvPicPr/>
                        </pic:nvPicPr>
                        <pic:blipFill>
                          <a:blip r:embed="rId55"/>
                          <a:stretch>
                            <a:fillRect/>
                          </a:stretch>
                        </pic:blipFill>
                        <pic:spPr>
                          <a:xfrm>
                            <a:off x="0" y="0"/>
                            <a:ext cx="111560" cy="97878"/>
                          </a:xfrm>
                          <a:prstGeom prst="rect">
                            <a:avLst/>
                          </a:prstGeom>
                        </pic:spPr>
                      </pic:pic>
                    </a:graphicData>
                  </a:graphic>
                </wp:inline>
              </w:drawing>
            </w:r>
            <w:r>
              <w:rPr>
                <w:rFonts w:cs="宋体"/>
                <w:sz w:val="21"/>
                <w:szCs w:val="21"/>
              </w:rPr>
              <w:t>；其他</w:t>
            </w:r>
            <w:r>
              <w:rPr>
                <w:sz w:val="21"/>
                <w:szCs w:val="21"/>
              </w:rPr>
              <w:drawing>
                <wp:inline distT="0" distB="0" distL="0" distR="0">
                  <wp:extent cx="111125" cy="97790"/>
                  <wp:effectExtent l="0" t="0" r="3175" b="16510"/>
                  <wp:docPr id="248" name="IM 160"/>
                  <wp:cNvGraphicFramePr/>
                  <a:graphic xmlns:a="http://schemas.openxmlformats.org/drawingml/2006/main">
                    <a:graphicData uri="http://schemas.openxmlformats.org/drawingml/2006/picture">
                      <pic:pic xmlns:pic="http://schemas.openxmlformats.org/drawingml/2006/picture">
                        <pic:nvPicPr>
                          <pic:cNvPr id="248" name="IM 160"/>
                          <pic:cNvPicPr/>
                        </pic:nvPicPr>
                        <pic:blipFill>
                          <a:blip r:embed="rId53"/>
                          <a:stretch>
                            <a:fillRect/>
                          </a:stretch>
                        </pic:blipFill>
                        <pic:spPr>
                          <a:xfrm>
                            <a:off x="0" y="0"/>
                            <a:ext cx="111560" cy="97878"/>
                          </a:xfrm>
                          <a:prstGeom prst="rect">
                            <a:avLst/>
                          </a:prstGeom>
                        </pic:spPr>
                      </pic:pic>
                    </a:graphicData>
                  </a:graphic>
                </wp:inline>
              </w:drawing>
            </w:r>
            <w:r>
              <w:rPr>
                <w:rFonts w:cs="宋体"/>
                <w:sz w:val="21"/>
                <w:szCs w:val="21"/>
              </w:rPr>
              <w:t>；导则推荐模式</w:t>
            </w:r>
            <w:r>
              <w:rPr>
                <w:sz w:val="21"/>
                <w:szCs w:val="21"/>
              </w:rPr>
              <w:drawing>
                <wp:inline distT="0" distB="0" distL="0" distR="0">
                  <wp:extent cx="111125" cy="97790"/>
                  <wp:effectExtent l="0" t="0" r="3175" b="16510"/>
                  <wp:docPr id="249" name="IM 161"/>
                  <wp:cNvGraphicFramePr/>
                  <a:graphic xmlns:a="http://schemas.openxmlformats.org/drawingml/2006/main">
                    <a:graphicData uri="http://schemas.openxmlformats.org/drawingml/2006/picture">
                      <pic:pic xmlns:pic="http://schemas.openxmlformats.org/drawingml/2006/picture">
                        <pic:nvPicPr>
                          <pic:cNvPr id="249" name="IM 161"/>
                          <pic:cNvPicPr/>
                        </pic:nvPicPr>
                        <pic:blipFill>
                          <a:blip r:embed="rId55"/>
                          <a:stretch>
                            <a:fillRect/>
                          </a:stretch>
                        </pic:blipFill>
                        <pic:spPr>
                          <a:xfrm>
                            <a:off x="0" y="0"/>
                            <a:ext cx="111560" cy="97878"/>
                          </a:xfrm>
                          <a:prstGeom prst="rect">
                            <a:avLst/>
                          </a:prstGeom>
                        </pic:spPr>
                      </pic:pic>
                    </a:graphicData>
                  </a:graphic>
                </wp:inline>
              </w:drawing>
            </w:r>
            <w:r>
              <w:rPr>
                <w:rFonts w:cs="宋体"/>
                <w:sz w:val="21"/>
                <w:szCs w:val="21"/>
              </w:rPr>
              <w:t>；其他</w:t>
            </w:r>
            <w:r>
              <w:rPr>
                <w:sz w:val="21"/>
                <w:szCs w:val="21"/>
              </w:rPr>
              <w:drawing>
                <wp:inline distT="0" distB="0" distL="0" distR="0">
                  <wp:extent cx="111125" cy="97790"/>
                  <wp:effectExtent l="0" t="0" r="3175" b="16510"/>
                  <wp:docPr id="250" name="IM 162"/>
                  <wp:cNvGraphicFramePr/>
                  <a:graphic xmlns:a="http://schemas.openxmlformats.org/drawingml/2006/main">
                    <a:graphicData uri="http://schemas.openxmlformats.org/drawingml/2006/picture">
                      <pic:pic xmlns:pic="http://schemas.openxmlformats.org/drawingml/2006/picture">
                        <pic:nvPicPr>
                          <pic:cNvPr id="250" name="IM 162"/>
                          <pic:cNvPicPr/>
                        </pic:nvPicPr>
                        <pic:blipFill>
                          <a:blip r:embed="rId53"/>
                          <a:stretch>
                            <a:fillRect/>
                          </a:stretch>
                        </pic:blipFill>
                        <pic:spPr>
                          <a:xfrm>
                            <a:off x="0" y="0"/>
                            <a:ext cx="111560" cy="97878"/>
                          </a:xfrm>
                          <a:prstGeom prst="rect">
                            <a:avLst/>
                          </a:prstGeom>
                        </pic:spPr>
                      </pic:pic>
                    </a:graphicData>
                  </a:graphic>
                </wp:inline>
              </w:drawing>
            </w:r>
          </w:p>
        </w:tc>
      </w:tr>
      <w:tr w14:paraId="10A9B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04" w:hRule="atLeast"/>
          <w:jc w:val="center"/>
        </w:trPr>
        <w:tc>
          <w:tcPr>
            <w:tcW w:w="258" w:type="pct"/>
            <w:vMerge w:val="restart"/>
            <w:tcBorders>
              <w:tl2br w:val="nil"/>
              <w:tr2bl w:val="nil"/>
            </w:tcBorders>
            <w:textDirection w:val="tbRlV"/>
            <w:vAlign w:val="center"/>
          </w:tcPr>
          <w:p w14:paraId="76605BF8">
            <w:pPr>
              <w:ind w:firstLine="0" w:firstLineChars="0"/>
              <w:jc w:val="center"/>
              <w:rPr>
                <w:rFonts w:cs="宋体"/>
                <w:sz w:val="21"/>
                <w:szCs w:val="21"/>
              </w:rPr>
            </w:pPr>
            <w:r>
              <w:rPr>
                <w:rFonts w:cs="宋体"/>
                <w:sz w:val="21"/>
                <w:szCs w:val="21"/>
              </w:rPr>
              <w:t>影响评价</w:t>
            </w:r>
          </w:p>
        </w:tc>
        <w:tc>
          <w:tcPr>
            <w:tcW w:w="831" w:type="pct"/>
            <w:tcBorders>
              <w:tl2br w:val="nil"/>
              <w:tr2bl w:val="nil"/>
            </w:tcBorders>
            <w:vAlign w:val="center"/>
          </w:tcPr>
          <w:p w14:paraId="69B52391">
            <w:pPr>
              <w:ind w:firstLine="0" w:firstLineChars="0"/>
              <w:jc w:val="center"/>
              <w:rPr>
                <w:rFonts w:cs="宋体"/>
                <w:sz w:val="21"/>
                <w:szCs w:val="21"/>
              </w:rPr>
            </w:pPr>
            <w:r>
              <w:rPr>
                <w:rFonts w:cs="宋体"/>
                <w:sz w:val="21"/>
                <w:szCs w:val="21"/>
              </w:rPr>
              <w:t>水污染物控制</w:t>
            </w:r>
          </w:p>
          <w:p w14:paraId="65224FDC">
            <w:pPr>
              <w:ind w:firstLine="0" w:firstLineChars="0"/>
              <w:jc w:val="center"/>
              <w:rPr>
                <w:rFonts w:cs="宋体"/>
                <w:sz w:val="21"/>
                <w:szCs w:val="21"/>
              </w:rPr>
            </w:pPr>
            <w:r>
              <w:rPr>
                <w:rFonts w:cs="宋体"/>
                <w:sz w:val="21"/>
                <w:szCs w:val="21"/>
              </w:rPr>
              <w:t>和水环境影响</w:t>
            </w:r>
          </w:p>
          <w:p w14:paraId="705E911F">
            <w:pPr>
              <w:ind w:firstLine="0" w:firstLineChars="0"/>
              <w:jc w:val="center"/>
              <w:rPr>
                <w:rFonts w:cs="宋体"/>
                <w:sz w:val="21"/>
                <w:szCs w:val="21"/>
              </w:rPr>
            </w:pPr>
            <w:r>
              <w:rPr>
                <w:rFonts w:cs="宋体"/>
                <w:sz w:val="21"/>
                <w:szCs w:val="21"/>
              </w:rPr>
              <w:t>减缓措施有效</w:t>
            </w:r>
          </w:p>
          <w:p w14:paraId="76F2492B">
            <w:pPr>
              <w:ind w:firstLine="0" w:firstLineChars="0"/>
              <w:jc w:val="center"/>
              <w:rPr>
                <w:rFonts w:cs="宋体"/>
                <w:sz w:val="21"/>
                <w:szCs w:val="21"/>
              </w:rPr>
            </w:pPr>
            <w:r>
              <w:rPr>
                <w:rFonts w:cs="宋体"/>
                <w:sz w:val="21"/>
                <w:szCs w:val="21"/>
              </w:rPr>
              <w:t>性评价</w:t>
            </w:r>
          </w:p>
        </w:tc>
        <w:tc>
          <w:tcPr>
            <w:tcW w:w="3910" w:type="pct"/>
            <w:gridSpan w:val="13"/>
            <w:tcBorders>
              <w:tl2br w:val="nil"/>
              <w:tr2bl w:val="nil"/>
            </w:tcBorders>
            <w:vAlign w:val="center"/>
          </w:tcPr>
          <w:p w14:paraId="47EE0103">
            <w:pPr>
              <w:ind w:firstLine="0" w:firstLineChars="0"/>
              <w:jc w:val="center"/>
              <w:rPr>
                <w:sz w:val="21"/>
                <w:szCs w:val="21"/>
              </w:rPr>
            </w:pPr>
            <w:r>
              <w:rPr>
                <w:rFonts w:cs="宋体"/>
                <w:sz w:val="21"/>
                <w:szCs w:val="21"/>
              </w:rPr>
              <w:t>区</w:t>
            </w:r>
            <w:r>
              <w:rPr>
                <w:rFonts w:hint="eastAsia" w:cs="宋体"/>
                <w:sz w:val="21"/>
                <w:szCs w:val="21"/>
              </w:rPr>
              <w:t>（</w:t>
            </w:r>
            <w:r>
              <w:rPr>
                <w:rFonts w:cs="宋体"/>
                <w:sz w:val="21"/>
                <w:szCs w:val="21"/>
              </w:rPr>
              <w:t>流</w:t>
            </w:r>
            <w:r>
              <w:rPr>
                <w:rFonts w:hint="eastAsia" w:cs="宋体"/>
                <w:sz w:val="21"/>
                <w:szCs w:val="21"/>
              </w:rPr>
              <w:t>）</w:t>
            </w:r>
            <w:r>
              <w:rPr>
                <w:rFonts w:cs="宋体"/>
                <w:sz w:val="21"/>
                <w:szCs w:val="21"/>
              </w:rPr>
              <w:t>域水环境质量改善目标</w:t>
            </w:r>
            <w:r>
              <w:rPr>
                <w:sz w:val="21"/>
                <w:szCs w:val="21"/>
              </w:rPr>
              <w:drawing>
                <wp:inline distT="0" distB="0" distL="0" distR="0">
                  <wp:extent cx="107315" cy="97790"/>
                  <wp:effectExtent l="0" t="0" r="6985" b="16510"/>
                  <wp:docPr id="251" name="IM 163"/>
                  <wp:cNvGraphicFramePr/>
                  <a:graphic xmlns:a="http://schemas.openxmlformats.org/drawingml/2006/main">
                    <a:graphicData uri="http://schemas.openxmlformats.org/drawingml/2006/picture">
                      <pic:pic xmlns:pic="http://schemas.openxmlformats.org/drawingml/2006/picture">
                        <pic:nvPicPr>
                          <pic:cNvPr id="251" name="IM 163"/>
                          <pic:cNvPicPr/>
                        </pic:nvPicPr>
                        <pic:blipFill>
                          <a:blip r:embed="rId53"/>
                          <a:stretch>
                            <a:fillRect/>
                          </a:stretch>
                        </pic:blipFill>
                        <pic:spPr>
                          <a:xfrm>
                            <a:off x="0" y="0"/>
                            <a:ext cx="107740" cy="97878"/>
                          </a:xfrm>
                          <a:prstGeom prst="rect">
                            <a:avLst/>
                          </a:prstGeom>
                        </pic:spPr>
                      </pic:pic>
                    </a:graphicData>
                  </a:graphic>
                </wp:inline>
              </w:drawing>
            </w:r>
            <w:r>
              <w:rPr>
                <w:rFonts w:cs="宋体"/>
                <w:sz w:val="21"/>
                <w:szCs w:val="21"/>
              </w:rPr>
              <w:t>；替代消减源</w:t>
            </w:r>
            <w:r>
              <w:rPr>
                <w:sz w:val="21"/>
                <w:szCs w:val="21"/>
              </w:rPr>
              <w:drawing>
                <wp:inline distT="0" distB="0" distL="0" distR="0">
                  <wp:extent cx="107315" cy="97790"/>
                  <wp:effectExtent l="0" t="0" r="6985" b="16510"/>
                  <wp:docPr id="252" name="IM 164"/>
                  <wp:cNvGraphicFramePr/>
                  <a:graphic xmlns:a="http://schemas.openxmlformats.org/drawingml/2006/main">
                    <a:graphicData uri="http://schemas.openxmlformats.org/drawingml/2006/picture">
                      <pic:pic xmlns:pic="http://schemas.openxmlformats.org/drawingml/2006/picture">
                        <pic:nvPicPr>
                          <pic:cNvPr id="252" name="IM 164"/>
                          <pic:cNvPicPr/>
                        </pic:nvPicPr>
                        <pic:blipFill>
                          <a:blip r:embed="rId53"/>
                          <a:stretch>
                            <a:fillRect/>
                          </a:stretch>
                        </pic:blipFill>
                        <pic:spPr>
                          <a:xfrm>
                            <a:off x="0" y="0"/>
                            <a:ext cx="107740" cy="97878"/>
                          </a:xfrm>
                          <a:prstGeom prst="rect">
                            <a:avLst/>
                          </a:prstGeom>
                        </pic:spPr>
                      </pic:pic>
                    </a:graphicData>
                  </a:graphic>
                </wp:inline>
              </w:drawing>
            </w:r>
          </w:p>
        </w:tc>
      </w:tr>
      <w:tr w14:paraId="3F892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5ABD408B">
            <w:pPr>
              <w:ind w:firstLine="0" w:firstLineChars="0"/>
              <w:jc w:val="center"/>
              <w:rPr>
                <w:sz w:val="21"/>
              </w:rPr>
            </w:pPr>
          </w:p>
        </w:tc>
        <w:tc>
          <w:tcPr>
            <w:tcW w:w="831" w:type="pct"/>
            <w:vMerge w:val="restart"/>
            <w:tcBorders>
              <w:tl2br w:val="nil"/>
              <w:tr2bl w:val="nil"/>
            </w:tcBorders>
            <w:vAlign w:val="center"/>
          </w:tcPr>
          <w:p w14:paraId="2961EB31">
            <w:pPr>
              <w:ind w:firstLine="0" w:firstLineChars="0"/>
              <w:jc w:val="center"/>
              <w:rPr>
                <w:rFonts w:cs="宋体"/>
                <w:sz w:val="21"/>
                <w:szCs w:val="21"/>
              </w:rPr>
            </w:pPr>
            <w:r>
              <w:rPr>
                <w:rFonts w:cs="宋体"/>
                <w:sz w:val="21"/>
                <w:szCs w:val="21"/>
              </w:rPr>
              <w:t>污染源排放量核算</w:t>
            </w:r>
          </w:p>
        </w:tc>
        <w:tc>
          <w:tcPr>
            <w:tcW w:w="931" w:type="pct"/>
            <w:gridSpan w:val="2"/>
            <w:tcBorders>
              <w:tl2br w:val="nil"/>
              <w:tr2bl w:val="nil"/>
            </w:tcBorders>
            <w:vAlign w:val="center"/>
          </w:tcPr>
          <w:p w14:paraId="2C887059">
            <w:pPr>
              <w:ind w:firstLine="0" w:firstLineChars="0"/>
              <w:jc w:val="center"/>
              <w:rPr>
                <w:rFonts w:cs="宋体"/>
                <w:sz w:val="21"/>
                <w:szCs w:val="21"/>
              </w:rPr>
            </w:pPr>
            <w:r>
              <w:rPr>
                <w:rFonts w:cs="宋体"/>
                <w:sz w:val="21"/>
                <w:szCs w:val="21"/>
              </w:rPr>
              <w:t>污染物名称</w:t>
            </w:r>
          </w:p>
        </w:tc>
        <w:tc>
          <w:tcPr>
            <w:tcW w:w="1265" w:type="pct"/>
            <w:gridSpan w:val="6"/>
            <w:tcBorders>
              <w:tl2br w:val="nil"/>
              <w:tr2bl w:val="nil"/>
            </w:tcBorders>
            <w:vAlign w:val="center"/>
          </w:tcPr>
          <w:p w14:paraId="094ACCFE">
            <w:pPr>
              <w:ind w:firstLine="0" w:firstLineChars="0"/>
              <w:jc w:val="center"/>
              <w:rPr>
                <w:rFonts w:cs="宋体"/>
                <w:sz w:val="21"/>
                <w:szCs w:val="21"/>
              </w:rPr>
            </w:pPr>
            <w:r>
              <w:rPr>
                <w:rFonts w:cs="宋体"/>
                <w:sz w:val="21"/>
                <w:szCs w:val="21"/>
              </w:rPr>
              <w:t>排放量</w:t>
            </w:r>
            <w:r>
              <w:rPr>
                <w:sz w:val="21"/>
                <w:szCs w:val="21"/>
              </w:rPr>
              <w:t>/</w:t>
            </w:r>
            <w:r>
              <w:rPr>
                <w:rFonts w:hint="eastAsia" w:cs="宋体"/>
                <w:sz w:val="21"/>
                <w:szCs w:val="21"/>
              </w:rPr>
              <w:t>（</w:t>
            </w:r>
            <w:r>
              <w:rPr>
                <w:sz w:val="21"/>
                <w:szCs w:val="21"/>
              </w:rPr>
              <w:t>t/a</w:t>
            </w:r>
            <w:r>
              <w:rPr>
                <w:rFonts w:hint="eastAsia" w:cs="宋体"/>
                <w:sz w:val="21"/>
                <w:szCs w:val="21"/>
              </w:rPr>
              <w:t>）</w:t>
            </w:r>
          </w:p>
        </w:tc>
        <w:tc>
          <w:tcPr>
            <w:tcW w:w="1713" w:type="pct"/>
            <w:gridSpan w:val="5"/>
            <w:tcBorders>
              <w:tl2br w:val="nil"/>
              <w:tr2bl w:val="nil"/>
            </w:tcBorders>
            <w:vAlign w:val="center"/>
          </w:tcPr>
          <w:p w14:paraId="15A6EAC4">
            <w:pPr>
              <w:ind w:firstLine="0" w:firstLineChars="0"/>
              <w:jc w:val="center"/>
              <w:rPr>
                <w:rFonts w:cs="宋体"/>
                <w:sz w:val="21"/>
                <w:szCs w:val="21"/>
              </w:rPr>
            </w:pPr>
            <w:r>
              <w:rPr>
                <w:rFonts w:cs="宋体"/>
                <w:sz w:val="21"/>
                <w:szCs w:val="21"/>
              </w:rPr>
              <w:t>排放浓度</w:t>
            </w:r>
            <w:r>
              <w:rPr>
                <w:sz w:val="21"/>
                <w:szCs w:val="21"/>
              </w:rPr>
              <w:t>/</w:t>
            </w:r>
            <w:r>
              <w:rPr>
                <w:rFonts w:hint="eastAsia" w:cs="宋体"/>
                <w:sz w:val="21"/>
                <w:szCs w:val="21"/>
              </w:rPr>
              <w:t>（</w:t>
            </w:r>
            <w:r>
              <w:rPr>
                <w:sz w:val="21"/>
                <w:szCs w:val="21"/>
              </w:rPr>
              <w:t>mg/L</w:t>
            </w:r>
            <w:r>
              <w:rPr>
                <w:rFonts w:hint="eastAsia" w:cs="宋体"/>
                <w:sz w:val="21"/>
                <w:szCs w:val="21"/>
              </w:rPr>
              <w:t>）</w:t>
            </w:r>
          </w:p>
        </w:tc>
      </w:tr>
      <w:tr w14:paraId="3639E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4" w:hRule="atLeast"/>
          <w:jc w:val="center"/>
        </w:trPr>
        <w:tc>
          <w:tcPr>
            <w:tcW w:w="258" w:type="pct"/>
            <w:vMerge w:val="continue"/>
            <w:tcBorders>
              <w:tl2br w:val="nil"/>
              <w:tr2bl w:val="nil"/>
            </w:tcBorders>
            <w:textDirection w:val="tbRlV"/>
            <w:vAlign w:val="center"/>
          </w:tcPr>
          <w:p w14:paraId="0BB9C88E">
            <w:pPr>
              <w:ind w:firstLine="0" w:firstLineChars="0"/>
              <w:jc w:val="center"/>
              <w:rPr>
                <w:sz w:val="21"/>
              </w:rPr>
            </w:pPr>
          </w:p>
        </w:tc>
        <w:tc>
          <w:tcPr>
            <w:tcW w:w="831" w:type="pct"/>
            <w:vMerge w:val="continue"/>
            <w:tcBorders>
              <w:tl2br w:val="nil"/>
              <w:tr2bl w:val="nil"/>
            </w:tcBorders>
            <w:vAlign w:val="center"/>
          </w:tcPr>
          <w:p w14:paraId="714FA827">
            <w:pPr>
              <w:ind w:firstLine="0" w:firstLineChars="0"/>
              <w:jc w:val="center"/>
              <w:rPr>
                <w:sz w:val="21"/>
              </w:rPr>
            </w:pPr>
          </w:p>
        </w:tc>
        <w:tc>
          <w:tcPr>
            <w:tcW w:w="931" w:type="pct"/>
            <w:gridSpan w:val="2"/>
            <w:tcBorders>
              <w:tl2br w:val="nil"/>
              <w:tr2bl w:val="nil"/>
            </w:tcBorders>
            <w:vAlign w:val="center"/>
          </w:tcPr>
          <w:p w14:paraId="17F2E5B1">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c>
          <w:tcPr>
            <w:tcW w:w="1265" w:type="pct"/>
            <w:gridSpan w:val="6"/>
            <w:tcBorders>
              <w:tl2br w:val="nil"/>
              <w:tr2bl w:val="nil"/>
            </w:tcBorders>
            <w:vAlign w:val="center"/>
          </w:tcPr>
          <w:p w14:paraId="5C628526">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c>
          <w:tcPr>
            <w:tcW w:w="1713" w:type="pct"/>
            <w:gridSpan w:val="5"/>
            <w:tcBorders>
              <w:tl2br w:val="nil"/>
              <w:tr2bl w:val="nil"/>
            </w:tcBorders>
            <w:vAlign w:val="center"/>
          </w:tcPr>
          <w:p w14:paraId="4A9AF871">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r>
      <w:tr w14:paraId="39FA6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6" w:hRule="atLeast"/>
          <w:jc w:val="center"/>
        </w:trPr>
        <w:tc>
          <w:tcPr>
            <w:tcW w:w="258" w:type="pct"/>
            <w:vMerge w:val="continue"/>
            <w:tcBorders>
              <w:tl2br w:val="nil"/>
              <w:tr2bl w:val="nil"/>
            </w:tcBorders>
            <w:textDirection w:val="tbRlV"/>
            <w:vAlign w:val="center"/>
          </w:tcPr>
          <w:p w14:paraId="667810DC">
            <w:pPr>
              <w:ind w:firstLine="0" w:firstLineChars="0"/>
              <w:jc w:val="center"/>
              <w:rPr>
                <w:sz w:val="21"/>
              </w:rPr>
            </w:pPr>
          </w:p>
        </w:tc>
        <w:tc>
          <w:tcPr>
            <w:tcW w:w="831" w:type="pct"/>
            <w:vMerge w:val="restart"/>
            <w:tcBorders>
              <w:tl2br w:val="nil"/>
              <w:tr2bl w:val="nil"/>
            </w:tcBorders>
            <w:vAlign w:val="center"/>
          </w:tcPr>
          <w:p w14:paraId="272BAE0D">
            <w:pPr>
              <w:ind w:firstLine="0" w:firstLineChars="0"/>
              <w:jc w:val="center"/>
              <w:rPr>
                <w:rFonts w:cs="宋体"/>
                <w:sz w:val="21"/>
                <w:szCs w:val="21"/>
              </w:rPr>
            </w:pPr>
            <w:r>
              <w:rPr>
                <w:rFonts w:cs="宋体"/>
                <w:sz w:val="21"/>
                <w:szCs w:val="21"/>
              </w:rPr>
              <w:t>替代源排放情况</w:t>
            </w:r>
          </w:p>
        </w:tc>
        <w:tc>
          <w:tcPr>
            <w:tcW w:w="637" w:type="pct"/>
            <w:tcBorders>
              <w:tl2br w:val="nil"/>
              <w:tr2bl w:val="nil"/>
            </w:tcBorders>
            <w:vAlign w:val="center"/>
          </w:tcPr>
          <w:p w14:paraId="51C0F24D">
            <w:pPr>
              <w:ind w:firstLine="0" w:firstLineChars="0"/>
              <w:jc w:val="center"/>
              <w:rPr>
                <w:rFonts w:cs="宋体"/>
                <w:sz w:val="21"/>
                <w:szCs w:val="21"/>
              </w:rPr>
            </w:pPr>
            <w:r>
              <w:rPr>
                <w:rFonts w:cs="宋体"/>
                <w:sz w:val="21"/>
                <w:szCs w:val="21"/>
              </w:rPr>
              <w:t>污染源名称</w:t>
            </w:r>
          </w:p>
        </w:tc>
        <w:tc>
          <w:tcPr>
            <w:tcW w:w="721" w:type="pct"/>
            <w:gridSpan w:val="4"/>
            <w:tcBorders>
              <w:tl2br w:val="nil"/>
              <w:tr2bl w:val="nil"/>
            </w:tcBorders>
            <w:vAlign w:val="center"/>
          </w:tcPr>
          <w:p w14:paraId="721C5C0C">
            <w:pPr>
              <w:ind w:firstLine="0" w:firstLineChars="0"/>
              <w:jc w:val="center"/>
              <w:rPr>
                <w:rFonts w:cs="宋体"/>
                <w:sz w:val="21"/>
                <w:szCs w:val="21"/>
              </w:rPr>
            </w:pPr>
            <w:r>
              <w:rPr>
                <w:rFonts w:cs="宋体"/>
                <w:sz w:val="21"/>
                <w:szCs w:val="21"/>
              </w:rPr>
              <w:t>排污许可证号</w:t>
            </w:r>
          </w:p>
        </w:tc>
        <w:tc>
          <w:tcPr>
            <w:tcW w:w="759" w:type="pct"/>
            <w:gridSpan w:val="2"/>
            <w:tcBorders>
              <w:tl2br w:val="nil"/>
              <w:tr2bl w:val="nil"/>
            </w:tcBorders>
            <w:vAlign w:val="center"/>
          </w:tcPr>
          <w:p w14:paraId="45041DAA">
            <w:pPr>
              <w:ind w:firstLine="0" w:firstLineChars="0"/>
              <w:jc w:val="center"/>
              <w:rPr>
                <w:rFonts w:cs="宋体"/>
                <w:sz w:val="21"/>
                <w:szCs w:val="21"/>
              </w:rPr>
            </w:pPr>
            <w:r>
              <w:rPr>
                <w:rFonts w:cs="宋体"/>
                <w:sz w:val="21"/>
                <w:szCs w:val="21"/>
              </w:rPr>
              <w:t>污染物名称</w:t>
            </w:r>
          </w:p>
        </w:tc>
        <w:tc>
          <w:tcPr>
            <w:tcW w:w="715" w:type="pct"/>
            <w:gridSpan w:val="3"/>
            <w:tcBorders>
              <w:tl2br w:val="nil"/>
              <w:tr2bl w:val="nil"/>
            </w:tcBorders>
            <w:vAlign w:val="center"/>
          </w:tcPr>
          <w:p w14:paraId="49F2CC69">
            <w:pPr>
              <w:ind w:firstLine="0" w:firstLineChars="0"/>
              <w:jc w:val="center"/>
              <w:rPr>
                <w:sz w:val="21"/>
                <w:szCs w:val="21"/>
              </w:rPr>
            </w:pPr>
            <w:r>
              <w:rPr>
                <w:rFonts w:cs="宋体"/>
                <w:sz w:val="21"/>
                <w:szCs w:val="21"/>
              </w:rPr>
              <w:t>排放量</w:t>
            </w:r>
            <w:r>
              <w:rPr>
                <w:sz w:val="21"/>
                <w:szCs w:val="21"/>
              </w:rPr>
              <w:t>/</w:t>
            </w:r>
          </w:p>
          <w:p w14:paraId="0298C731">
            <w:pPr>
              <w:ind w:firstLine="0" w:firstLineChars="0"/>
              <w:jc w:val="center"/>
              <w:rPr>
                <w:rFonts w:cs="宋体"/>
                <w:sz w:val="21"/>
                <w:szCs w:val="21"/>
              </w:rPr>
            </w:pPr>
            <w:r>
              <w:rPr>
                <w:rFonts w:hint="eastAsia" w:cs="宋体"/>
                <w:sz w:val="21"/>
                <w:szCs w:val="21"/>
              </w:rPr>
              <w:t>（</w:t>
            </w:r>
            <w:r>
              <w:rPr>
                <w:sz w:val="21"/>
                <w:szCs w:val="21"/>
              </w:rPr>
              <w:t>t/a</w:t>
            </w:r>
            <w:r>
              <w:rPr>
                <w:rFonts w:hint="eastAsia" w:cs="宋体"/>
                <w:sz w:val="21"/>
                <w:szCs w:val="21"/>
              </w:rPr>
              <w:t>）</w:t>
            </w:r>
          </w:p>
        </w:tc>
        <w:tc>
          <w:tcPr>
            <w:tcW w:w="1076" w:type="pct"/>
            <w:gridSpan w:val="3"/>
            <w:tcBorders>
              <w:tl2br w:val="nil"/>
              <w:tr2bl w:val="nil"/>
            </w:tcBorders>
            <w:vAlign w:val="center"/>
          </w:tcPr>
          <w:p w14:paraId="3A1E5D9F">
            <w:pPr>
              <w:ind w:firstLine="0" w:firstLineChars="0"/>
              <w:jc w:val="center"/>
              <w:rPr>
                <w:rFonts w:cs="宋体"/>
                <w:sz w:val="21"/>
                <w:szCs w:val="21"/>
              </w:rPr>
            </w:pPr>
            <w:r>
              <w:rPr>
                <w:rFonts w:cs="宋体"/>
                <w:sz w:val="21"/>
                <w:szCs w:val="21"/>
              </w:rPr>
              <w:t>排放浓度</w:t>
            </w:r>
            <w:r>
              <w:rPr>
                <w:sz w:val="21"/>
                <w:szCs w:val="21"/>
              </w:rPr>
              <w:t>/</w:t>
            </w:r>
            <w:r>
              <w:rPr>
                <w:rFonts w:hint="eastAsia" w:cs="宋体"/>
                <w:sz w:val="21"/>
                <w:szCs w:val="21"/>
              </w:rPr>
              <w:t>（</w:t>
            </w:r>
            <w:r>
              <w:rPr>
                <w:sz w:val="21"/>
                <w:szCs w:val="21"/>
              </w:rPr>
              <w:t>mg/L</w:t>
            </w:r>
            <w:r>
              <w:rPr>
                <w:rFonts w:hint="eastAsia" w:cs="宋体"/>
                <w:sz w:val="21"/>
                <w:szCs w:val="21"/>
              </w:rPr>
              <w:t>）</w:t>
            </w:r>
          </w:p>
        </w:tc>
      </w:tr>
      <w:tr w14:paraId="09692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50" w:hRule="atLeast"/>
          <w:jc w:val="center"/>
        </w:trPr>
        <w:tc>
          <w:tcPr>
            <w:tcW w:w="258" w:type="pct"/>
            <w:vMerge w:val="continue"/>
            <w:tcBorders>
              <w:tl2br w:val="nil"/>
              <w:tr2bl w:val="nil"/>
            </w:tcBorders>
            <w:textDirection w:val="tbRlV"/>
            <w:vAlign w:val="center"/>
          </w:tcPr>
          <w:p w14:paraId="564655E8">
            <w:pPr>
              <w:ind w:firstLine="0" w:firstLineChars="0"/>
              <w:jc w:val="center"/>
              <w:rPr>
                <w:sz w:val="21"/>
              </w:rPr>
            </w:pPr>
          </w:p>
        </w:tc>
        <w:tc>
          <w:tcPr>
            <w:tcW w:w="831" w:type="pct"/>
            <w:vMerge w:val="continue"/>
            <w:tcBorders>
              <w:tl2br w:val="nil"/>
              <w:tr2bl w:val="nil"/>
            </w:tcBorders>
            <w:vAlign w:val="center"/>
          </w:tcPr>
          <w:p w14:paraId="635A8F27">
            <w:pPr>
              <w:ind w:firstLine="0" w:firstLineChars="0"/>
              <w:jc w:val="center"/>
              <w:rPr>
                <w:sz w:val="21"/>
              </w:rPr>
            </w:pPr>
          </w:p>
        </w:tc>
        <w:tc>
          <w:tcPr>
            <w:tcW w:w="637" w:type="pct"/>
            <w:tcBorders>
              <w:tl2br w:val="nil"/>
              <w:tr2bl w:val="nil"/>
            </w:tcBorders>
            <w:vAlign w:val="center"/>
          </w:tcPr>
          <w:p w14:paraId="2432BE43">
            <w:pPr>
              <w:ind w:firstLine="0" w:firstLineChars="0"/>
              <w:jc w:val="center"/>
              <w:rPr>
                <w:sz w:val="21"/>
                <w:szCs w:val="21"/>
              </w:rPr>
            </w:pPr>
            <w:r>
              <w:rPr>
                <w:sz w:val="21"/>
                <w:szCs w:val="21"/>
              </w:rPr>
              <w:t>/</w:t>
            </w:r>
          </w:p>
        </w:tc>
        <w:tc>
          <w:tcPr>
            <w:tcW w:w="721" w:type="pct"/>
            <w:gridSpan w:val="4"/>
            <w:tcBorders>
              <w:tl2br w:val="nil"/>
              <w:tr2bl w:val="nil"/>
            </w:tcBorders>
            <w:vAlign w:val="center"/>
          </w:tcPr>
          <w:p w14:paraId="49B9C3D1">
            <w:pPr>
              <w:ind w:firstLine="0" w:firstLineChars="0"/>
              <w:jc w:val="center"/>
              <w:rPr>
                <w:sz w:val="21"/>
                <w:szCs w:val="21"/>
              </w:rPr>
            </w:pPr>
            <w:r>
              <w:rPr>
                <w:sz w:val="21"/>
                <w:szCs w:val="21"/>
              </w:rPr>
              <w:t>/</w:t>
            </w:r>
          </w:p>
        </w:tc>
        <w:tc>
          <w:tcPr>
            <w:tcW w:w="759" w:type="pct"/>
            <w:gridSpan w:val="2"/>
            <w:tcBorders>
              <w:tl2br w:val="nil"/>
              <w:tr2bl w:val="nil"/>
            </w:tcBorders>
            <w:vAlign w:val="center"/>
          </w:tcPr>
          <w:p w14:paraId="7699FA98">
            <w:pPr>
              <w:ind w:firstLine="0" w:firstLineChars="0"/>
              <w:jc w:val="center"/>
              <w:rPr>
                <w:sz w:val="21"/>
                <w:szCs w:val="21"/>
              </w:rPr>
            </w:pPr>
            <w:r>
              <w:rPr>
                <w:sz w:val="21"/>
                <w:szCs w:val="21"/>
              </w:rPr>
              <w:t>/</w:t>
            </w:r>
          </w:p>
        </w:tc>
        <w:tc>
          <w:tcPr>
            <w:tcW w:w="715" w:type="pct"/>
            <w:gridSpan w:val="3"/>
            <w:tcBorders>
              <w:tl2br w:val="nil"/>
              <w:tr2bl w:val="nil"/>
            </w:tcBorders>
            <w:vAlign w:val="center"/>
          </w:tcPr>
          <w:p w14:paraId="0C2F98FA">
            <w:pPr>
              <w:ind w:firstLine="0" w:firstLineChars="0"/>
              <w:jc w:val="center"/>
              <w:rPr>
                <w:sz w:val="21"/>
                <w:szCs w:val="21"/>
              </w:rPr>
            </w:pPr>
            <w:r>
              <w:rPr>
                <w:sz w:val="21"/>
                <w:szCs w:val="21"/>
              </w:rPr>
              <w:t>/</w:t>
            </w:r>
          </w:p>
        </w:tc>
        <w:tc>
          <w:tcPr>
            <w:tcW w:w="1076" w:type="pct"/>
            <w:gridSpan w:val="3"/>
            <w:tcBorders>
              <w:tl2br w:val="nil"/>
              <w:tr2bl w:val="nil"/>
            </w:tcBorders>
            <w:vAlign w:val="center"/>
          </w:tcPr>
          <w:p w14:paraId="190C56C3">
            <w:pPr>
              <w:ind w:firstLine="0" w:firstLineChars="0"/>
              <w:jc w:val="center"/>
              <w:rPr>
                <w:sz w:val="21"/>
                <w:szCs w:val="21"/>
              </w:rPr>
            </w:pPr>
            <w:r>
              <w:rPr>
                <w:sz w:val="21"/>
                <w:szCs w:val="21"/>
              </w:rPr>
              <w:t>/</w:t>
            </w:r>
          </w:p>
        </w:tc>
      </w:tr>
      <w:tr w14:paraId="34268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10" w:hRule="atLeast"/>
          <w:jc w:val="center"/>
        </w:trPr>
        <w:tc>
          <w:tcPr>
            <w:tcW w:w="258" w:type="pct"/>
            <w:vMerge w:val="continue"/>
            <w:tcBorders>
              <w:tl2br w:val="nil"/>
              <w:tr2bl w:val="nil"/>
            </w:tcBorders>
            <w:vAlign w:val="center"/>
          </w:tcPr>
          <w:p w14:paraId="21782363">
            <w:pPr>
              <w:ind w:firstLine="0" w:firstLineChars="0"/>
              <w:jc w:val="center"/>
              <w:rPr>
                <w:sz w:val="21"/>
              </w:rPr>
            </w:pPr>
          </w:p>
        </w:tc>
        <w:tc>
          <w:tcPr>
            <w:tcW w:w="831" w:type="pct"/>
            <w:tcBorders>
              <w:tl2br w:val="nil"/>
              <w:tr2bl w:val="nil"/>
            </w:tcBorders>
            <w:vAlign w:val="center"/>
          </w:tcPr>
          <w:p w14:paraId="18F247DC">
            <w:pPr>
              <w:ind w:firstLine="0" w:firstLineChars="0"/>
              <w:jc w:val="center"/>
              <w:rPr>
                <w:rFonts w:cs="宋体"/>
                <w:sz w:val="21"/>
                <w:szCs w:val="21"/>
              </w:rPr>
            </w:pPr>
            <w:r>
              <w:rPr>
                <w:rFonts w:cs="宋体"/>
                <w:sz w:val="21"/>
                <w:szCs w:val="21"/>
              </w:rPr>
              <w:t>生态流量确定</w:t>
            </w:r>
          </w:p>
        </w:tc>
        <w:tc>
          <w:tcPr>
            <w:tcW w:w="3910" w:type="pct"/>
            <w:gridSpan w:val="13"/>
            <w:tcBorders>
              <w:tl2br w:val="nil"/>
              <w:tr2bl w:val="nil"/>
            </w:tcBorders>
            <w:vAlign w:val="center"/>
          </w:tcPr>
          <w:p w14:paraId="21BB93EC">
            <w:pPr>
              <w:ind w:firstLine="0" w:firstLineChars="0"/>
              <w:jc w:val="center"/>
              <w:rPr>
                <w:sz w:val="21"/>
                <w:szCs w:val="21"/>
              </w:rPr>
            </w:pPr>
            <w:r>
              <w:rPr>
                <w:rFonts w:cs="宋体"/>
                <w:sz w:val="21"/>
                <w:szCs w:val="21"/>
              </w:rPr>
              <w:t>生态流量：一般水期</w:t>
            </w:r>
            <w:r>
              <w:rPr>
                <w:rFonts w:hint="eastAsia" w:cs="宋体"/>
                <w:sz w:val="21"/>
                <w:szCs w:val="21"/>
              </w:rPr>
              <w:t>（</w:t>
            </w:r>
            <w:r>
              <w:rPr>
                <w:sz w:val="21"/>
                <w:szCs w:val="21"/>
              </w:rPr>
              <w:t>/</w:t>
            </w:r>
            <w:r>
              <w:rPr>
                <w:rFonts w:hint="eastAsia" w:cs="宋体"/>
                <w:sz w:val="21"/>
                <w:szCs w:val="21"/>
              </w:rPr>
              <w:t>）</w:t>
            </w:r>
            <w:r>
              <w:rPr>
                <w:sz w:val="21"/>
                <w:szCs w:val="21"/>
              </w:rPr>
              <w:t>m³/s</w:t>
            </w:r>
            <w:r>
              <w:rPr>
                <w:rFonts w:cs="宋体"/>
                <w:sz w:val="21"/>
                <w:szCs w:val="21"/>
              </w:rPr>
              <w:t>；鱼类繁殖期</w:t>
            </w:r>
            <w:r>
              <w:rPr>
                <w:rFonts w:hint="eastAsia" w:cs="宋体"/>
                <w:sz w:val="21"/>
                <w:szCs w:val="21"/>
              </w:rPr>
              <w:t>（</w:t>
            </w:r>
            <w:r>
              <w:rPr>
                <w:sz w:val="21"/>
                <w:szCs w:val="21"/>
              </w:rPr>
              <w:t>/</w:t>
            </w:r>
            <w:r>
              <w:rPr>
                <w:rFonts w:hint="eastAsia" w:cs="宋体"/>
                <w:sz w:val="21"/>
                <w:szCs w:val="21"/>
              </w:rPr>
              <w:t>）</w:t>
            </w:r>
            <w:r>
              <w:rPr>
                <w:sz w:val="21"/>
                <w:szCs w:val="21"/>
              </w:rPr>
              <w:t>m³/s</w:t>
            </w:r>
            <w:r>
              <w:rPr>
                <w:rFonts w:cs="宋体"/>
                <w:sz w:val="21"/>
                <w:szCs w:val="21"/>
              </w:rPr>
              <w:t>；其他</w:t>
            </w:r>
            <w:r>
              <w:rPr>
                <w:rFonts w:hint="eastAsia" w:cs="宋体"/>
                <w:sz w:val="21"/>
                <w:szCs w:val="21"/>
              </w:rPr>
              <w:t>（</w:t>
            </w:r>
            <w:r>
              <w:rPr>
                <w:sz w:val="21"/>
                <w:szCs w:val="21"/>
              </w:rPr>
              <w:t>/</w:t>
            </w:r>
            <w:r>
              <w:rPr>
                <w:rFonts w:hint="eastAsia" w:cs="宋体"/>
                <w:sz w:val="21"/>
                <w:szCs w:val="21"/>
              </w:rPr>
              <w:t>）</w:t>
            </w:r>
            <w:r>
              <w:rPr>
                <w:sz w:val="21"/>
                <w:szCs w:val="21"/>
              </w:rPr>
              <w:t>m³/s</w:t>
            </w:r>
            <w:r>
              <w:rPr>
                <w:rFonts w:cs="宋体"/>
                <w:sz w:val="21"/>
                <w:szCs w:val="21"/>
              </w:rPr>
              <w:t>生态水位：一般水期</w:t>
            </w:r>
            <w:r>
              <w:rPr>
                <w:rFonts w:hint="eastAsia" w:cs="宋体"/>
                <w:sz w:val="21"/>
                <w:szCs w:val="21"/>
              </w:rPr>
              <w:t>（</w:t>
            </w:r>
            <w:r>
              <w:rPr>
                <w:sz w:val="21"/>
                <w:szCs w:val="21"/>
              </w:rPr>
              <w:t>/</w:t>
            </w:r>
            <w:r>
              <w:rPr>
                <w:rFonts w:hint="eastAsia" w:cs="宋体"/>
                <w:sz w:val="21"/>
                <w:szCs w:val="21"/>
              </w:rPr>
              <w:t>）</w:t>
            </w:r>
            <w:r>
              <w:rPr>
                <w:sz w:val="21"/>
                <w:szCs w:val="21"/>
              </w:rPr>
              <w:t>m</w:t>
            </w:r>
            <w:r>
              <w:rPr>
                <w:rFonts w:cs="宋体"/>
                <w:sz w:val="21"/>
                <w:szCs w:val="21"/>
              </w:rPr>
              <w:t>；鱼类繁殖期</w:t>
            </w:r>
            <w:r>
              <w:rPr>
                <w:rFonts w:hint="eastAsia" w:cs="宋体"/>
                <w:sz w:val="21"/>
                <w:szCs w:val="21"/>
              </w:rPr>
              <w:t>（</w:t>
            </w:r>
            <w:r>
              <w:rPr>
                <w:sz w:val="21"/>
                <w:szCs w:val="21"/>
              </w:rPr>
              <w:t>/</w:t>
            </w:r>
            <w:r>
              <w:rPr>
                <w:rFonts w:hint="eastAsia" w:cs="宋体"/>
                <w:sz w:val="21"/>
                <w:szCs w:val="21"/>
              </w:rPr>
              <w:t>）</w:t>
            </w:r>
            <w:r>
              <w:rPr>
                <w:sz w:val="21"/>
                <w:szCs w:val="21"/>
              </w:rPr>
              <w:t>m</w:t>
            </w:r>
            <w:r>
              <w:rPr>
                <w:rFonts w:cs="宋体"/>
                <w:sz w:val="21"/>
                <w:szCs w:val="21"/>
              </w:rPr>
              <w:t>；其他</w:t>
            </w:r>
            <w:r>
              <w:rPr>
                <w:rFonts w:hint="eastAsia" w:cs="宋体"/>
                <w:sz w:val="21"/>
                <w:szCs w:val="21"/>
              </w:rPr>
              <w:t>（</w:t>
            </w:r>
            <w:r>
              <w:rPr>
                <w:sz w:val="21"/>
                <w:szCs w:val="21"/>
              </w:rPr>
              <w:t>/</w:t>
            </w:r>
            <w:r>
              <w:rPr>
                <w:rFonts w:hint="eastAsia" w:cs="宋体"/>
                <w:sz w:val="21"/>
                <w:szCs w:val="21"/>
              </w:rPr>
              <w:t>）</w:t>
            </w:r>
            <w:r>
              <w:rPr>
                <w:sz w:val="21"/>
                <w:szCs w:val="21"/>
              </w:rPr>
              <w:t>m</w:t>
            </w:r>
          </w:p>
        </w:tc>
      </w:tr>
      <w:tr w14:paraId="0F927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4" w:hRule="atLeast"/>
          <w:jc w:val="center"/>
        </w:trPr>
        <w:tc>
          <w:tcPr>
            <w:tcW w:w="258" w:type="pct"/>
            <w:vMerge w:val="restart"/>
            <w:tcBorders>
              <w:tl2br w:val="nil"/>
              <w:tr2bl w:val="nil"/>
            </w:tcBorders>
            <w:textDirection w:val="tbRlV"/>
            <w:vAlign w:val="center"/>
          </w:tcPr>
          <w:p w14:paraId="44E6C9E2">
            <w:pPr>
              <w:ind w:firstLine="0" w:firstLineChars="0"/>
              <w:jc w:val="center"/>
              <w:rPr>
                <w:rFonts w:cs="宋体"/>
                <w:sz w:val="21"/>
                <w:szCs w:val="21"/>
              </w:rPr>
            </w:pPr>
            <w:r>
              <w:rPr>
                <w:rFonts w:cs="宋体"/>
                <w:sz w:val="21"/>
                <w:szCs w:val="21"/>
              </w:rPr>
              <w:t>防治措施</w:t>
            </w:r>
          </w:p>
        </w:tc>
        <w:tc>
          <w:tcPr>
            <w:tcW w:w="831" w:type="pct"/>
            <w:tcBorders>
              <w:tl2br w:val="nil"/>
              <w:tr2bl w:val="nil"/>
            </w:tcBorders>
            <w:vAlign w:val="center"/>
          </w:tcPr>
          <w:p w14:paraId="64DBAB7B">
            <w:pPr>
              <w:ind w:firstLine="0" w:firstLineChars="0"/>
              <w:jc w:val="center"/>
              <w:rPr>
                <w:rFonts w:cs="宋体"/>
                <w:sz w:val="21"/>
                <w:szCs w:val="21"/>
              </w:rPr>
            </w:pPr>
            <w:r>
              <w:rPr>
                <w:rFonts w:cs="宋体"/>
                <w:sz w:val="21"/>
                <w:szCs w:val="21"/>
              </w:rPr>
              <w:t>环保措施</w:t>
            </w:r>
          </w:p>
        </w:tc>
        <w:tc>
          <w:tcPr>
            <w:tcW w:w="3910" w:type="pct"/>
            <w:gridSpan w:val="13"/>
            <w:tcBorders>
              <w:tl2br w:val="nil"/>
              <w:tr2bl w:val="nil"/>
            </w:tcBorders>
            <w:vAlign w:val="center"/>
          </w:tcPr>
          <w:p w14:paraId="5A4E795B">
            <w:pPr>
              <w:ind w:firstLine="0" w:firstLineChars="0"/>
              <w:jc w:val="center"/>
              <w:rPr>
                <w:sz w:val="21"/>
                <w:szCs w:val="21"/>
              </w:rPr>
            </w:pPr>
            <w:r>
              <w:rPr>
                <w:rFonts w:cs="宋体"/>
                <w:sz w:val="21"/>
                <w:szCs w:val="21"/>
              </w:rPr>
              <w:t>污水处理设施</w:t>
            </w:r>
            <w:r>
              <w:rPr>
                <w:rFonts w:cs="微软雅黑"/>
                <w:sz w:val="21"/>
                <w:szCs w:val="21"/>
              </w:rPr>
              <w:t>团</w:t>
            </w:r>
            <w:r>
              <w:rPr>
                <w:rFonts w:cs="宋体"/>
                <w:sz w:val="21"/>
                <w:szCs w:val="21"/>
              </w:rPr>
              <w:t>；水文减缓设施</w:t>
            </w:r>
            <w:r>
              <w:rPr>
                <w:sz w:val="21"/>
                <w:szCs w:val="21"/>
              </w:rPr>
              <w:drawing>
                <wp:inline distT="0" distB="0" distL="0" distR="0">
                  <wp:extent cx="113665" cy="97790"/>
                  <wp:effectExtent l="0" t="0" r="635" b="16510"/>
                  <wp:docPr id="253" name="IM 165"/>
                  <wp:cNvGraphicFramePr/>
                  <a:graphic xmlns:a="http://schemas.openxmlformats.org/drawingml/2006/main">
                    <a:graphicData uri="http://schemas.openxmlformats.org/drawingml/2006/picture">
                      <pic:pic xmlns:pic="http://schemas.openxmlformats.org/drawingml/2006/picture">
                        <pic:nvPicPr>
                          <pic:cNvPr id="253" name="IM 165"/>
                          <pic:cNvPicPr/>
                        </pic:nvPicPr>
                        <pic:blipFill>
                          <a:blip r:embed="rId55"/>
                          <a:stretch>
                            <a:fillRect/>
                          </a:stretch>
                        </pic:blipFill>
                        <pic:spPr>
                          <a:xfrm>
                            <a:off x="0" y="0"/>
                            <a:ext cx="113965" cy="97878"/>
                          </a:xfrm>
                          <a:prstGeom prst="rect">
                            <a:avLst/>
                          </a:prstGeom>
                        </pic:spPr>
                      </pic:pic>
                    </a:graphicData>
                  </a:graphic>
                </wp:inline>
              </w:drawing>
            </w:r>
            <w:r>
              <w:rPr>
                <w:rFonts w:cs="宋体"/>
                <w:sz w:val="21"/>
                <w:szCs w:val="21"/>
              </w:rPr>
              <w:t>；生态流量保障设施</w:t>
            </w:r>
            <w:r>
              <w:rPr>
                <w:sz w:val="21"/>
                <w:szCs w:val="21"/>
              </w:rPr>
              <w:drawing>
                <wp:inline distT="0" distB="0" distL="0" distR="0">
                  <wp:extent cx="113665" cy="97790"/>
                  <wp:effectExtent l="0" t="0" r="635" b="16510"/>
                  <wp:docPr id="254" name="IM 166"/>
                  <wp:cNvGraphicFramePr/>
                  <a:graphic xmlns:a="http://schemas.openxmlformats.org/drawingml/2006/main">
                    <a:graphicData uri="http://schemas.openxmlformats.org/drawingml/2006/picture">
                      <pic:pic xmlns:pic="http://schemas.openxmlformats.org/drawingml/2006/picture">
                        <pic:nvPicPr>
                          <pic:cNvPr id="254" name="IM 166"/>
                          <pic:cNvPicPr/>
                        </pic:nvPicPr>
                        <pic:blipFill>
                          <a:blip r:embed="rId53"/>
                          <a:stretch>
                            <a:fillRect/>
                          </a:stretch>
                        </pic:blipFill>
                        <pic:spPr>
                          <a:xfrm>
                            <a:off x="0" y="0"/>
                            <a:ext cx="113965" cy="97878"/>
                          </a:xfrm>
                          <a:prstGeom prst="rect">
                            <a:avLst/>
                          </a:prstGeom>
                        </pic:spPr>
                      </pic:pic>
                    </a:graphicData>
                  </a:graphic>
                </wp:inline>
              </w:drawing>
            </w:r>
            <w:r>
              <w:rPr>
                <w:rFonts w:cs="宋体"/>
                <w:sz w:val="21"/>
                <w:szCs w:val="21"/>
              </w:rPr>
              <w:t>；区域削减</w:t>
            </w:r>
            <w:r>
              <w:rPr>
                <w:sz w:val="21"/>
                <w:szCs w:val="21"/>
              </w:rPr>
              <w:drawing>
                <wp:inline distT="0" distB="0" distL="0" distR="0">
                  <wp:extent cx="113665" cy="97790"/>
                  <wp:effectExtent l="0" t="0" r="635" b="16510"/>
                  <wp:docPr id="255" name="IM 167"/>
                  <wp:cNvGraphicFramePr/>
                  <a:graphic xmlns:a="http://schemas.openxmlformats.org/drawingml/2006/main">
                    <a:graphicData uri="http://schemas.openxmlformats.org/drawingml/2006/picture">
                      <pic:pic xmlns:pic="http://schemas.openxmlformats.org/drawingml/2006/picture">
                        <pic:nvPicPr>
                          <pic:cNvPr id="255" name="IM 167"/>
                          <pic:cNvPicPr/>
                        </pic:nvPicPr>
                        <pic:blipFill>
                          <a:blip r:embed="rId55"/>
                          <a:stretch>
                            <a:fillRect/>
                          </a:stretch>
                        </pic:blipFill>
                        <pic:spPr>
                          <a:xfrm>
                            <a:off x="0" y="0"/>
                            <a:ext cx="113965" cy="97878"/>
                          </a:xfrm>
                          <a:prstGeom prst="rect">
                            <a:avLst/>
                          </a:prstGeom>
                        </pic:spPr>
                      </pic:pic>
                    </a:graphicData>
                  </a:graphic>
                </wp:inline>
              </w:drawing>
            </w:r>
            <w:r>
              <w:rPr>
                <w:rFonts w:cs="宋体"/>
                <w:sz w:val="21"/>
                <w:szCs w:val="21"/>
              </w:rPr>
              <w:t>；依托其他工程措施</w:t>
            </w:r>
            <w:r>
              <w:rPr>
                <w:sz w:val="21"/>
                <w:szCs w:val="21"/>
              </w:rPr>
              <w:drawing>
                <wp:inline distT="0" distB="0" distL="0" distR="0">
                  <wp:extent cx="107315" cy="97790"/>
                  <wp:effectExtent l="0" t="0" r="6985" b="16510"/>
                  <wp:docPr id="256" name="IM 168"/>
                  <wp:cNvGraphicFramePr/>
                  <a:graphic xmlns:a="http://schemas.openxmlformats.org/drawingml/2006/main">
                    <a:graphicData uri="http://schemas.openxmlformats.org/drawingml/2006/picture">
                      <pic:pic xmlns:pic="http://schemas.openxmlformats.org/drawingml/2006/picture">
                        <pic:nvPicPr>
                          <pic:cNvPr id="256" name="IM 168"/>
                          <pic:cNvPicPr/>
                        </pic:nvPicPr>
                        <pic:blipFill>
                          <a:blip r:embed="rId53"/>
                          <a:stretch>
                            <a:fillRect/>
                          </a:stretch>
                        </pic:blipFill>
                        <pic:spPr>
                          <a:xfrm>
                            <a:off x="0" y="0"/>
                            <a:ext cx="107740" cy="97878"/>
                          </a:xfrm>
                          <a:prstGeom prst="rect">
                            <a:avLst/>
                          </a:prstGeom>
                        </pic:spPr>
                      </pic:pic>
                    </a:graphicData>
                  </a:graphic>
                </wp:inline>
              </w:drawing>
            </w:r>
            <w:r>
              <w:rPr>
                <w:rFonts w:cs="宋体"/>
                <w:sz w:val="21"/>
                <w:szCs w:val="21"/>
              </w:rPr>
              <w:t>；其他</w:t>
            </w:r>
            <w:r>
              <w:rPr>
                <w:sz w:val="21"/>
                <w:szCs w:val="21"/>
              </w:rPr>
              <w:drawing>
                <wp:inline distT="0" distB="0" distL="0" distR="0">
                  <wp:extent cx="107315" cy="97790"/>
                  <wp:effectExtent l="0" t="0" r="6985" b="16510"/>
                  <wp:docPr id="257" name="IM 169"/>
                  <wp:cNvGraphicFramePr/>
                  <a:graphic xmlns:a="http://schemas.openxmlformats.org/drawingml/2006/main">
                    <a:graphicData uri="http://schemas.openxmlformats.org/drawingml/2006/picture">
                      <pic:pic xmlns:pic="http://schemas.openxmlformats.org/drawingml/2006/picture">
                        <pic:nvPicPr>
                          <pic:cNvPr id="257" name="IM 169"/>
                          <pic:cNvPicPr/>
                        </pic:nvPicPr>
                        <pic:blipFill>
                          <a:blip r:embed="rId53"/>
                          <a:stretch>
                            <a:fillRect/>
                          </a:stretch>
                        </pic:blipFill>
                        <pic:spPr>
                          <a:xfrm>
                            <a:off x="0" y="0"/>
                            <a:ext cx="107740" cy="97878"/>
                          </a:xfrm>
                          <a:prstGeom prst="rect">
                            <a:avLst/>
                          </a:prstGeom>
                        </pic:spPr>
                      </pic:pic>
                    </a:graphicData>
                  </a:graphic>
                </wp:inline>
              </w:drawing>
            </w:r>
          </w:p>
        </w:tc>
      </w:tr>
      <w:tr w14:paraId="1CE95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00423511">
            <w:pPr>
              <w:ind w:firstLine="0" w:firstLineChars="0"/>
              <w:jc w:val="center"/>
              <w:rPr>
                <w:sz w:val="21"/>
              </w:rPr>
            </w:pPr>
          </w:p>
        </w:tc>
        <w:tc>
          <w:tcPr>
            <w:tcW w:w="831" w:type="pct"/>
            <w:vMerge w:val="restart"/>
            <w:tcBorders>
              <w:tl2br w:val="nil"/>
              <w:tr2bl w:val="nil"/>
            </w:tcBorders>
            <w:vAlign w:val="center"/>
          </w:tcPr>
          <w:p w14:paraId="06FA817B">
            <w:pPr>
              <w:ind w:firstLine="0" w:firstLineChars="0"/>
              <w:jc w:val="center"/>
              <w:rPr>
                <w:rFonts w:cs="宋体"/>
                <w:sz w:val="21"/>
                <w:szCs w:val="21"/>
              </w:rPr>
            </w:pPr>
            <w:r>
              <w:rPr>
                <w:rFonts w:cs="宋体"/>
                <w:sz w:val="21"/>
                <w:szCs w:val="21"/>
              </w:rPr>
              <w:t>监测计划</w:t>
            </w:r>
          </w:p>
        </w:tc>
        <w:tc>
          <w:tcPr>
            <w:tcW w:w="962" w:type="pct"/>
            <w:gridSpan w:val="4"/>
            <w:tcBorders>
              <w:tl2br w:val="nil"/>
              <w:tr2bl w:val="nil"/>
            </w:tcBorders>
            <w:vAlign w:val="center"/>
          </w:tcPr>
          <w:p w14:paraId="5345F6EB">
            <w:pPr>
              <w:ind w:firstLine="0" w:firstLineChars="0"/>
              <w:jc w:val="center"/>
              <w:rPr>
                <w:sz w:val="21"/>
                <w:szCs w:val="21"/>
              </w:rPr>
            </w:pPr>
            <w:r>
              <w:rPr>
                <w:sz w:val="21"/>
                <w:szCs w:val="21"/>
              </w:rPr>
              <w:t>/</w:t>
            </w:r>
          </w:p>
        </w:tc>
        <w:tc>
          <w:tcPr>
            <w:tcW w:w="1311" w:type="pct"/>
            <w:gridSpan w:val="5"/>
            <w:tcBorders>
              <w:tl2br w:val="nil"/>
              <w:tr2bl w:val="nil"/>
            </w:tcBorders>
            <w:vAlign w:val="center"/>
          </w:tcPr>
          <w:p w14:paraId="3E1E762B">
            <w:pPr>
              <w:ind w:firstLine="0" w:firstLineChars="0"/>
              <w:jc w:val="center"/>
              <w:rPr>
                <w:rFonts w:cs="宋体"/>
                <w:sz w:val="21"/>
                <w:szCs w:val="21"/>
              </w:rPr>
            </w:pPr>
            <w:r>
              <w:rPr>
                <w:rFonts w:cs="宋体"/>
                <w:sz w:val="21"/>
                <w:szCs w:val="21"/>
              </w:rPr>
              <w:t>环境质量</w:t>
            </w:r>
          </w:p>
        </w:tc>
        <w:tc>
          <w:tcPr>
            <w:tcW w:w="1636" w:type="pct"/>
            <w:gridSpan w:val="4"/>
            <w:tcBorders>
              <w:tl2br w:val="nil"/>
              <w:tr2bl w:val="nil"/>
            </w:tcBorders>
            <w:vAlign w:val="center"/>
          </w:tcPr>
          <w:p w14:paraId="31A83440">
            <w:pPr>
              <w:ind w:firstLine="0" w:firstLineChars="0"/>
              <w:jc w:val="center"/>
              <w:rPr>
                <w:rFonts w:cs="宋体"/>
                <w:sz w:val="21"/>
                <w:szCs w:val="21"/>
              </w:rPr>
            </w:pPr>
            <w:r>
              <w:rPr>
                <w:rFonts w:cs="宋体"/>
                <w:sz w:val="21"/>
                <w:szCs w:val="21"/>
              </w:rPr>
              <w:t>污染源</w:t>
            </w:r>
          </w:p>
        </w:tc>
      </w:tr>
      <w:tr w14:paraId="2B584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4" w:hRule="atLeast"/>
          <w:jc w:val="center"/>
        </w:trPr>
        <w:tc>
          <w:tcPr>
            <w:tcW w:w="258" w:type="pct"/>
            <w:vMerge w:val="continue"/>
            <w:tcBorders>
              <w:tl2br w:val="nil"/>
              <w:tr2bl w:val="nil"/>
            </w:tcBorders>
            <w:textDirection w:val="tbRlV"/>
            <w:vAlign w:val="center"/>
          </w:tcPr>
          <w:p w14:paraId="3E1EC8C7">
            <w:pPr>
              <w:ind w:firstLine="0" w:firstLineChars="0"/>
              <w:jc w:val="center"/>
              <w:rPr>
                <w:sz w:val="21"/>
              </w:rPr>
            </w:pPr>
          </w:p>
        </w:tc>
        <w:tc>
          <w:tcPr>
            <w:tcW w:w="831" w:type="pct"/>
            <w:vMerge w:val="continue"/>
            <w:tcBorders>
              <w:tl2br w:val="nil"/>
              <w:tr2bl w:val="nil"/>
            </w:tcBorders>
            <w:vAlign w:val="center"/>
          </w:tcPr>
          <w:p w14:paraId="3E09581B">
            <w:pPr>
              <w:ind w:firstLine="0" w:firstLineChars="0"/>
              <w:jc w:val="center"/>
              <w:rPr>
                <w:sz w:val="21"/>
              </w:rPr>
            </w:pPr>
          </w:p>
        </w:tc>
        <w:tc>
          <w:tcPr>
            <w:tcW w:w="962" w:type="pct"/>
            <w:gridSpan w:val="4"/>
            <w:tcBorders>
              <w:tl2br w:val="nil"/>
              <w:tr2bl w:val="nil"/>
            </w:tcBorders>
            <w:vAlign w:val="center"/>
          </w:tcPr>
          <w:p w14:paraId="0785C72C">
            <w:pPr>
              <w:ind w:firstLine="0" w:firstLineChars="0"/>
              <w:jc w:val="center"/>
              <w:rPr>
                <w:rFonts w:cs="宋体"/>
                <w:sz w:val="21"/>
                <w:szCs w:val="21"/>
              </w:rPr>
            </w:pPr>
            <w:r>
              <w:rPr>
                <w:rFonts w:cs="宋体"/>
                <w:sz w:val="21"/>
                <w:szCs w:val="21"/>
              </w:rPr>
              <w:t>监测方式</w:t>
            </w:r>
          </w:p>
        </w:tc>
        <w:tc>
          <w:tcPr>
            <w:tcW w:w="1311" w:type="pct"/>
            <w:gridSpan w:val="5"/>
            <w:tcBorders>
              <w:tl2br w:val="nil"/>
              <w:tr2bl w:val="nil"/>
            </w:tcBorders>
            <w:vAlign w:val="center"/>
          </w:tcPr>
          <w:p w14:paraId="3236A1C7">
            <w:pPr>
              <w:ind w:firstLine="0" w:firstLineChars="0"/>
              <w:jc w:val="center"/>
              <w:rPr>
                <w:sz w:val="21"/>
              </w:rPr>
            </w:pPr>
            <w:r>
              <w:rPr>
                <w:rFonts w:cs="宋体"/>
                <w:sz w:val="21"/>
                <w:szCs w:val="21"/>
              </w:rPr>
              <w:t>手动</w:t>
            </w:r>
            <w:r>
              <w:rPr>
                <w:sz w:val="21"/>
                <w:szCs w:val="21"/>
              </w:rPr>
              <w:drawing>
                <wp:inline distT="0" distB="0" distL="0" distR="0">
                  <wp:extent cx="111760" cy="97790"/>
                  <wp:effectExtent l="0" t="0" r="2540" b="16510"/>
                  <wp:docPr id="258" name="IM 170"/>
                  <wp:cNvGraphicFramePr/>
                  <a:graphic xmlns:a="http://schemas.openxmlformats.org/drawingml/2006/main">
                    <a:graphicData uri="http://schemas.openxmlformats.org/drawingml/2006/picture">
                      <pic:pic xmlns:pic="http://schemas.openxmlformats.org/drawingml/2006/picture">
                        <pic:nvPicPr>
                          <pic:cNvPr id="258" name="IM 170"/>
                          <pic:cNvPicPr/>
                        </pic:nvPicPr>
                        <pic:blipFill>
                          <a:blip r:embed="rId54"/>
                          <a:stretch>
                            <a:fillRect/>
                          </a:stretch>
                        </pic:blipFill>
                        <pic:spPr>
                          <a:xfrm>
                            <a:off x="0" y="0"/>
                            <a:ext cx="112280" cy="97878"/>
                          </a:xfrm>
                          <a:prstGeom prst="rect">
                            <a:avLst/>
                          </a:prstGeom>
                        </pic:spPr>
                      </pic:pic>
                    </a:graphicData>
                  </a:graphic>
                </wp:inline>
              </w:drawing>
            </w:r>
            <w:r>
              <w:rPr>
                <w:rFonts w:cs="宋体"/>
                <w:sz w:val="21"/>
                <w:szCs w:val="21"/>
              </w:rPr>
              <w:t>；自动</w:t>
            </w:r>
            <w:r>
              <w:rPr>
                <w:sz w:val="21"/>
                <w:szCs w:val="21"/>
              </w:rPr>
              <w:drawing>
                <wp:inline distT="0" distB="0" distL="0" distR="0">
                  <wp:extent cx="111760" cy="97790"/>
                  <wp:effectExtent l="0" t="0" r="2540" b="16510"/>
                  <wp:docPr id="259" name="IM 171"/>
                  <wp:cNvGraphicFramePr/>
                  <a:graphic xmlns:a="http://schemas.openxmlformats.org/drawingml/2006/main">
                    <a:graphicData uri="http://schemas.openxmlformats.org/drawingml/2006/picture">
                      <pic:pic xmlns:pic="http://schemas.openxmlformats.org/drawingml/2006/picture">
                        <pic:nvPicPr>
                          <pic:cNvPr id="259" name="IM 171"/>
                          <pic:cNvPicPr/>
                        </pic:nvPicPr>
                        <pic:blipFill>
                          <a:blip r:embed="rId53"/>
                          <a:stretch>
                            <a:fillRect/>
                          </a:stretch>
                        </pic:blipFill>
                        <pic:spPr>
                          <a:xfrm>
                            <a:off x="0" y="0"/>
                            <a:ext cx="112280" cy="97878"/>
                          </a:xfrm>
                          <a:prstGeom prst="rect">
                            <a:avLst/>
                          </a:prstGeom>
                        </pic:spPr>
                      </pic:pic>
                    </a:graphicData>
                  </a:graphic>
                </wp:inline>
              </w:drawing>
            </w:r>
            <w:r>
              <w:rPr>
                <w:rFonts w:cs="宋体"/>
                <w:sz w:val="21"/>
                <w:szCs w:val="21"/>
              </w:rPr>
              <w:t>；无监测</w:t>
            </w:r>
            <w:r>
              <w:rPr>
                <w:sz w:val="21"/>
              </w:rPr>
              <w:drawing>
                <wp:inline distT="0" distB="0" distL="0" distR="0">
                  <wp:extent cx="95885" cy="97790"/>
                  <wp:effectExtent l="0" t="0" r="18415" b="16510"/>
                  <wp:docPr id="260" name="IM 172"/>
                  <wp:cNvGraphicFramePr/>
                  <a:graphic xmlns:a="http://schemas.openxmlformats.org/drawingml/2006/main">
                    <a:graphicData uri="http://schemas.openxmlformats.org/drawingml/2006/picture">
                      <pic:pic xmlns:pic="http://schemas.openxmlformats.org/drawingml/2006/picture">
                        <pic:nvPicPr>
                          <pic:cNvPr id="260" name="IM 172"/>
                          <pic:cNvPicPr/>
                        </pic:nvPicPr>
                        <pic:blipFill>
                          <a:blip r:embed="rId55"/>
                          <a:stretch>
                            <a:fillRect/>
                          </a:stretch>
                        </pic:blipFill>
                        <pic:spPr>
                          <a:xfrm>
                            <a:off x="0" y="0"/>
                            <a:ext cx="96412" cy="97878"/>
                          </a:xfrm>
                          <a:prstGeom prst="rect">
                            <a:avLst/>
                          </a:prstGeom>
                        </pic:spPr>
                      </pic:pic>
                    </a:graphicData>
                  </a:graphic>
                </wp:inline>
              </w:drawing>
            </w:r>
          </w:p>
        </w:tc>
        <w:tc>
          <w:tcPr>
            <w:tcW w:w="1636" w:type="pct"/>
            <w:gridSpan w:val="4"/>
            <w:tcBorders>
              <w:tl2br w:val="nil"/>
              <w:tr2bl w:val="nil"/>
            </w:tcBorders>
            <w:vAlign w:val="center"/>
          </w:tcPr>
          <w:p w14:paraId="74E90B02">
            <w:pPr>
              <w:ind w:firstLine="0" w:firstLineChars="0"/>
              <w:jc w:val="center"/>
              <w:rPr>
                <w:sz w:val="21"/>
                <w:szCs w:val="21"/>
              </w:rPr>
            </w:pPr>
            <w:r>
              <w:rPr>
                <w:rFonts w:cs="宋体"/>
                <w:sz w:val="21"/>
                <w:szCs w:val="21"/>
              </w:rPr>
              <w:t>手动</w:t>
            </w:r>
            <w:r>
              <w:rPr>
                <w:sz w:val="21"/>
                <w:szCs w:val="21"/>
              </w:rPr>
              <w:drawing>
                <wp:inline distT="0" distB="0" distL="0" distR="0">
                  <wp:extent cx="114300" cy="97790"/>
                  <wp:effectExtent l="0" t="0" r="0" b="16510"/>
                  <wp:docPr id="261" name="IM 173"/>
                  <wp:cNvGraphicFramePr/>
                  <a:graphic xmlns:a="http://schemas.openxmlformats.org/drawingml/2006/main">
                    <a:graphicData uri="http://schemas.openxmlformats.org/drawingml/2006/picture">
                      <pic:pic xmlns:pic="http://schemas.openxmlformats.org/drawingml/2006/picture">
                        <pic:nvPicPr>
                          <pic:cNvPr id="261" name="IM 173"/>
                          <pic:cNvPicPr/>
                        </pic:nvPicPr>
                        <pic:blipFill>
                          <a:blip r:embed="rId53"/>
                          <a:stretch>
                            <a:fillRect/>
                          </a:stretch>
                        </pic:blipFill>
                        <pic:spPr>
                          <a:xfrm>
                            <a:off x="0" y="0"/>
                            <a:ext cx="114370" cy="97878"/>
                          </a:xfrm>
                          <a:prstGeom prst="rect">
                            <a:avLst/>
                          </a:prstGeom>
                        </pic:spPr>
                      </pic:pic>
                    </a:graphicData>
                  </a:graphic>
                </wp:inline>
              </w:drawing>
            </w:r>
            <w:r>
              <w:rPr>
                <w:rFonts w:cs="宋体"/>
                <w:sz w:val="21"/>
                <w:szCs w:val="21"/>
              </w:rPr>
              <w:t>；自动</w:t>
            </w:r>
            <w:r>
              <w:rPr>
                <w:sz w:val="21"/>
                <w:szCs w:val="21"/>
              </w:rPr>
              <w:drawing>
                <wp:inline distT="0" distB="0" distL="0" distR="0">
                  <wp:extent cx="114300" cy="97790"/>
                  <wp:effectExtent l="0" t="0" r="0" b="16510"/>
                  <wp:docPr id="262" name="IM 174"/>
                  <wp:cNvGraphicFramePr/>
                  <a:graphic xmlns:a="http://schemas.openxmlformats.org/drawingml/2006/main">
                    <a:graphicData uri="http://schemas.openxmlformats.org/drawingml/2006/picture">
                      <pic:pic xmlns:pic="http://schemas.openxmlformats.org/drawingml/2006/picture">
                        <pic:nvPicPr>
                          <pic:cNvPr id="262" name="IM 174"/>
                          <pic:cNvPicPr/>
                        </pic:nvPicPr>
                        <pic:blipFill>
                          <a:blip r:embed="rId53"/>
                          <a:stretch>
                            <a:fillRect/>
                          </a:stretch>
                        </pic:blipFill>
                        <pic:spPr>
                          <a:xfrm>
                            <a:off x="0" y="0"/>
                            <a:ext cx="114370" cy="97878"/>
                          </a:xfrm>
                          <a:prstGeom prst="rect">
                            <a:avLst/>
                          </a:prstGeom>
                        </pic:spPr>
                      </pic:pic>
                    </a:graphicData>
                  </a:graphic>
                </wp:inline>
              </w:drawing>
            </w:r>
            <w:r>
              <w:rPr>
                <w:rFonts w:cs="宋体"/>
                <w:sz w:val="21"/>
                <w:szCs w:val="21"/>
              </w:rPr>
              <w:t>；无监测</w:t>
            </w:r>
            <w:r>
              <w:rPr>
                <w:sz w:val="21"/>
                <w:szCs w:val="21"/>
              </w:rPr>
              <w:drawing>
                <wp:inline distT="0" distB="0" distL="0" distR="0">
                  <wp:extent cx="114300" cy="97790"/>
                  <wp:effectExtent l="0" t="0" r="0" b="16510"/>
                  <wp:docPr id="263" name="IM 175"/>
                  <wp:cNvGraphicFramePr/>
                  <a:graphic xmlns:a="http://schemas.openxmlformats.org/drawingml/2006/main">
                    <a:graphicData uri="http://schemas.openxmlformats.org/drawingml/2006/picture">
                      <pic:pic xmlns:pic="http://schemas.openxmlformats.org/drawingml/2006/picture">
                        <pic:nvPicPr>
                          <pic:cNvPr id="263" name="IM 175"/>
                          <pic:cNvPicPr/>
                        </pic:nvPicPr>
                        <pic:blipFill>
                          <a:blip r:embed="rId53"/>
                          <a:stretch>
                            <a:fillRect/>
                          </a:stretch>
                        </pic:blipFill>
                        <pic:spPr>
                          <a:xfrm>
                            <a:off x="0" y="0"/>
                            <a:ext cx="114369" cy="97878"/>
                          </a:xfrm>
                          <a:prstGeom prst="rect">
                            <a:avLst/>
                          </a:prstGeom>
                        </pic:spPr>
                      </pic:pic>
                    </a:graphicData>
                  </a:graphic>
                </wp:inline>
              </w:drawing>
            </w:r>
          </w:p>
        </w:tc>
      </w:tr>
      <w:tr w14:paraId="0FBD2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5" w:hRule="atLeast"/>
          <w:jc w:val="center"/>
        </w:trPr>
        <w:tc>
          <w:tcPr>
            <w:tcW w:w="258" w:type="pct"/>
            <w:vMerge w:val="continue"/>
            <w:tcBorders>
              <w:tl2br w:val="nil"/>
              <w:tr2bl w:val="nil"/>
            </w:tcBorders>
            <w:textDirection w:val="tbRlV"/>
            <w:vAlign w:val="center"/>
          </w:tcPr>
          <w:p w14:paraId="740FAA85">
            <w:pPr>
              <w:ind w:firstLine="0" w:firstLineChars="0"/>
              <w:jc w:val="center"/>
              <w:rPr>
                <w:sz w:val="21"/>
              </w:rPr>
            </w:pPr>
          </w:p>
        </w:tc>
        <w:tc>
          <w:tcPr>
            <w:tcW w:w="831" w:type="pct"/>
            <w:vMerge w:val="continue"/>
            <w:tcBorders>
              <w:tl2br w:val="nil"/>
              <w:tr2bl w:val="nil"/>
            </w:tcBorders>
            <w:vAlign w:val="center"/>
          </w:tcPr>
          <w:p w14:paraId="180DA7C1">
            <w:pPr>
              <w:ind w:firstLine="0" w:firstLineChars="0"/>
              <w:jc w:val="center"/>
              <w:rPr>
                <w:sz w:val="21"/>
              </w:rPr>
            </w:pPr>
          </w:p>
        </w:tc>
        <w:tc>
          <w:tcPr>
            <w:tcW w:w="962" w:type="pct"/>
            <w:gridSpan w:val="4"/>
            <w:tcBorders>
              <w:tl2br w:val="nil"/>
              <w:tr2bl w:val="nil"/>
            </w:tcBorders>
            <w:vAlign w:val="center"/>
          </w:tcPr>
          <w:p w14:paraId="5EE95F45">
            <w:pPr>
              <w:ind w:firstLine="0" w:firstLineChars="0"/>
              <w:jc w:val="center"/>
              <w:rPr>
                <w:rFonts w:cs="宋体"/>
                <w:sz w:val="21"/>
                <w:szCs w:val="21"/>
              </w:rPr>
            </w:pPr>
            <w:r>
              <w:rPr>
                <w:rFonts w:cs="宋体"/>
                <w:sz w:val="21"/>
                <w:szCs w:val="21"/>
              </w:rPr>
              <w:t>监测点位</w:t>
            </w:r>
          </w:p>
        </w:tc>
        <w:tc>
          <w:tcPr>
            <w:tcW w:w="1311" w:type="pct"/>
            <w:gridSpan w:val="5"/>
            <w:tcBorders>
              <w:tl2br w:val="nil"/>
              <w:tr2bl w:val="nil"/>
            </w:tcBorders>
            <w:vAlign w:val="center"/>
          </w:tcPr>
          <w:p w14:paraId="39F8B0D6">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c>
          <w:tcPr>
            <w:tcW w:w="1636" w:type="pct"/>
            <w:gridSpan w:val="4"/>
            <w:tcBorders>
              <w:tl2br w:val="nil"/>
              <w:tr2bl w:val="nil"/>
            </w:tcBorders>
            <w:vAlign w:val="center"/>
          </w:tcPr>
          <w:p w14:paraId="14A4C242">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r>
      <w:tr w14:paraId="7806D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4" w:hRule="atLeast"/>
          <w:jc w:val="center"/>
        </w:trPr>
        <w:tc>
          <w:tcPr>
            <w:tcW w:w="258" w:type="pct"/>
            <w:vMerge w:val="continue"/>
            <w:tcBorders>
              <w:tl2br w:val="nil"/>
              <w:tr2bl w:val="nil"/>
            </w:tcBorders>
            <w:textDirection w:val="tbRlV"/>
            <w:vAlign w:val="center"/>
          </w:tcPr>
          <w:p w14:paraId="659526D1">
            <w:pPr>
              <w:ind w:firstLine="0" w:firstLineChars="0"/>
              <w:jc w:val="center"/>
              <w:rPr>
                <w:sz w:val="21"/>
              </w:rPr>
            </w:pPr>
          </w:p>
        </w:tc>
        <w:tc>
          <w:tcPr>
            <w:tcW w:w="831" w:type="pct"/>
            <w:vMerge w:val="continue"/>
            <w:tcBorders>
              <w:tl2br w:val="nil"/>
              <w:tr2bl w:val="nil"/>
            </w:tcBorders>
            <w:vAlign w:val="center"/>
          </w:tcPr>
          <w:p w14:paraId="25FF08FA">
            <w:pPr>
              <w:ind w:firstLine="0" w:firstLineChars="0"/>
              <w:jc w:val="center"/>
              <w:rPr>
                <w:sz w:val="21"/>
              </w:rPr>
            </w:pPr>
          </w:p>
        </w:tc>
        <w:tc>
          <w:tcPr>
            <w:tcW w:w="962" w:type="pct"/>
            <w:gridSpan w:val="4"/>
            <w:tcBorders>
              <w:tl2br w:val="nil"/>
              <w:tr2bl w:val="nil"/>
            </w:tcBorders>
            <w:vAlign w:val="center"/>
          </w:tcPr>
          <w:p w14:paraId="44082B9F">
            <w:pPr>
              <w:ind w:firstLine="0" w:firstLineChars="0"/>
              <w:jc w:val="center"/>
              <w:rPr>
                <w:rFonts w:cs="宋体"/>
                <w:sz w:val="21"/>
                <w:szCs w:val="21"/>
              </w:rPr>
            </w:pPr>
            <w:r>
              <w:rPr>
                <w:rFonts w:cs="宋体"/>
                <w:sz w:val="21"/>
                <w:szCs w:val="21"/>
              </w:rPr>
              <w:t>监测因子</w:t>
            </w:r>
          </w:p>
        </w:tc>
        <w:tc>
          <w:tcPr>
            <w:tcW w:w="1311" w:type="pct"/>
            <w:gridSpan w:val="5"/>
            <w:tcBorders>
              <w:tl2br w:val="nil"/>
              <w:tr2bl w:val="nil"/>
            </w:tcBorders>
            <w:vAlign w:val="center"/>
          </w:tcPr>
          <w:p w14:paraId="087E5393">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c>
          <w:tcPr>
            <w:tcW w:w="1636" w:type="pct"/>
            <w:gridSpan w:val="4"/>
            <w:tcBorders>
              <w:tl2br w:val="nil"/>
              <w:tr2bl w:val="nil"/>
            </w:tcBorders>
            <w:vAlign w:val="center"/>
          </w:tcPr>
          <w:p w14:paraId="7158D596">
            <w:pPr>
              <w:ind w:firstLine="0" w:firstLineChars="0"/>
              <w:jc w:val="center"/>
              <w:rPr>
                <w:rFonts w:cs="宋体"/>
                <w:sz w:val="21"/>
                <w:szCs w:val="21"/>
              </w:rPr>
            </w:pPr>
            <w:r>
              <w:rPr>
                <w:rFonts w:hint="eastAsia" w:cs="宋体"/>
                <w:sz w:val="21"/>
                <w:szCs w:val="21"/>
              </w:rPr>
              <w:t>（</w:t>
            </w:r>
            <w:r>
              <w:rPr>
                <w:sz w:val="21"/>
                <w:szCs w:val="21"/>
              </w:rPr>
              <w:t>/</w:t>
            </w:r>
            <w:r>
              <w:rPr>
                <w:rFonts w:hint="eastAsia" w:cs="宋体"/>
                <w:sz w:val="21"/>
                <w:szCs w:val="21"/>
              </w:rPr>
              <w:t>）</w:t>
            </w:r>
          </w:p>
        </w:tc>
      </w:tr>
      <w:tr w14:paraId="4DD07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5" w:hRule="atLeast"/>
          <w:jc w:val="center"/>
        </w:trPr>
        <w:tc>
          <w:tcPr>
            <w:tcW w:w="258" w:type="pct"/>
            <w:vMerge w:val="continue"/>
            <w:tcBorders>
              <w:tl2br w:val="nil"/>
              <w:tr2bl w:val="nil"/>
            </w:tcBorders>
            <w:textDirection w:val="tbRlV"/>
            <w:vAlign w:val="center"/>
          </w:tcPr>
          <w:p w14:paraId="3A242D9E">
            <w:pPr>
              <w:ind w:firstLine="0" w:firstLineChars="0"/>
              <w:jc w:val="center"/>
              <w:rPr>
                <w:sz w:val="21"/>
              </w:rPr>
            </w:pPr>
          </w:p>
        </w:tc>
        <w:tc>
          <w:tcPr>
            <w:tcW w:w="831" w:type="pct"/>
            <w:tcBorders>
              <w:tl2br w:val="nil"/>
              <w:tr2bl w:val="nil"/>
            </w:tcBorders>
            <w:vAlign w:val="center"/>
          </w:tcPr>
          <w:p w14:paraId="18F6CB8F">
            <w:pPr>
              <w:ind w:firstLine="0" w:firstLineChars="0"/>
              <w:jc w:val="center"/>
              <w:rPr>
                <w:rFonts w:cs="宋体"/>
                <w:sz w:val="21"/>
                <w:szCs w:val="21"/>
              </w:rPr>
            </w:pPr>
            <w:r>
              <w:rPr>
                <w:rFonts w:cs="宋体"/>
                <w:sz w:val="21"/>
                <w:szCs w:val="21"/>
              </w:rPr>
              <w:t>污染物排放清单</w:t>
            </w:r>
          </w:p>
        </w:tc>
        <w:tc>
          <w:tcPr>
            <w:tcW w:w="3910" w:type="pct"/>
            <w:gridSpan w:val="13"/>
            <w:tcBorders>
              <w:tl2br w:val="nil"/>
              <w:tr2bl w:val="nil"/>
            </w:tcBorders>
            <w:vAlign w:val="center"/>
          </w:tcPr>
          <w:p w14:paraId="4EEBF986">
            <w:pPr>
              <w:ind w:firstLine="0" w:firstLineChars="0"/>
              <w:jc w:val="center"/>
              <w:rPr>
                <w:sz w:val="21"/>
              </w:rPr>
            </w:pPr>
            <w:r>
              <w:rPr>
                <w:sz w:val="21"/>
              </w:rPr>
              <w:drawing>
                <wp:inline distT="0" distB="0" distL="0" distR="0">
                  <wp:extent cx="95885" cy="97790"/>
                  <wp:effectExtent l="0" t="0" r="18415" b="16510"/>
                  <wp:docPr id="264" name="IM 176"/>
                  <wp:cNvGraphicFramePr/>
                  <a:graphic xmlns:a="http://schemas.openxmlformats.org/drawingml/2006/main">
                    <a:graphicData uri="http://schemas.openxmlformats.org/drawingml/2006/picture">
                      <pic:pic xmlns:pic="http://schemas.openxmlformats.org/drawingml/2006/picture">
                        <pic:nvPicPr>
                          <pic:cNvPr id="264" name="IM 176"/>
                          <pic:cNvPicPr/>
                        </pic:nvPicPr>
                        <pic:blipFill>
                          <a:blip r:embed="rId56"/>
                          <a:stretch>
                            <a:fillRect/>
                          </a:stretch>
                        </pic:blipFill>
                        <pic:spPr>
                          <a:xfrm>
                            <a:off x="0" y="0"/>
                            <a:ext cx="96412" cy="97878"/>
                          </a:xfrm>
                          <a:prstGeom prst="rect">
                            <a:avLst/>
                          </a:prstGeom>
                        </pic:spPr>
                      </pic:pic>
                    </a:graphicData>
                  </a:graphic>
                </wp:inline>
              </w:drawing>
            </w:r>
          </w:p>
        </w:tc>
      </w:tr>
      <w:tr w14:paraId="1ECC3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4" w:hRule="atLeast"/>
          <w:jc w:val="center"/>
        </w:trPr>
        <w:tc>
          <w:tcPr>
            <w:tcW w:w="1089" w:type="pct"/>
            <w:gridSpan w:val="2"/>
            <w:tcBorders>
              <w:tl2br w:val="nil"/>
              <w:tr2bl w:val="nil"/>
            </w:tcBorders>
            <w:vAlign w:val="center"/>
          </w:tcPr>
          <w:p w14:paraId="522FCCD4">
            <w:pPr>
              <w:ind w:firstLine="0" w:firstLineChars="0"/>
              <w:jc w:val="center"/>
              <w:rPr>
                <w:rFonts w:cs="宋体"/>
                <w:sz w:val="21"/>
                <w:szCs w:val="21"/>
              </w:rPr>
            </w:pPr>
            <w:r>
              <w:rPr>
                <w:rFonts w:cs="宋体"/>
                <w:sz w:val="21"/>
                <w:szCs w:val="21"/>
              </w:rPr>
              <w:t>评价结论</w:t>
            </w:r>
          </w:p>
        </w:tc>
        <w:tc>
          <w:tcPr>
            <w:tcW w:w="3910" w:type="pct"/>
            <w:gridSpan w:val="13"/>
            <w:tcBorders>
              <w:tl2br w:val="nil"/>
              <w:tr2bl w:val="nil"/>
            </w:tcBorders>
            <w:vAlign w:val="center"/>
          </w:tcPr>
          <w:p w14:paraId="0ED1B9A9">
            <w:pPr>
              <w:ind w:firstLine="0" w:firstLineChars="0"/>
              <w:jc w:val="center"/>
              <w:rPr>
                <w:sz w:val="21"/>
                <w:szCs w:val="21"/>
              </w:rPr>
            </w:pPr>
            <w:r>
              <w:rPr>
                <w:rFonts w:cs="宋体"/>
                <w:sz w:val="21"/>
                <w:szCs w:val="21"/>
              </w:rPr>
              <w:t>可以接受</w:t>
            </w:r>
            <w:r>
              <w:rPr>
                <w:rFonts w:cs="微软雅黑"/>
                <w:sz w:val="21"/>
                <w:szCs w:val="21"/>
              </w:rPr>
              <w:t>团</w:t>
            </w:r>
            <w:r>
              <w:rPr>
                <w:rFonts w:cs="宋体"/>
                <w:sz w:val="21"/>
                <w:szCs w:val="21"/>
              </w:rPr>
              <w:t>；不可以接受</w:t>
            </w:r>
            <w:r>
              <w:rPr>
                <w:sz w:val="21"/>
                <w:szCs w:val="21"/>
              </w:rPr>
              <w:drawing>
                <wp:inline distT="0" distB="0" distL="0" distR="0">
                  <wp:extent cx="113030" cy="97790"/>
                  <wp:effectExtent l="0" t="0" r="1270" b="16510"/>
                  <wp:docPr id="265" name="IM 177"/>
                  <wp:cNvGraphicFramePr/>
                  <a:graphic xmlns:a="http://schemas.openxmlformats.org/drawingml/2006/main">
                    <a:graphicData uri="http://schemas.openxmlformats.org/drawingml/2006/picture">
                      <pic:pic xmlns:pic="http://schemas.openxmlformats.org/drawingml/2006/picture">
                        <pic:nvPicPr>
                          <pic:cNvPr id="265" name="IM 177"/>
                          <pic:cNvPicPr/>
                        </pic:nvPicPr>
                        <pic:blipFill>
                          <a:blip r:embed="rId56"/>
                          <a:stretch>
                            <a:fillRect/>
                          </a:stretch>
                        </pic:blipFill>
                        <pic:spPr>
                          <a:xfrm>
                            <a:off x="0" y="0"/>
                            <a:ext cx="113601" cy="97878"/>
                          </a:xfrm>
                          <a:prstGeom prst="rect">
                            <a:avLst/>
                          </a:prstGeom>
                        </pic:spPr>
                      </pic:pic>
                    </a:graphicData>
                  </a:graphic>
                </wp:inline>
              </w:drawing>
            </w:r>
          </w:p>
        </w:tc>
      </w:tr>
      <w:tr w14:paraId="0BFCF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9" w:hRule="atLeast"/>
          <w:jc w:val="center"/>
        </w:trPr>
        <w:tc>
          <w:tcPr>
            <w:tcW w:w="5000" w:type="pct"/>
            <w:gridSpan w:val="15"/>
            <w:tcBorders>
              <w:tl2br w:val="nil"/>
              <w:tr2bl w:val="nil"/>
            </w:tcBorders>
            <w:vAlign w:val="center"/>
          </w:tcPr>
          <w:p w14:paraId="1B725393">
            <w:pPr>
              <w:ind w:firstLine="0" w:firstLineChars="0"/>
              <w:jc w:val="center"/>
              <w:rPr>
                <w:rFonts w:cs="宋体"/>
                <w:sz w:val="21"/>
                <w:szCs w:val="21"/>
              </w:rPr>
            </w:pPr>
            <w:r>
              <w:rPr>
                <w:rFonts w:cs="宋体"/>
                <w:sz w:val="21"/>
                <w:szCs w:val="21"/>
              </w:rPr>
              <w:t>注：</w:t>
            </w:r>
            <w:r>
              <w:rPr>
                <w:rFonts w:hint="eastAsia"/>
                <w:sz w:val="21"/>
                <w:szCs w:val="21"/>
              </w:rPr>
              <w:t>“</w:t>
            </w:r>
            <w:r>
              <w:rPr>
                <w:sz w:val="21"/>
                <w:szCs w:val="21"/>
              </w:rPr>
              <w:t>□</w:t>
            </w:r>
            <w:r>
              <w:rPr>
                <w:rFonts w:hint="eastAsia"/>
                <w:sz w:val="21"/>
                <w:szCs w:val="21"/>
              </w:rPr>
              <w:t>”</w:t>
            </w:r>
            <w:r>
              <w:rPr>
                <w:rFonts w:cs="宋体"/>
                <w:sz w:val="21"/>
                <w:szCs w:val="21"/>
              </w:rPr>
              <w:t>为勾选项，填</w:t>
            </w:r>
            <w:r>
              <w:rPr>
                <w:rFonts w:hint="eastAsia"/>
                <w:sz w:val="21"/>
                <w:szCs w:val="21"/>
              </w:rPr>
              <w:t>”</w:t>
            </w:r>
            <w:r>
              <w:rPr>
                <w:sz w:val="21"/>
                <w:szCs w:val="21"/>
              </w:rPr>
              <w:t>√</w:t>
            </w:r>
            <w:r>
              <w:rPr>
                <w:rFonts w:hint="eastAsia"/>
                <w:sz w:val="21"/>
                <w:szCs w:val="21"/>
              </w:rPr>
              <w:t>”</w:t>
            </w:r>
            <w:r>
              <w:rPr>
                <w:rFonts w:cs="宋体"/>
                <w:sz w:val="21"/>
                <w:szCs w:val="21"/>
              </w:rPr>
              <w:t>；</w:t>
            </w:r>
            <w:r>
              <w:rPr>
                <w:rFonts w:hint="eastAsia"/>
                <w:sz w:val="21"/>
                <w:szCs w:val="21"/>
              </w:rPr>
              <w:t>“</w:t>
            </w:r>
            <w:r>
              <w:rPr>
                <w:rFonts w:hint="eastAsia" w:cs="宋体"/>
                <w:sz w:val="21"/>
                <w:szCs w:val="21"/>
              </w:rPr>
              <w:t>（）</w:t>
            </w:r>
            <w:r>
              <w:rPr>
                <w:rFonts w:hint="eastAsia"/>
                <w:sz w:val="21"/>
                <w:szCs w:val="21"/>
              </w:rPr>
              <w:t>”</w:t>
            </w:r>
            <w:r>
              <w:rPr>
                <w:rFonts w:cs="宋体"/>
                <w:sz w:val="21"/>
                <w:szCs w:val="21"/>
              </w:rPr>
              <w:t>为内容填写项</w:t>
            </w:r>
          </w:p>
        </w:tc>
      </w:tr>
    </w:tbl>
    <w:p w14:paraId="028E8297">
      <w:pPr>
        <w:pStyle w:val="6"/>
        <w:ind w:firstLine="0" w:firstLineChars="0"/>
      </w:pPr>
      <w:r>
        <w:rPr>
          <w:rFonts w:hint="eastAsia"/>
        </w:rPr>
        <w:t>5.2.2.</w:t>
      </w:r>
      <w:r>
        <w:t>2地下水环境影响分析</w:t>
      </w:r>
    </w:p>
    <w:p w14:paraId="30349740">
      <w:pPr>
        <w:ind w:firstLine="480"/>
        <w:rPr>
          <w:rFonts w:cs="宋体"/>
          <w:szCs w:val="24"/>
        </w:rPr>
      </w:pPr>
      <w:bookmarkStart w:id="155" w:name="_Toc86740198"/>
      <w:r>
        <w:rPr>
          <w:rFonts w:hint="eastAsia"/>
          <w:szCs w:val="24"/>
        </w:rPr>
        <w:t>1、水文地质特征</w:t>
      </w:r>
    </w:p>
    <w:p w14:paraId="6C9B3529">
      <w:pPr>
        <w:ind w:firstLine="480"/>
        <w:rPr>
          <w:rFonts w:cs="宋体"/>
          <w:szCs w:val="24"/>
        </w:rPr>
      </w:pPr>
      <w:r>
        <w:rPr>
          <w:rFonts w:cs="宋体"/>
          <w:szCs w:val="24"/>
        </w:rPr>
        <w:t>木垒县地下水按赋存特征可划分为：基岩裂隙水、碎屑岩类裂隙孔隙承压水和松散岩类孔隙潜水。基岩裂隙水主要分布在山丘区，碎屑岩类裂隙孔隙承压水主要分布在木垒县北部地区，松散岩类孔隙潜水分布在山前平原及沙漠区。</w:t>
      </w:r>
    </w:p>
    <w:p w14:paraId="19535E9B">
      <w:pPr>
        <w:ind w:firstLine="480"/>
        <w:rPr>
          <w:rFonts w:cs="宋体"/>
          <w:szCs w:val="24"/>
        </w:rPr>
      </w:pPr>
      <w:r>
        <w:rPr>
          <w:rFonts w:cs="宋体"/>
          <w:szCs w:val="24"/>
        </w:rPr>
        <w:t>松散岩类孔隙潜水由第四纪下更新统-全新统的冰水沉积物和冲洪积物组成的单一结构潜水含水层，含水层岩性，从南到北由卵砾石、砾石，渐变为砂砾石、砂，由上到下，南部表现为卵石、卵砾石，渐变为砂粒石，北部由砂粒石变为砂。总体上南部基底坡度大，地下水径流速度快，含水层薄，不利于地下水的富集。北部基底坡降小，地下水径流速度慢，含水层厚度增厚，形成相对好的富水区，水位埋深由南向北总体表现为由大到小的变化规律，北部沙漠及沙漠前缘水位埋深2-15m。</w:t>
      </w:r>
    </w:p>
    <w:p w14:paraId="2E612BC3">
      <w:pPr>
        <w:ind w:firstLine="480"/>
        <w:rPr>
          <w:rFonts w:cs="宋体"/>
          <w:szCs w:val="24"/>
        </w:rPr>
      </w:pPr>
      <w:r>
        <w:rPr>
          <w:rFonts w:cs="宋体"/>
          <w:szCs w:val="24"/>
        </w:rPr>
        <w:t>基岩山区，地下水补给源主要为山区大气降水。平原区地下水的补给受自然条件和区内人类活动共同影响，侧向上接受山区基岩裂隙水沟谷潜流补给，垂向上主要接受大气降水入渗补给、洪流入渗补给、渠系入渗、田间灌溉入渗补给及坎儿井、泉水、水库的入渗补给。沙漠区及其以南的平原细土带主要接受侧向径流补给和洪水入渗补给。</w:t>
      </w:r>
    </w:p>
    <w:p w14:paraId="60D8AE4E">
      <w:pPr>
        <w:ind w:firstLine="480"/>
        <w:rPr>
          <w:rFonts w:cs="宋体"/>
          <w:szCs w:val="24"/>
        </w:rPr>
      </w:pPr>
      <w:r>
        <w:rPr>
          <w:rFonts w:cs="宋体"/>
          <w:szCs w:val="24"/>
        </w:rPr>
        <w:t>山区地下水以水平或垂直方式从高处向低处运移，径流途径短，在沟谷处以泉形式溢出地表补给地表水或以沟谷潜流形式侧向径流。平原区地下水水力坡度南大北小，地下水呈北西向，由南向北径流，至北部沙漠区流向逐渐偏转为北西西向。山区地下水主要以泉或沟谷潜流的形式排泄。平原区地下水排泄方式主要为侧向径流排泄、人工开采、蒸发蒸腾以及泉水溢出等。沙漠区地下水以侧向流出、蒸发蒸腾排泄为主。</w:t>
      </w:r>
    </w:p>
    <w:p w14:paraId="73A3D7B3">
      <w:pPr>
        <w:ind w:firstLine="480"/>
        <w:rPr>
          <w:rFonts w:cs="宋体"/>
          <w:szCs w:val="24"/>
        </w:rPr>
      </w:pPr>
      <w:r>
        <w:rPr>
          <w:rFonts w:cs="宋体"/>
          <w:szCs w:val="24"/>
        </w:rPr>
        <w:t>项目所在区域地下水属于孔隙潜水，含水层岩性为中粗砂，富有地下水，单位涌水量约为900m</w:t>
      </w:r>
      <w:r>
        <w:rPr>
          <w:rFonts w:cs="宋体"/>
          <w:szCs w:val="24"/>
          <w:vertAlign w:val="superscript"/>
        </w:rPr>
        <w:t>3</w:t>
      </w:r>
      <w:r>
        <w:rPr>
          <w:rFonts w:cs="宋体"/>
          <w:szCs w:val="24"/>
        </w:rPr>
        <w:t>/d•m，渗透系数为3.144m/d，埋深约为50m。地下水呈北西向，由南向北径流，补给来源主要为侧向径流补给，排泄方式以侧向流出和蒸发蒸腾为主。</w:t>
      </w:r>
    </w:p>
    <w:p w14:paraId="6F96E769">
      <w:pPr>
        <w:ind w:firstLine="480"/>
        <w:rPr>
          <w:rFonts w:cs="宋体"/>
          <w:szCs w:val="24"/>
        </w:rPr>
      </w:pPr>
      <w:r>
        <w:rPr>
          <w:rFonts w:hint="eastAsia"/>
          <w:szCs w:val="24"/>
        </w:rPr>
        <w:t>2、</w:t>
      </w:r>
      <w:r>
        <w:rPr>
          <w:rFonts w:cs="宋体"/>
          <w:szCs w:val="24"/>
        </w:rPr>
        <w:t>地下水环境影响途径</w:t>
      </w:r>
    </w:p>
    <w:p w14:paraId="0B388AE1">
      <w:pPr>
        <w:ind w:firstLine="480"/>
        <w:rPr>
          <w:rFonts w:cs="宋体"/>
          <w:szCs w:val="24"/>
        </w:rPr>
      </w:pPr>
      <w:r>
        <w:rPr>
          <w:rFonts w:hint="eastAsia" w:cs="宋体"/>
          <w:szCs w:val="24"/>
        </w:rPr>
        <w:t>根据本项目特点，运营期对区域地下水的污染源主要为骆驼圈舍、堆肥场、防渗化粪池等，上述区块防渗措施受损，污染物（主要为</w:t>
      </w:r>
      <w:r>
        <w:rPr>
          <w:rFonts w:cs="宋体"/>
          <w:szCs w:val="24"/>
        </w:rPr>
        <w:t>pH</w:t>
      </w:r>
      <w:r>
        <w:rPr>
          <w:rFonts w:hint="eastAsia" w:cs="宋体"/>
          <w:szCs w:val="24"/>
        </w:rPr>
        <w:t>、</w:t>
      </w:r>
      <w:r>
        <w:rPr>
          <w:rFonts w:cs="宋体"/>
          <w:szCs w:val="24"/>
        </w:rPr>
        <w:t>SS</w:t>
      </w:r>
      <w:r>
        <w:rPr>
          <w:rFonts w:hint="eastAsia" w:cs="宋体"/>
          <w:szCs w:val="24"/>
        </w:rPr>
        <w:t>、</w:t>
      </w:r>
      <w:r>
        <w:rPr>
          <w:rFonts w:cs="宋体"/>
          <w:szCs w:val="24"/>
        </w:rPr>
        <w:t>COD</w:t>
      </w:r>
      <w:r>
        <w:rPr>
          <w:rFonts w:hint="eastAsia" w:cs="宋体"/>
          <w:szCs w:val="24"/>
        </w:rPr>
        <w:t>、氨氮）通过垂直渗透进入包气带，进入包气带的污染物在物理、化学和生物作用下经吸附、转化、迁移和分解后输入地下水。</w:t>
      </w:r>
    </w:p>
    <w:p w14:paraId="1334843A">
      <w:pPr>
        <w:ind w:firstLine="480"/>
        <w:rPr>
          <w:rFonts w:cs="宋体"/>
          <w:szCs w:val="24"/>
        </w:rPr>
      </w:pPr>
      <w:r>
        <w:rPr>
          <w:rFonts w:cs="宋体"/>
          <w:szCs w:val="24"/>
        </w:rPr>
        <w:t>本项目不以地下水作为供水水源，不会因地下水抽采对当地的地下水水位及水资源量产生影响，对地下水的影响主要是项目污水及固体废物对地下水水质的影响</w:t>
      </w:r>
      <w:r>
        <w:rPr>
          <w:rFonts w:hint="eastAsia" w:cs="宋体"/>
          <w:szCs w:val="24"/>
        </w:rPr>
        <w:t>。</w:t>
      </w:r>
    </w:p>
    <w:p w14:paraId="60C1582B">
      <w:pPr>
        <w:ind w:firstLine="480"/>
        <w:rPr>
          <w:rFonts w:cs="宋体"/>
          <w:szCs w:val="24"/>
        </w:rPr>
      </w:pPr>
      <w:r>
        <w:rPr>
          <w:rFonts w:cs="宋体"/>
          <w:szCs w:val="24"/>
        </w:rPr>
        <w:t>项目厂区内生产装置和污水管道等跑、冒、滴、漏的有毒有害物料首先污染土壤，再通过降雨淋溶经包气带渗透至潜水层而污染浅层地下水</w:t>
      </w:r>
      <w:r>
        <w:rPr>
          <w:rFonts w:hint="eastAsia" w:cs="宋体"/>
          <w:szCs w:val="24"/>
        </w:rPr>
        <w:t>。</w:t>
      </w:r>
      <w:r>
        <w:rPr>
          <w:rFonts w:cs="宋体"/>
          <w:szCs w:val="24"/>
        </w:rPr>
        <w:t>一般情况下，包气带的厚度越薄，透水性越好，越容易造成潜水含水层的污染；反之，包气带的厚度越厚、透水性越差，则不容易造成潜水污染</w:t>
      </w:r>
      <w:r>
        <w:rPr>
          <w:rFonts w:hint="eastAsia" w:cs="宋体"/>
          <w:szCs w:val="24"/>
        </w:rPr>
        <w:t>。</w:t>
      </w:r>
      <w:r>
        <w:rPr>
          <w:rFonts w:cs="宋体"/>
          <w:szCs w:val="24"/>
        </w:rPr>
        <w:t>渗透污染是导致浅层地下水污染的主要方式</w:t>
      </w:r>
      <w:r>
        <w:rPr>
          <w:rFonts w:hint="eastAsia" w:cs="宋体"/>
          <w:szCs w:val="24"/>
        </w:rPr>
        <w:t>。</w:t>
      </w:r>
    </w:p>
    <w:p w14:paraId="7460652D">
      <w:pPr>
        <w:ind w:firstLine="480"/>
        <w:rPr>
          <w:rFonts w:cs="宋体"/>
          <w:szCs w:val="24"/>
        </w:rPr>
      </w:pPr>
      <w:r>
        <w:rPr>
          <w:rFonts w:hint="eastAsia"/>
          <w:szCs w:val="24"/>
        </w:rPr>
        <w:t>4、</w:t>
      </w:r>
      <w:r>
        <w:rPr>
          <w:rFonts w:cs="宋体"/>
          <w:szCs w:val="24"/>
        </w:rPr>
        <w:t>地下水现状监测</w:t>
      </w:r>
    </w:p>
    <w:p w14:paraId="31165D58">
      <w:pPr>
        <w:ind w:firstLine="480"/>
        <w:rPr>
          <w:rFonts w:cs="宋体"/>
          <w:szCs w:val="24"/>
        </w:rPr>
      </w:pPr>
      <w:r>
        <w:rPr>
          <w:rFonts w:cs="宋体"/>
          <w:szCs w:val="24"/>
        </w:rPr>
        <w:t>本项目地下水现状监测设置三个点位</w:t>
      </w:r>
      <w:r>
        <w:rPr>
          <w:rFonts w:hint="eastAsia" w:cs="宋体"/>
          <w:szCs w:val="24"/>
        </w:rPr>
        <w:t>。</w:t>
      </w:r>
      <w:r>
        <w:rPr>
          <w:rFonts w:cs="宋体"/>
          <w:szCs w:val="24"/>
        </w:rPr>
        <w:t>经过监测数据可知，评价区地下水水质除总硬度以及溶解性总固体单项污染指数均＞</w:t>
      </w:r>
      <w:r>
        <w:rPr>
          <w:szCs w:val="24"/>
        </w:rPr>
        <w:t>1</w:t>
      </w:r>
      <w:r>
        <w:rPr>
          <w:rFonts w:cs="宋体"/>
          <w:szCs w:val="24"/>
        </w:rPr>
        <w:t>以外，其余监测指标均＜</w:t>
      </w:r>
      <w:r>
        <w:rPr>
          <w:szCs w:val="24"/>
        </w:rPr>
        <w:t>1</w:t>
      </w:r>
      <w:r>
        <w:rPr>
          <w:rFonts w:cs="宋体"/>
          <w:szCs w:val="24"/>
        </w:rPr>
        <w:t>，均未超过《地下水质量标准》</w:t>
      </w:r>
      <w:r>
        <w:rPr>
          <w:rFonts w:hint="eastAsia" w:cs="宋体"/>
          <w:szCs w:val="24"/>
        </w:rPr>
        <w:t>（</w:t>
      </w:r>
      <w:r>
        <w:rPr>
          <w:szCs w:val="24"/>
        </w:rPr>
        <w:t>GB/T14848-2017</w:t>
      </w:r>
      <w:r>
        <w:rPr>
          <w:rFonts w:hint="eastAsia" w:cs="宋体"/>
          <w:szCs w:val="24"/>
        </w:rPr>
        <w:t>）</w:t>
      </w:r>
      <w:r>
        <w:rPr>
          <w:rFonts w:cs="宋体"/>
          <w:szCs w:val="24"/>
        </w:rPr>
        <w:t>中Ⅲ类标准要求</w:t>
      </w:r>
      <w:r>
        <w:rPr>
          <w:rFonts w:hint="eastAsia" w:cs="宋体"/>
          <w:szCs w:val="24"/>
        </w:rPr>
        <w:t>。</w:t>
      </w:r>
    </w:p>
    <w:p w14:paraId="4207C552">
      <w:pPr>
        <w:ind w:firstLine="480"/>
        <w:rPr>
          <w:rFonts w:cs="宋体"/>
          <w:szCs w:val="24"/>
        </w:rPr>
      </w:pPr>
      <w:r>
        <w:rPr>
          <w:rFonts w:hint="eastAsia"/>
          <w:szCs w:val="24"/>
        </w:rPr>
        <w:t>5、</w:t>
      </w:r>
      <w:r>
        <w:rPr>
          <w:rFonts w:cs="宋体"/>
          <w:szCs w:val="24"/>
        </w:rPr>
        <w:t>废水及影响途径</w:t>
      </w:r>
    </w:p>
    <w:p w14:paraId="3F29B826">
      <w:pPr>
        <w:ind w:firstLine="480"/>
        <w:rPr>
          <w:rFonts w:cs="宋体"/>
          <w:szCs w:val="24"/>
        </w:rPr>
      </w:pPr>
      <w:r>
        <w:rPr>
          <w:rFonts w:hint="eastAsia" w:cs="宋体"/>
          <w:szCs w:val="24"/>
        </w:rPr>
        <w:t>（</w:t>
      </w:r>
      <w:r>
        <w:rPr>
          <w:szCs w:val="24"/>
        </w:rPr>
        <w:t>1</w:t>
      </w:r>
      <w:r>
        <w:rPr>
          <w:rFonts w:hint="eastAsia" w:cs="宋体"/>
          <w:szCs w:val="24"/>
        </w:rPr>
        <w:t>）</w:t>
      </w:r>
      <w:r>
        <w:rPr>
          <w:rFonts w:cs="宋体"/>
          <w:szCs w:val="24"/>
        </w:rPr>
        <w:t>正常情况下地下水影响分析</w:t>
      </w:r>
    </w:p>
    <w:p w14:paraId="3E8A7015">
      <w:pPr>
        <w:ind w:firstLine="480"/>
        <w:rPr>
          <w:rFonts w:cs="宋体"/>
          <w:szCs w:val="24"/>
        </w:rPr>
      </w:pPr>
      <w:r>
        <w:rPr>
          <w:rFonts w:cs="宋体"/>
          <w:szCs w:val="24"/>
        </w:rPr>
        <w:t>本项目影响地下水质主要有两方面，一是废水收集以及排放过程中的下渗对地下水的影响，二是由于固体废物收集处经雨水淋溶污染地下水</w:t>
      </w:r>
      <w:r>
        <w:rPr>
          <w:rFonts w:hint="eastAsia" w:cs="宋体"/>
          <w:szCs w:val="24"/>
        </w:rPr>
        <w:t>。</w:t>
      </w:r>
    </w:p>
    <w:p w14:paraId="5FFAAD25">
      <w:pPr>
        <w:ind w:firstLine="480"/>
        <w:rPr>
          <w:rFonts w:cs="宋体"/>
          <w:szCs w:val="24"/>
        </w:rPr>
      </w:pPr>
      <w:r>
        <w:rPr>
          <w:rFonts w:cs="宋体"/>
          <w:szCs w:val="24"/>
        </w:rPr>
        <w:t>①废水排放对地下水质的影响</w:t>
      </w:r>
    </w:p>
    <w:p w14:paraId="2ED14447">
      <w:pPr>
        <w:ind w:firstLine="480"/>
        <w:rPr>
          <w:rFonts w:cs="宋体"/>
          <w:szCs w:val="24"/>
        </w:rPr>
      </w:pPr>
      <w:r>
        <w:rPr>
          <w:rFonts w:hint="eastAsia" w:cs="宋体"/>
          <w:szCs w:val="24"/>
          <w:lang w:val="en-US" w:eastAsia="zh-CN"/>
        </w:rPr>
        <w:t>渗滤液同</w:t>
      </w:r>
      <w:r>
        <w:rPr>
          <w:rFonts w:cs="宋体"/>
          <w:szCs w:val="24"/>
        </w:rPr>
        <w:t>生活污水</w:t>
      </w:r>
      <w:r>
        <w:rPr>
          <w:rFonts w:hint="eastAsia" w:cs="宋体"/>
          <w:szCs w:val="24"/>
        </w:rPr>
        <w:t>排入防渗化粪池，由木垒县污水处理厂处理</w:t>
      </w:r>
      <w:r>
        <w:rPr>
          <w:rFonts w:cs="宋体"/>
          <w:szCs w:val="24"/>
        </w:rPr>
        <w:t>，最终进入</w:t>
      </w:r>
      <w:r>
        <w:rPr>
          <w:rFonts w:hint="eastAsia" w:cs="宋体"/>
          <w:szCs w:val="24"/>
        </w:rPr>
        <w:t>木垒县</w:t>
      </w:r>
      <w:r>
        <w:rPr>
          <w:rFonts w:cs="宋体"/>
          <w:szCs w:val="24"/>
        </w:rPr>
        <w:t>城污水处理厂，不直接和地表联系，不会通过地表水和地下水的水力联系而进入地下水从而引地下水水质的变化</w:t>
      </w:r>
      <w:r>
        <w:rPr>
          <w:rFonts w:hint="eastAsia" w:cs="宋体"/>
          <w:szCs w:val="24"/>
        </w:rPr>
        <w:t>。</w:t>
      </w:r>
    </w:p>
    <w:p w14:paraId="2D35177C">
      <w:pPr>
        <w:ind w:firstLine="480"/>
        <w:rPr>
          <w:rFonts w:cs="宋体"/>
          <w:szCs w:val="24"/>
        </w:rPr>
      </w:pPr>
      <w:r>
        <w:rPr>
          <w:rFonts w:cs="宋体"/>
          <w:szCs w:val="24"/>
        </w:rPr>
        <w:t>此外，本项目所在区域地下有粘土层存在，可以减少下渗水量，即使有微量废水渗入地下水，由于土壤的自净作用，对区域内地下水的水质影响也很微弱，不会改变区域地下水的现状使用功能</w:t>
      </w:r>
      <w:r>
        <w:rPr>
          <w:rFonts w:hint="eastAsia" w:cs="宋体"/>
          <w:szCs w:val="24"/>
        </w:rPr>
        <w:t>。</w:t>
      </w:r>
    </w:p>
    <w:p w14:paraId="68D2B2A8">
      <w:pPr>
        <w:ind w:firstLine="480"/>
        <w:rPr>
          <w:rFonts w:cs="宋体"/>
          <w:szCs w:val="24"/>
        </w:rPr>
      </w:pPr>
      <w:r>
        <w:rPr>
          <w:rFonts w:cs="宋体"/>
          <w:szCs w:val="24"/>
        </w:rPr>
        <w:t>②固体废物对地下水水质的影响</w:t>
      </w:r>
    </w:p>
    <w:p w14:paraId="761CC33A">
      <w:pPr>
        <w:ind w:firstLine="480"/>
        <w:rPr>
          <w:rFonts w:cs="宋体"/>
          <w:szCs w:val="24"/>
        </w:rPr>
      </w:pPr>
      <w:r>
        <w:rPr>
          <w:rFonts w:cs="宋体"/>
          <w:szCs w:val="24"/>
        </w:rPr>
        <w:t>本项目产生的固体废物主要为</w:t>
      </w:r>
      <w:r>
        <w:rPr>
          <w:rFonts w:hint="eastAsia" w:cs="宋体"/>
          <w:szCs w:val="24"/>
        </w:rPr>
        <w:t>骆驼粪便</w:t>
      </w:r>
      <w:r>
        <w:rPr>
          <w:rFonts w:cs="宋体"/>
          <w:szCs w:val="24"/>
        </w:rPr>
        <w:t>、病死</w:t>
      </w:r>
      <w:r>
        <w:rPr>
          <w:rFonts w:hint="eastAsia" w:cs="宋体"/>
          <w:szCs w:val="24"/>
        </w:rPr>
        <w:t>骆驼</w:t>
      </w:r>
      <w:r>
        <w:rPr>
          <w:rFonts w:cs="宋体"/>
          <w:szCs w:val="24"/>
        </w:rPr>
        <w:t>、废弃包装物、生活垃圾、医疗废物</w:t>
      </w:r>
      <w:r>
        <w:rPr>
          <w:rFonts w:hint="eastAsia" w:cs="宋体"/>
          <w:szCs w:val="24"/>
        </w:rPr>
        <w:t>。</w:t>
      </w:r>
      <w:r>
        <w:rPr>
          <w:rFonts w:cs="宋体"/>
          <w:szCs w:val="24"/>
        </w:rPr>
        <w:t>其中，</w:t>
      </w:r>
      <w:r>
        <w:rPr>
          <w:rFonts w:hint="eastAsia" w:cs="宋体"/>
          <w:szCs w:val="24"/>
        </w:rPr>
        <w:t>骆驼粪便清运至堆肥场，经发酵处理后作为有机肥外售</w:t>
      </w:r>
      <w:r>
        <w:rPr>
          <w:rFonts w:cs="宋体"/>
          <w:szCs w:val="24"/>
        </w:rPr>
        <w:t>；</w:t>
      </w:r>
      <w:r>
        <w:rPr>
          <w:rFonts w:hint="eastAsia" w:cs="宋体"/>
          <w:szCs w:val="24"/>
        </w:rPr>
        <w:t>骆驼尸体外委第三方处置。</w:t>
      </w:r>
      <w:r>
        <w:rPr>
          <w:rFonts w:cs="宋体"/>
          <w:szCs w:val="24"/>
        </w:rPr>
        <w:t>饲料包装袋进行外售，生活垃圾集中收集由当地环卫部门处置</w:t>
      </w:r>
      <w:r>
        <w:rPr>
          <w:rFonts w:hint="eastAsia" w:cs="宋体"/>
          <w:szCs w:val="24"/>
        </w:rPr>
        <w:t>。</w:t>
      </w:r>
      <w:r>
        <w:rPr>
          <w:rFonts w:cs="宋体"/>
          <w:szCs w:val="24"/>
        </w:rPr>
        <w:t>医疗废物</w:t>
      </w:r>
      <w:r>
        <w:rPr>
          <w:rFonts w:hint="eastAsia" w:cs="宋体"/>
          <w:szCs w:val="24"/>
        </w:rPr>
        <w:t>由兽医站带走，不在场区暂存。</w:t>
      </w:r>
      <w:r>
        <w:rPr>
          <w:rFonts w:cs="宋体"/>
          <w:szCs w:val="24"/>
        </w:rPr>
        <w:t>厂区固废临时堆放处做好防雨、防渗处理等就可基本解决固废污染当地地下水问题，对地下水水质影响不大</w:t>
      </w:r>
      <w:r>
        <w:rPr>
          <w:rFonts w:hint="eastAsia" w:cs="宋体"/>
          <w:szCs w:val="24"/>
        </w:rPr>
        <w:t>。</w:t>
      </w:r>
    </w:p>
    <w:p w14:paraId="487A6D00">
      <w:pPr>
        <w:ind w:firstLine="480"/>
        <w:rPr>
          <w:rFonts w:cs="宋体"/>
          <w:szCs w:val="24"/>
        </w:rPr>
      </w:pPr>
      <w:r>
        <w:rPr>
          <w:rFonts w:cs="宋体"/>
          <w:szCs w:val="24"/>
        </w:rPr>
        <w:t>本项目所在区域地下有较好的粘土层防渗，只要本项目做好防渗措施，本项目废水对地下水影响较小</w:t>
      </w:r>
      <w:r>
        <w:rPr>
          <w:rFonts w:hint="eastAsia" w:cs="宋体"/>
          <w:szCs w:val="24"/>
        </w:rPr>
        <w:t>。</w:t>
      </w:r>
    </w:p>
    <w:p w14:paraId="1BB46641">
      <w:pPr>
        <w:ind w:firstLine="480"/>
        <w:rPr>
          <w:rFonts w:cs="宋体"/>
          <w:szCs w:val="24"/>
        </w:rPr>
      </w:pPr>
      <w:r>
        <w:rPr>
          <w:rFonts w:hint="eastAsia" w:cs="宋体"/>
          <w:szCs w:val="24"/>
        </w:rPr>
        <w:t>（</w:t>
      </w:r>
      <w:r>
        <w:rPr>
          <w:szCs w:val="24"/>
        </w:rPr>
        <w:t>2</w:t>
      </w:r>
      <w:r>
        <w:rPr>
          <w:rFonts w:hint="eastAsia" w:cs="宋体"/>
          <w:szCs w:val="24"/>
        </w:rPr>
        <w:t>）</w:t>
      </w:r>
      <w:r>
        <w:rPr>
          <w:rFonts w:cs="宋体"/>
          <w:szCs w:val="24"/>
        </w:rPr>
        <w:t>非正常情况下地下水影响分析</w:t>
      </w:r>
    </w:p>
    <w:p w14:paraId="72C38980">
      <w:pPr>
        <w:ind w:firstLine="480"/>
        <w:rPr>
          <w:rFonts w:cs="宋体"/>
          <w:szCs w:val="24"/>
        </w:rPr>
      </w:pPr>
      <w:r>
        <w:rPr>
          <w:rFonts w:cs="宋体"/>
          <w:szCs w:val="24"/>
        </w:rPr>
        <w:t>①影响途径</w:t>
      </w:r>
    </w:p>
    <w:p w14:paraId="527EF50D">
      <w:pPr>
        <w:ind w:firstLine="480"/>
        <w:rPr>
          <w:rFonts w:cs="宋体"/>
          <w:szCs w:val="24"/>
        </w:rPr>
      </w:pPr>
      <w:r>
        <w:rPr>
          <w:rFonts w:cs="宋体"/>
          <w:szCs w:val="24"/>
        </w:rPr>
        <w:t>本项目对地下水的影响主要是项目污水及固体废物对地下水水质的影响</w:t>
      </w:r>
      <w:r>
        <w:rPr>
          <w:rFonts w:hint="eastAsia" w:cs="宋体"/>
          <w:szCs w:val="24"/>
        </w:rPr>
        <w:t>。</w:t>
      </w:r>
    </w:p>
    <w:p w14:paraId="6B8BCFCF">
      <w:pPr>
        <w:ind w:firstLine="480"/>
        <w:rPr>
          <w:rFonts w:cs="宋体"/>
          <w:szCs w:val="24"/>
        </w:rPr>
      </w:pPr>
      <w:r>
        <w:rPr>
          <w:rFonts w:cs="宋体"/>
          <w:szCs w:val="24"/>
        </w:rPr>
        <w:t>项目厂区内</w:t>
      </w:r>
      <w:r>
        <w:rPr>
          <w:rFonts w:hint="eastAsia" w:cs="宋体"/>
          <w:szCs w:val="24"/>
        </w:rPr>
        <w:t>防渗化粪池</w:t>
      </w:r>
      <w:r>
        <w:rPr>
          <w:rFonts w:cs="宋体"/>
          <w:szCs w:val="24"/>
        </w:rPr>
        <w:t>泄露和污水管道等跑、冒、滴、漏的有毒有害物料首先污染土壤，再通过降雨淋溶经包气带渗透至潜水层而污染浅层地下水</w:t>
      </w:r>
      <w:r>
        <w:rPr>
          <w:rFonts w:hint="eastAsia" w:cs="宋体"/>
          <w:szCs w:val="24"/>
        </w:rPr>
        <w:t>。</w:t>
      </w:r>
      <w:r>
        <w:rPr>
          <w:rFonts w:cs="宋体"/>
          <w:szCs w:val="24"/>
        </w:rPr>
        <w:t>一般情况下，包气带的厚度越薄，透水性越好，越容易造成潜水含水层的污染；反之，包气带的厚度越厚、透水性越差，则不容易造成潜水污染</w:t>
      </w:r>
      <w:r>
        <w:rPr>
          <w:rFonts w:hint="eastAsia" w:cs="宋体"/>
          <w:szCs w:val="24"/>
        </w:rPr>
        <w:t>。</w:t>
      </w:r>
      <w:r>
        <w:rPr>
          <w:rFonts w:cs="宋体"/>
          <w:szCs w:val="24"/>
        </w:rPr>
        <w:t>渗透污染是导致浅层地下水污染的主要方式</w:t>
      </w:r>
      <w:r>
        <w:rPr>
          <w:rFonts w:hint="eastAsia" w:cs="宋体"/>
          <w:szCs w:val="24"/>
        </w:rPr>
        <w:t>。</w:t>
      </w:r>
    </w:p>
    <w:p w14:paraId="6DB01B1A">
      <w:pPr>
        <w:ind w:firstLine="480"/>
        <w:rPr>
          <w:rFonts w:cs="宋体"/>
          <w:szCs w:val="24"/>
        </w:rPr>
      </w:pPr>
      <w:r>
        <w:rPr>
          <w:rFonts w:hint="eastAsia" w:cs="宋体"/>
          <w:szCs w:val="24"/>
        </w:rPr>
        <w:t>②预测情景分析</w:t>
      </w:r>
    </w:p>
    <w:p w14:paraId="180CABA9">
      <w:pPr>
        <w:ind w:firstLine="480"/>
      </w:pPr>
      <w:r>
        <w:rPr>
          <w:rFonts w:hint="eastAsia" w:cs="宋体"/>
          <w:szCs w:val="24"/>
        </w:rPr>
        <w:t>综合分析根据本项目特征，非正常状况下选取</w:t>
      </w:r>
      <w:r>
        <w:rPr>
          <w:rFonts w:cs="宋体"/>
          <w:szCs w:val="24"/>
        </w:rPr>
        <w:t>COD</w:t>
      </w:r>
      <w:r>
        <w:rPr>
          <w:rFonts w:cs="宋体"/>
          <w:szCs w:val="24"/>
          <w:vertAlign w:val="superscript"/>
        </w:rPr>
        <w:t>Mn</w:t>
      </w:r>
      <w:r>
        <w:rPr>
          <w:rFonts w:hint="eastAsia" w:cs="宋体"/>
          <w:szCs w:val="24"/>
        </w:rPr>
        <w:t>和氨氮作为特征污染物进行</w:t>
      </w:r>
      <w:r>
        <w:rPr>
          <w:rFonts w:hint="eastAsia" w:ascii="宋体" w:hAnsi="宋体" w:cs="宋体"/>
          <w:szCs w:val="24"/>
          <w:lang w:bidi="ar"/>
        </w:rPr>
        <w:t>预测。非正常状况情景设定为生活废水化粪池泄漏，污染物直接穿透包气带进入地下水运移的情景，运用解析法进行模拟预测。本项目废水水质浓度</w:t>
      </w:r>
      <w:r>
        <w:rPr>
          <w:szCs w:val="24"/>
          <w:lang w:bidi="ar"/>
        </w:rPr>
        <w:t>COD</w:t>
      </w:r>
      <w:r>
        <w:rPr>
          <w:rFonts w:hint="eastAsia" w:ascii="宋体" w:hAnsi="宋体" w:cs="宋体"/>
          <w:szCs w:val="24"/>
          <w:lang w:bidi="ar"/>
        </w:rPr>
        <w:t>、氨氮进水水质浓度分别为</w:t>
      </w:r>
      <w:r>
        <w:rPr>
          <w:szCs w:val="24"/>
          <w:lang w:bidi="ar"/>
        </w:rPr>
        <w:t>200mg/L</w:t>
      </w:r>
      <w:r>
        <w:rPr>
          <w:rFonts w:hint="eastAsia" w:ascii="宋体" w:hAnsi="宋体" w:cs="宋体"/>
          <w:szCs w:val="24"/>
          <w:lang w:bidi="ar"/>
        </w:rPr>
        <w:t>、</w:t>
      </w:r>
      <w:r>
        <w:rPr>
          <w:szCs w:val="24"/>
          <w:lang w:bidi="ar"/>
        </w:rPr>
        <w:t>20mg/L</w:t>
      </w:r>
      <w:r>
        <w:rPr>
          <w:rFonts w:hint="eastAsia" w:ascii="宋体" w:hAnsi="宋体" w:cs="宋体"/>
          <w:szCs w:val="24"/>
          <w:lang w:bidi="ar"/>
        </w:rPr>
        <w:t>；</w:t>
      </w:r>
    </w:p>
    <w:p w14:paraId="39222592">
      <w:pPr>
        <w:widowControl/>
        <w:ind w:firstLine="480"/>
        <w:jc w:val="left"/>
      </w:pPr>
      <w:r>
        <w:rPr>
          <w:rFonts w:hint="eastAsia" w:ascii="宋体" w:hAnsi="宋体" w:cs="宋体"/>
          <w:szCs w:val="24"/>
          <w:lang w:bidi="ar"/>
        </w:rPr>
        <w:t>由于预测时地下水影响的评价因子为耗氧量，为使污染因子</w:t>
      </w:r>
      <w:r>
        <w:rPr>
          <w:szCs w:val="24"/>
          <w:lang w:bidi="ar"/>
        </w:rPr>
        <w:t>COD</w:t>
      </w:r>
      <w:r>
        <w:rPr>
          <w:rFonts w:hint="eastAsia" w:ascii="宋体" w:hAnsi="宋体" w:cs="宋体"/>
          <w:szCs w:val="24"/>
          <w:lang w:bidi="ar"/>
        </w:rPr>
        <w:t>与评价因子耗氧量在数值关系上对应统一，故在模型计算过程中，本次评价参照国内学者胡大琼（云南省水文水资源局普洱分局）《高锰酸盐指数与化学需氧量相关关系探讨》一文得出的耗氧量与</w:t>
      </w:r>
      <w:r>
        <w:rPr>
          <w:szCs w:val="24"/>
          <w:lang w:bidi="ar"/>
        </w:rPr>
        <w:t>COD</w:t>
      </w:r>
      <w:r>
        <w:rPr>
          <w:rFonts w:hint="eastAsia" w:ascii="宋体" w:hAnsi="宋体" w:cs="宋体"/>
          <w:szCs w:val="24"/>
          <w:lang w:bidi="ar"/>
        </w:rPr>
        <w:t>线性回归方程</w:t>
      </w:r>
      <w:r>
        <w:rPr>
          <w:szCs w:val="24"/>
          <w:lang w:bidi="ar"/>
        </w:rPr>
        <w:t>Y=4.76X+2.61</w:t>
      </w:r>
      <w:r>
        <w:rPr>
          <w:rFonts w:hint="eastAsia"/>
          <w:szCs w:val="24"/>
          <w:lang w:bidi="ar"/>
        </w:rPr>
        <w:t>（</w:t>
      </w:r>
      <w:r>
        <w:rPr>
          <w:szCs w:val="24"/>
          <w:lang w:bidi="ar"/>
        </w:rPr>
        <w:t>X</w:t>
      </w:r>
      <w:r>
        <w:rPr>
          <w:rFonts w:hint="eastAsia" w:ascii="宋体" w:hAnsi="宋体" w:cs="宋体"/>
          <w:szCs w:val="24"/>
          <w:lang w:bidi="ar"/>
        </w:rPr>
        <w:t>为耗氧量，</w:t>
      </w:r>
      <w:r>
        <w:rPr>
          <w:szCs w:val="24"/>
          <w:lang w:bidi="ar"/>
        </w:rPr>
        <w:t>Y</w:t>
      </w:r>
      <w:r>
        <w:rPr>
          <w:rFonts w:hint="eastAsia" w:ascii="宋体" w:hAnsi="宋体" w:cs="宋体"/>
          <w:szCs w:val="24"/>
          <w:lang w:bidi="ar"/>
        </w:rPr>
        <w:t>为</w:t>
      </w:r>
      <w:r>
        <w:rPr>
          <w:szCs w:val="24"/>
          <w:lang w:bidi="ar"/>
        </w:rPr>
        <w:t>COD</w:t>
      </w:r>
      <w:r>
        <w:rPr>
          <w:rFonts w:hint="eastAsia" w:ascii="宋体" w:hAnsi="宋体" w:cs="宋体"/>
          <w:szCs w:val="24"/>
          <w:lang w:bidi="ar"/>
        </w:rPr>
        <w:t>）进行换算。本次评价</w:t>
      </w:r>
      <w:r>
        <w:rPr>
          <w:szCs w:val="24"/>
          <w:lang w:bidi="ar"/>
        </w:rPr>
        <w:t>COD</w:t>
      </w:r>
      <w:r>
        <w:rPr>
          <w:rFonts w:hint="eastAsia" w:ascii="宋体" w:hAnsi="宋体" w:cs="宋体"/>
          <w:szCs w:val="24"/>
          <w:lang w:bidi="ar"/>
        </w:rPr>
        <w:t>浓度取</w:t>
      </w:r>
      <w:r>
        <w:rPr>
          <w:szCs w:val="24"/>
          <w:lang w:bidi="ar"/>
        </w:rPr>
        <w:t>200mg/L</w:t>
      </w:r>
      <w:r>
        <w:rPr>
          <w:rFonts w:hint="eastAsia" w:ascii="宋体" w:hAnsi="宋体" w:cs="宋体"/>
          <w:szCs w:val="24"/>
          <w:lang w:bidi="ar"/>
        </w:rPr>
        <w:t>，则耗氧量浓度为</w:t>
      </w:r>
      <w:r>
        <w:rPr>
          <w:szCs w:val="24"/>
          <w:lang w:bidi="ar"/>
        </w:rPr>
        <w:t>41.5mg/L</w:t>
      </w:r>
      <w:r>
        <w:rPr>
          <w:rFonts w:hint="eastAsia" w:ascii="宋体" w:hAnsi="宋体" w:cs="宋体"/>
          <w:szCs w:val="24"/>
          <w:lang w:bidi="ar"/>
        </w:rPr>
        <w:t>。</w:t>
      </w:r>
    </w:p>
    <w:p w14:paraId="6E082E33">
      <w:pPr>
        <w:widowControl/>
        <w:ind w:firstLine="480"/>
        <w:jc w:val="left"/>
        <w:rPr>
          <w:rFonts w:cs="宋体"/>
          <w:szCs w:val="24"/>
          <w:lang w:bidi="ar"/>
        </w:rPr>
      </w:pPr>
      <w:r>
        <w:rPr>
          <w:rFonts w:hint="eastAsia" w:cs="宋体"/>
          <w:szCs w:val="24"/>
          <w:lang w:bidi="ar"/>
        </w:rPr>
        <w:t>源强计算：设定防渗过程中采取的渗漏自动检测发现及修复时间为</w:t>
      </w:r>
      <w:r>
        <w:rPr>
          <w:szCs w:val="24"/>
          <w:lang w:bidi="ar"/>
        </w:rPr>
        <w:t>1</w:t>
      </w:r>
      <w:r>
        <w:rPr>
          <w:rFonts w:hint="eastAsia" w:cs="宋体"/>
          <w:szCs w:val="24"/>
          <w:lang w:bidi="ar"/>
        </w:rPr>
        <w:t>天；泄漏量：设定防渗过程中采取的渗漏自动检测发现及修复时间为</w:t>
      </w:r>
      <w:r>
        <w:rPr>
          <w:szCs w:val="24"/>
          <w:lang w:bidi="ar"/>
        </w:rPr>
        <w:t>1</w:t>
      </w:r>
      <w:r>
        <w:rPr>
          <w:rFonts w:hint="eastAsia" w:cs="宋体"/>
          <w:szCs w:val="24"/>
          <w:lang w:bidi="ar"/>
        </w:rPr>
        <w:t>天；非正常工况下污水泄漏量按储存池的</w:t>
      </w:r>
      <w:r>
        <w:rPr>
          <w:szCs w:val="24"/>
          <w:lang w:bidi="ar"/>
        </w:rPr>
        <w:t>0.1%</w:t>
      </w:r>
      <w:r>
        <w:rPr>
          <w:rFonts w:hint="eastAsia" w:cs="宋体"/>
          <w:szCs w:val="24"/>
          <w:lang w:bidi="ar"/>
        </w:rPr>
        <w:t>计算，产生量为</w:t>
      </w:r>
      <w:r>
        <w:rPr>
          <w:szCs w:val="24"/>
          <w:lang w:bidi="ar"/>
        </w:rPr>
        <w:t>0.05m</w:t>
      </w:r>
      <w:r>
        <w:rPr>
          <w:rFonts w:hint="eastAsia"/>
          <w:szCs w:val="24"/>
          <w:vertAlign w:val="superscript"/>
          <w:lang w:bidi="ar"/>
        </w:rPr>
        <w:t>3</w:t>
      </w:r>
      <w:r>
        <w:rPr>
          <w:rFonts w:hint="eastAsia" w:cs="宋体"/>
          <w:szCs w:val="24"/>
          <w:lang w:bidi="ar"/>
        </w:rPr>
        <w:t>。源强核算结果见表5.2－11</w:t>
      </w:r>
    </w:p>
    <w:p w14:paraId="4AE14467">
      <w:pPr>
        <w:widowControl/>
        <w:ind w:firstLine="0" w:firstLineChars="0"/>
        <w:jc w:val="center"/>
        <w:rPr>
          <w:b/>
        </w:rPr>
      </w:pPr>
      <w:r>
        <w:rPr>
          <w:rFonts w:hint="eastAsia"/>
          <w:b/>
        </w:rPr>
        <w:t>表</w:t>
      </w:r>
      <w:r>
        <w:rPr>
          <w:b/>
        </w:rPr>
        <w:t>5.2</w:t>
      </w:r>
      <w:r>
        <w:rPr>
          <w:rFonts w:hint="eastAsia"/>
          <w:b/>
        </w:rPr>
        <w:t>－11非正常工况渗漏源强计算一览表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779"/>
        <w:gridCol w:w="897"/>
        <w:gridCol w:w="1385"/>
        <w:gridCol w:w="1682"/>
        <w:gridCol w:w="1318"/>
        <w:gridCol w:w="1564"/>
      </w:tblGrid>
      <w:tr w14:paraId="4175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14:paraId="3F09F038">
            <w:pPr>
              <w:widowControl/>
              <w:ind w:firstLine="0" w:firstLineChars="0"/>
              <w:jc w:val="center"/>
              <w:rPr>
                <w:sz w:val="21"/>
              </w:rPr>
            </w:pPr>
            <w:r>
              <w:rPr>
                <w:rFonts w:hint="eastAsia"/>
                <w:sz w:val="21"/>
              </w:rPr>
              <w:t>情景设定</w:t>
            </w:r>
          </w:p>
        </w:tc>
        <w:tc>
          <w:tcPr>
            <w:tcW w:w="457" w:type="pct"/>
            <w:vAlign w:val="center"/>
          </w:tcPr>
          <w:p w14:paraId="7B517526">
            <w:pPr>
              <w:widowControl/>
              <w:ind w:firstLine="0" w:firstLineChars="0"/>
              <w:jc w:val="center"/>
              <w:rPr>
                <w:sz w:val="21"/>
              </w:rPr>
            </w:pPr>
            <w:r>
              <w:rPr>
                <w:rFonts w:hint="eastAsia"/>
                <w:sz w:val="21"/>
              </w:rPr>
              <w:t>泄露位置</w:t>
            </w:r>
          </w:p>
        </w:tc>
        <w:tc>
          <w:tcPr>
            <w:tcW w:w="526" w:type="pct"/>
            <w:vAlign w:val="center"/>
          </w:tcPr>
          <w:p w14:paraId="7F0826B7">
            <w:pPr>
              <w:widowControl/>
              <w:ind w:firstLine="0" w:firstLineChars="0"/>
              <w:jc w:val="center"/>
              <w:rPr>
                <w:sz w:val="21"/>
              </w:rPr>
            </w:pPr>
            <w:r>
              <w:rPr>
                <w:rFonts w:hint="eastAsia"/>
                <w:sz w:val="21"/>
              </w:rPr>
              <w:t>特征污染物</w:t>
            </w:r>
          </w:p>
        </w:tc>
        <w:tc>
          <w:tcPr>
            <w:tcW w:w="812" w:type="pct"/>
            <w:vAlign w:val="center"/>
          </w:tcPr>
          <w:p w14:paraId="76C23AAE">
            <w:pPr>
              <w:widowControl/>
              <w:ind w:firstLine="0" w:firstLineChars="0"/>
              <w:jc w:val="center"/>
              <w:rPr>
                <w:sz w:val="21"/>
              </w:rPr>
            </w:pPr>
            <w:r>
              <w:rPr>
                <w:rFonts w:hint="eastAsia"/>
                <w:sz w:val="21"/>
              </w:rPr>
              <w:t>渗漏量（m</w:t>
            </w:r>
            <w:r>
              <w:rPr>
                <w:rFonts w:hint="eastAsia"/>
                <w:sz w:val="21"/>
                <w:vertAlign w:val="superscript"/>
              </w:rPr>
              <w:t>3</w:t>
            </w:r>
            <w:r>
              <w:rPr>
                <w:rFonts w:hint="eastAsia"/>
                <w:sz w:val="21"/>
              </w:rPr>
              <w:t>/d）</w:t>
            </w:r>
          </w:p>
        </w:tc>
        <w:tc>
          <w:tcPr>
            <w:tcW w:w="986" w:type="pct"/>
            <w:vAlign w:val="center"/>
          </w:tcPr>
          <w:p w14:paraId="14521D53">
            <w:pPr>
              <w:widowControl/>
              <w:ind w:firstLine="0" w:firstLineChars="0"/>
              <w:jc w:val="center"/>
              <w:rPr>
                <w:sz w:val="21"/>
              </w:rPr>
            </w:pPr>
            <w:r>
              <w:rPr>
                <w:rFonts w:hint="eastAsia"/>
                <w:sz w:val="21"/>
              </w:rPr>
              <w:t>污染物浓度（mg/L）</w:t>
            </w:r>
          </w:p>
        </w:tc>
        <w:tc>
          <w:tcPr>
            <w:tcW w:w="773" w:type="pct"/>
            <w:vAlign w:val="center"/>
          </w:tcPr>
          <w:p w14:paraId="2D3BB339">
            <w:pPr>
              <w:widowControl/>
              <w:ind w:firstLine="0" w:firstLineChars="0"/>
              <w:jc w:val="center"/>
              <w:rPr>
                <w:sz w:val="21"/>
              </w:rPr>
            </w:pPr>
            <w:r>
              <w:rPr>
                <w:rFonts w:hint="eastAsia"/>
                <w:sz w:val="21"/>
              </w:rPr>
              <w:t>污染源强（kg）</w:t>
            </w:r>
          </w:p>
        </w:tc>
        <w:tc>
          <w:tcPr>
            <w:tcW w:w="917" w:type="pct"/>
            <w:vAlign w:val="center"/>
          </w:tcPr>
          <w:p w14:paraId="665762C7">
            <w:pPr>
              <w:widowControl/>
              <w:ind w:firstLine="0" w:firstLineChars="0"/>
              <w:jc w:val="center"/>
              <w:rPr>
                <w:sz w:val="21"/>
              </w:rPr>
            </w:pPr>
            <w:r>
              <w:rPr>
                <w:rFonts w:hint="eastAsia"/>
                <w:sz w:val="21"/>
              </w:rPr>
              <w:t>标准限值（mg/L）</w:t>
            </w:r>
          </w:p>
        </w:tc>
      </w:tr>
      <w:tr w14:paraId="1F38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Merge w:val="restart"/>
            <w:vAlign w:val="center"/>
          </w:tcPr>
          <w:p w14:paraId="4E23F496">
            <w:pPr>
              <w:widowControl/>
              <w:ind w:firstLine="0" w:firstLineChars="0"/>
              <w:jc w:val="center"/>
              <w:rPr>
                <w:sz w:val="21"/>
              </w:rPr>
            </w:pPr>
            <w:r>
              <w:rPr>
                <w:rFonts w:hint="eastAsia"/>
                <w:sz w:val="21"/>
              </w:rPr>
              <w:t>非正常工况</w:t>
            </w:r>
          </w:p>
        </w:tc>
        <w:tc>
          <w:tcPr>
            <w:tcW w:w="457" w:type="pct"/>
            <w:vMerge w:val="restart"/>
            <w:vAlign w:val="center"/>
          </w:tcPr>
          <w:p w14:paraId="546B0D9C">
            <w:pPr>
              <w:widowControl/>
              <w:ind w:firstLine="0" w:firstLineChars="0"/>
              <w:jc w:val="center"/>
              <w:rPr>
                <w:sz w:val="21"/>
              </w:rPr>
            </w:pPr>
            <w:r>
              <w:rPr>
                <w:rFonts w:hint="eastAsia"/>
                <w:sz w:val="21"/>
              </w:rPr>
              <w:t>化粪池</w:t>
            </w:r>
          </w:p>
        </w:tc>
        <w:tc>
          <w:tcPr>
            <w:tcW w:w="526" w:type="pct"/>
            <w:vAlign w:val="center"/>
          </w:tcPr>
          <w:p w14:paraId="29F601D3">
            <w:pPr>
              <w:widowControl/>
              <w:ind w:firstLine="0" w:firstLineChars="0"/>
              <w:jc w:val="center"/>
              <w:rPr>
                <w:sz w:val="21"/>
              </w:rPr>
            </w:pPr>
            <w:r>
              <w:rPr>
                <w:rFonts w:hint="eastAsia"/>
                <w:sz w:val="21"/>
              </w:rPr>
              <w:t>耗氧量</w:t>
            </w:r>
          </w:p>
        </w:tc>
        <w:tc>
          <w:tcPr>
            <w:tcW w:w="812" w:type="pct"/>
            <w:vMerge w:val="restart"/>
            <w:vAlign w:val="center"/>
          </w:tcPr>
          <w:p w14:paraId="5DB0C18F">
            <w:pPr>
              <w:widowControl/>
              <w:ind w:firstLine="0" w:firstLineChars="0"/>
              <w:jc w:val="center"/>
              <w:rPr>
                <w:sz w:val="21"/>
              </w:rPr>
            </w:pPr>
            <w:r>
              <w:rPr>
                <w:rFonts w:hint="eastAsia"/>
                <w:sz w:val="21"/>
              </w:rPr>
              <w:t>0.05</w:t>
            </w:r>
          </w:p>
        </w:tc>
        <w:tc>
          <w:tcPr>
            <w:tcW w:w="986" w:type="pct"/>
            <w:vAlign w:val="center"/>
          </w:tcPr>
          <w:p w14:paraId="60FE76D8">
            <w:pPr>
              <w:widowControl/>
              <w:ind w:firstLine="0" w:firstLineChars="0"/>
              <w:jc w:val="center"/>
              <w:rPr>
                <w:sz w:val="21"/>
              </w:rPr>
            </w:pPr>
            <w:r>
              <w:rPr>
                <w:rFonts w:hint="eastAsia"/>
                <w:sz w:val="21"/>
              </w:rPr>
              <w:t>41.5</w:t>
            </w:r>
          </w:p>
        </w:tc>
        <w:tc>
          <w:tcPr>
            <w:tcW w:w="773" w:type="pct"/>
            <w:vAlign w:val="center"/>
          </w:tcPr>
          <w:p w14:paraId="1D222BE4">
            <w:pPr>
              <w:widowControl/>
              <w:ind w:firstLine="0" w:firstLineChars="0"/>
              <w:jc w:val="center"/>
              <w:rPr>
                <w:sz w:val="21"/>
              </w:rPr>
            </w:pPr>
            <w:r>
              <w:rPr>
                <w:rFonts w:hint="eastAsia"/>
                <w:sz w:val="21"/>
              </w:rPr>
              <w:t>0.002</w:t>
            </w:r>
          </w:p>
        </w:tc>
        <w:tc>
          <w:tcPr>
            <w:tcW w:w="917" w:type="pct"/>
            <w:vAlign w:val="center"/>
          </w:tcPr>
          <w:p w14:paraId="42FA8120">
            <w:pPr>
              <w:widowControl/>
              <w:ind w:firstLine="0" w:firstLineChars="0"/>
              <w:jc w:val="center"/>
              <w:rPr>
                <w:sz w:val="21"/>
              </w:rPr>
            </w:pPr>
            <w:r>
              <w:rPr>
                <w:rFonts w:hint="eastAsia"/>
                <w:sz w:val="21"/>
              </w:rPr>
              <w:t>3</w:t>
            </w:r>
          </w:p>
        </w:tc>
      </w:tr>
      <w:tr w14:paraId="09B9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Merge w:val="continue"/>
            <w:vAlign w:val="center"/>
          </w:tcPr>
          <w:p w14:paraId="563C9D8A">
            <w:pPr>
              <w:widowControl/>
              <w:ind w:firstLine="0" w:firstLineChars="0"/>
              <w:jc w:val="center"/>
              <w:rPr>
                <w:sz w:val="21"/>
              </w:rPr>
            </w:pPr>
          </w:p>
        </w:tc>
        <w:tc>
          <w:tcPr>
            <w:tcW w:w="457" w:type="pct"/>
            <w:vMerge w:val="continue"/>
            <w:vAlign w:val="center"/>
          </w:tcPr>
          <w:p w14:paraId="6E749876">
            <w:pPr>
              <w:widowControl/>
              <w:ind w:firstLine="0" w:firstLineChars="0"/>
              <w:jc w:val="center"/>
              <w:rPr>
                <w:sz w:val="21"/>
              </w:rPr>
            </w:pPr>
          </w:p>
        </w:tc>
        <w:tc>
          <w:tcPr>
            <w:tcW w:w="526" w:type="pct"/>
            <w:vAlign w:val="center"/>
          </w:tcPr>
          <w:p w14:paraId="0A09E533">
            <w:pPr>
              <w:widowControl/>
              <w:ind w:firstLine="0" w:firstLineChars="0"/>
              <w:jc w:val="center"/>
              <w:rPr>
                <w:sz w:val="21"/>
              </w:rPr>
            </w:pPr>
            <w:r>
              <w:rPr>
                <w:rFonts w:hint="eastAsia"/>
                <w:sz w:val="21"/>
              </w:rPr>
              <w:t>氨氮</w:t>
            </w:r>
          </w:p>
        </w:tc>
        <w:tc>
          <w:tcPr>
            <w:tcW w:w="812" w:type="pct"/>
            <w:vMerge w:val="continue"/>
            <w:vAlign w:val="center"/>
          </w:tcPr>
          <w:p w14:paraId="38AA9298">
            <w:pPr>
              <w:widowControl/>
              <w:ind w:firstLine="0" w:firstLineChars="0"/>
              <w:jc w:val="center"/>
              <w:rPr>
                <w:sz w:val="21"/>
              </w:rPr>
            </w:pPr>
          </w:p>
        </w:tc>
        <w:tc>
          <w:tcPr>
            <w:tcW w:w="986" w:type="pct"/>
            <w:vAlign w:val="center"/>
          </w:tcPr>
          <w:p w14:paraId="02C6AC7C">
            <w:pPr>
              <w:widowControl/>
              <w:ind w:firstLine="0" w:firstLineChars="0"/>
              <w:jc w:val="center"/>
              <w:rPr>
                <w:sz w:val="21"/>
              </w:rPr>
            </w:pPr>
            <w:r>
              <w:rPr>
                <w:rFonts w:hint="eastAsia"/>
                <w:sz w:val="21"/>
              </w:rPr>
              <w:t>20</w:t>
            </w:r>
          </w:p>
        </w:tc>
        <w:tc>
          <w:tcPr>
            <w:tcW w:w="773" w:type="pct"/>
            <w:vAlign w:val="center"/>
          </w:tcPr>
          <w:p w14:paraId="1AD3CDAB">
            <w:pPr>
              <w:widowControl/>
              <w:ind w:firstLine="0" w:firstLineChars="0"/>
              <w:jc w:val="center"/>
              <w:rPr>
                <w:sz w:val="21"/>
              </w:rPr>
            </w:pPr>
            <w:r>
              <w:rPr>
                <w:rFonts w:hint="eastAsia"/>
                <w:sz w:val="21"/>
              </w:rPr>
              <w:t>0.001</w:t>
            </w:r>
          </w:p>
        </w:tc>
        <w:tc>
          <w:tcPr>
            <w:tcW w:w="917" w:type="pct"/>
            <w:vAlign w:val="center"/>
          </w:tcPr>
          <w:p w14:paraId="4A85CA93">
            <w:pPr>
              <w:widowControl/>
              <w:ind w:firstLine="0" w:firstLineChars="0"/>
              <w:jc w:val="center"/>
              <w:rPr>
                <w:sz w:val="21"/>
              </w:rPr>
            </w:pPr>
            <w:r>
              <w:rPr>
                <w:rFonts w:hint="eastAsia"/>
                <w:sz w:val="21"/>
              </w:rPr>
              <w:t>0.5</w:t>
            </w:r>
          </w:p>
        </w:tc>
      </w:tr>
    </w:tbl>
    <w:p w14:paraId="261B7341">
      <w:pPr>
        <w:widowControl/>
        <w:ind w:firstLine="480"/>
        <w:jc w:val="left"/>
      </w:pPr>
      <w:r>
        <w:rPr>
          <w:rFonts w:hint="eastAsia"/>
        </w:rPr>
        <w:t>③预测模型的概化</w:t>
      </w:r>
    </w:p>
    <w:p w14:paraId="0621498D">
      <w:pPr>
        <w:widowControl/>
        <w:ind w:firstLine="480"/>
        <w:jc w:val="left"/>
      </w:pPr>
      <w:r>
        <w:rPr>
          <w:rFonts w:hint="eastAsia"/>
        </w:rPr>
        <w:t>非正常状况下，主要考虑事故的泄漏污水直接进入浅层地下水，污染物在项目场地含水层中的运移情况。模型可概化为一维稳定流动二维水动力弥散问题的瞬时注入示踪剂—平面瞬时点源的预测模型，其主要假设条件为：</w:t>
      </w:r>
    </w:p>
    <w:p w14:paraId="460F5DE5">
      <w:pPr>
        <w:widowControl/>
        <w:ind w:firstLine="480"/>
        <w:jc w:val="left"/>
      </w:pPr>
      <w:r>
        <w:rPr>
          <w:rFonts w:hint="eastAsia"/>
        </w:rPr>
        <w:t>①评价区内含水层的基本参数（如渗透系数、有效孔隙度等）不变或变化很小；</w:t>
      </w:r>
    </w:p>
    <w:p w14:paraId="5691F275">
      <w:pPr>
        <w:widowControl/>
        <w:ind w:firstLine="480"/>
        <w:jc w:val="left"/>
      </w:pPr>
      <w:r>
        <w:rPr>
          <w:rFonts w:hint="eastAsia"/>
        </w:rPr>
        <w:t>②污染物的排放对地下水流场没有明显的影响。</w:t>
      </w:r>
    </w:p>
    <w:p w14:paraId="380F4B4B">
      <w:pPr>
        <w:widowControl/>
        <w:ind w:firstLine="480"/>
        <w:jc w:val="left"/>
      </w:pPr>
      <w:r>
        <w:rPr>
          <w:rFonts w:hint="eastAsia"/>
        </w:rPr>
        <w:t>④数学模型的建立与参数的确定</w:t>
      </w:r>
    </w:p>
    <w:p w14:paraId="3DC85F74">
      <w:pPr>
        <w:widowControl/>
        <w:ind w:firstLine="480"/>
        <w:jc w:val="left"/>
      </w:pPr>
      <w:r>
        <w:rPr>
          <w:rFonts w:hint="eastAsia"/>
        </w:rPr>
        <w:t>污染物在含水层中的运移模型为《环境影响评价技术导则地下水环境》（HJ610－2016），一维稳定流动二维水动力弥散问题的瞬时注入示踪剂—平面瞬时点源的预测模型：</w:t>
      </w:r>
    </w:p>
    <w:p w14:paraId="4B02AB7F">
      <w:pPr>
        <w:widowControl/>
        <w:ind w:firstLine="480"/>
        <w:jc w:val="center"/>
      </w:pPr>
      <w:r>
        <w:drawing>
          <wp:inline distT="0" distB="0" distL="114300" distR="114300">
            <wp:extent cx="2790825" cy="714375"/>
            <wp:effectExtent l="0" t="0" r="9525" b="952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59"/>
                    <a:stretch>
                      <a:fillRect/>
                    </a:stretch>
                  </pic:blipFill>
                  <pic:spPr>
                    <a:xfrm>
                      <a:off x="0" y="0"/>
                      <a:ext cx="2790825" cy="714375"/>
                    </a:xfrm>
                    <a:prstGeom prst="rect">
                      <a:avLst/>
                    </a:prstGeom>
                    <a:noFill/>
                    <a:ln>
                      <a:noFill/>
                    </a:ln>
                  </pic:spPr>
                </pic:pic>
              </a:graphicData>
            </a:graphic>
          </wp:inline>
        </w:drawing>
      </w:r>
    </w:p>
    <w:p w14:paraId="407A167B">
      <w:pPr>
        <w:ind w:firstLine="480"/>
        <w:rPr>
          <w:rFonts w:cs="宋体"/>
          <w:szCs w:val="24"/>
        </w:rPr>
      </w:pPr>
      <w:r>
        <w:rPr>
          <w:rFonts w:hint="eastAsia" w:cs="宋体"/>
          <w:szCs w:val="24"/>
        </w:rPr>
        <w:t>式中：</w:t>
      </w:r>
    </w:p>
    <w:p w14:paraId="26BD4361">
      <w:pPr>
        <w:ind w:firstLine="480"/>
        <w:rPr>
          <w:rFonts w:cs="宋体"/>
          <w:szCs w:val="24"/>
        </w:rPr>
      </w:pPr>
      <w:r>
        <w:rPr>
          <w:rFonts w:cs="宋体"/>
          <w:szCs w:val="24"/>
        </w:rPr>
        <w:t>x</w:t>
      </w:r>
      <w:r>
        <w:rPr>
          <w:rFonts w:hint="eastAsia" w:cs="宋体"/>
          <w:szCs w:val="24"/>
        </w:rPr>
        <w:t>，</w:t>
      </w:r>
      <w:r>
        <w:rPr>
          <w:rFonts w:cs="宋体"/>
          <w:szCs w:val="24"/>
        </w:rPr>
        <w:t>y</w:t>
      </w:r>
      <w:r>
        <w:rPr>
          <w:rFonts w:hint="eastAsia" w:cs="宋体"/>
          <w:szCs w:val="24"/>
        </w:rPr>
        <w:t>——计算点处的位置坐标；</w:t>
      </w:r>
      <w:r>
        <w:rPr>
          <w:rFonts w:cs="宋体"/>
          <w:szCs w:val="24"/>
        </w:rPr>
        <w:t>t</w:t>
      </w:r>
      <w:r>
        <w:rPr>
          <w:rFonts w:hint="eastAsia" w:cs="宋体"/>
          <w:szCs w:val="24"/>
        </w:rPr>
        <w:t>——时间，</w:t>
      </w:r>
      <w:r>
        <w:rPr>
          <w:rFonts w:cs="宋体"/>
          <w:szCs w:val="24"/>
        </w:rPr>
        <w:t>d</w:t>
      </w:r>
      <w:r>
        <w:rPr>
          <w:rFonts w:hint="eastAsia" w:cs="宋体"/>
          <w:szCs w:val="24"/>
        </w:rPr>
        <w:t>；</w:t>
      </w:r>
    </w:p>
    <w:p w14:paraId="45CE99C8">
      <w:pPr>
        <w:widowControl/>
        <w:ind w:firstLine="480"/>
        <w:jc w:val="left"/>
      </w:pPr>
      <w:r>
        <w:rPr>
          <w:szCs w:val="24"/>
          <w:lang w:bidi="ar"/>
        </w:rPr>
        <w:t>C</w:t>
      </w:r>
      <w:r>
        <w:rPr>
          <w:rFonts w:hint="eastAsia" w:cs="宋体"/>
          <w:szCs w:val="24"/>
          <w:lang w:bidi="ar"/>
        </w:rPr>
        <w:t>（</w:t>
      </w:r>
      <w:r>
        <w:rPr>
          <w:szCs w:val="24"/>
          <w:lang w:bidi="ar"/>
        </w:rPr>
        <w:t>x</w:t>
      </w:r>
      <w:r>
        <w:rPr>
          <w:rFonts w:hint="eastAsia" w:cs="宋体"/>
          <w:szCs w:val="24"/>
          <w:lang w:bidi="ar"/>
        </w:rPr>
        <w:t>，</w:t>
      </w:r>
      <w:r>
        <w:rPr>
          <w:szCs w:val="24"/>
          <w:lang w:bidi="ar"/>
        </w:rPr>
        <w:t>y</w:t>
      </w:r>
      <w:r>
        <w:rPr>
          <w:rFonts w:hint="eastAsia" w:cs="宋体"/>
          <w:szCs w:val="24"/>
          <w:lang w:bidi="ar"/>
        </w:rPr>
        <w:t>，</w:t>
      </w:r>
      <w:r>
        <w:rPr>
          <w:szCs w:val="24"/>
          <w:lang w:bidi="ar"/>
        </w:rPr>
        <w:t>t</w:t>
      </w:r>
      <w:r>
        <w:rPr>
          <w:rFonts w:hint="eastAsia" w:cs="宋体"/>
          <w:szCs w:val="24"/>
          <w:lang w:bidi="ar"/>
        </w:rPr>
        <w:t>）——</w:t>
      </w:r>
      <w:r>
        <w:rPr>
          <w:szCs w:val="24"/>
          <w:lang w:bidi="ar"/>
        </w:rPr>
        <w:t>t</w:t>
      </w:r>
      <w:r>
        <w:rPr>
          <w:rFonts w:hint="eastAsia" w:cs="宋体"/>
          <w:szCs w:val="24"/>
          <w:lang w:bidi="ar"/>
        </w:rPr>
        <w:t>时刻点</w:t>
      </w:r>
      <w:r>
        <w:rPr>
          <w:szCs w:val="24"/>
          <w:lang w:bidi="ar"/>
        </w:rPr>
        <w:t>x</w:t>
      </w:r>
      <w:r>
        <w:rPr>
          <w:rFonts w:hint="eastAsia" w:cs="宋体"/>
          <w:szCs w:val="24"/>
          <w:lang w:bidi="ar"/>
        </w:rPr>
        <w:t>，</w:t>
      </w:r>
      <w:r>
        <w:rPr>
          <w:szCs w:val="24"/>
          <w:lang w:bidi="ar"/>
        </w:rPr>
        <w:t>y</w:t>
      </w:r>
      <w:r>
        <w:rPr>
          <w:rFonts w:hint="eastAsia" w:cs="宋体"/>
          <w:szCs w:val="24"/>
          <w:lang w:bidi="ar"/>
        </w:rPr>
        <w:t>处的污染物浓度，</w:t>
      </w:r>
      <w:r>
        <w:rPr>
          <w:szCs w:val="24"/>
          <w:lang w:bidi="ar"/>
        </w:rPr>
        <w:t>mg/L</w:t>
      </w:r>
      <w:r>
        <w:rPr>
          <w:rFonts w:hint="eastAsia" w:cs="宋体"/>
          <w:szCs w:val="24"/>
          <w:lang w:bidi="ar"/>
        </w:rPr>
        <w:t>；</w:t>
      </w:r>
    </w:p>
    <w:p w14:paraId="21EE7AAE">
      <w:pPr>
        <w:widowControl/>
        <w:ind w:firstLine="480"/>
        <w:jc w:val="left"/>
      </w:pPr>
      <w:r>
        <w:rPr>
          <w:szCs w:val="24"/>
          <w:lang w:bidi="ar"/>
        </w:rPr>
        <w:t>M</w:t>
      </w:r>
      <w:r>
        <w:rPr>
          <w:rFonts w:hint="eastAsia" w:cs="宋体"/>
          <w:szCs w:val="24"/>
          <w:lang w:bidi="ar"/>
        </w:rPr>
        <w:t>——含水层厚度，</w:t>
      </w:r>
      <w:r>
        <w:rPr>
          <w:szCs w:val="24"/>
          <w:lang w:bidi="ar"/>
        </w:rPr>
        <w:t>m</w:t>
      </w:r>
      <w:r>
        <w:rPr>
          <w:rFonts w:hint="eastAsia" w:cs="宋体"/>
          <w:szCs w:val="24"/>
          <w:lang w:bidi="ar"/>
        </w:rPr>
        <w:t>；本项目浅层地下水含水层厚度约</w:t>
      </w:r>
      <w:r>
        <w:rPr>
          <w:szCs w:val="24"/>
          <w:lang w:bidi="ar"/>
        </w:rPr>
        <w:t>95m</w:t>
      </w:r>
      <w:r>
        <w:rPr>
          <w:rFonts w:hint="eastAsia" w:cs="宋体"/>
          <w:szCs w:val="24"/>
          <w:lang w:bidi="ar"/>
        </w:rPr>
        <w:t>；</w:t>
      </w:r>
    </w:p>
    <w:p w14:paraId="54E523B3">
      <w:pPr>
        <w:widowControl/>
        <w:ind w:firstLine="480"/>
        <w:jc w:val="left"/>
      </w:pPr>
      <w:r>
        <w:rPr>
          <w:szCs w:val="24"/>
          <w:lang w:bidi="ar"/>
        </w:rPr>
        <w:t>m</w:t>
      </w:r>
      <w:r>
        <w:rPr>
          <w:szCs w:val="16"/>
          <w:lang w:bidi="ar"/>
        </w:rPr>
        <w:t>M</w:t>
      </w:r>
      <w:r>
        <w:rPr>
          <w:rFonts w:hint="eastAsia" w:cs="宋体"/>
          <w:szCs w:val="24"/>
          <w:lang w:bidi="ar"/>
        </w:rPr>
        <w:t>——长度为</w:t>
      </w:r>
      <w:r>
        <w:rPr>
          <w:szCs w:val="24"/>
          <w:lang w:bidi="ar"/>
        </w:rPr>
        <w:t>M</w:t>
      </w:r>
      <w:r>
        <w:rPr>
          <w:rFonts w:hint="eastAsia" w:cs="宋体"/>
          <w:szCs w:val="24"/>
          <w:lang w:bidi="ar"/>
        </w:rPr>
        <w:t>的线源瞬时注入示踪剂的质量；</w:t>
      </w:r>
    </w:p>
    <w:p w14:paraId="75977698">
      <w:pPr>
        <w:widowControl/>
        <w:ind w:firstLine="480"/>
        <w:jc w:val="left"/>
      </w:pPr>
      <w:r>
        <w:rPr>
          <w:szCs w:val="24"/>
          <w:lang w:bidi="ar"/>
        </w:rPr>
        <w:t>n</w:t>
      </w:r>
      <w:r>
        <w:rPr>
          <w:rFonts w:hint="eastAsia" w:cs="宋体"/>
          <w:szCs w:val="24"/>
          <w:lang w:bidi="ar"/>
        </w:rPr>
        <w:t>——有效孔隙度，量纲为一，含水层岩性主要为粉细砂，</w:t>
      </w:r>
      <w:r>
        <w:rPr>
          <w:szCs w:val="24"/>
          <w:lang w:bidi="ar"/>
        </w:rPr>
        <w:t>n=0.21</w:t>
      </w:r>
      <w:r>
        <w:rPr>
          <w:rFonts w:hint="eastAsia" w:cs="宋体"/>
          <w:szCs w:val="24"/>
          <w:lang w:bidi="ar"/>
        </w:rPr>
        <w:t>；</w:t>
      </w:r>
    </w:p>
    <w:p w14:paraId="4EADACFD">
      <w:pPr>
        <w:widowControl/>
        <w:ind w:firstLine="480"/>
        <w:jc w:val="left"/>
      </w:pPr>
      <w:r>
        <w:rPr>
          <w:szCs w:val="24"/>
          <w:lang w:bidi="ar"/>
        </w:rPr>
        <w:t>u</w:t>
      </w:r>
      <w:r>
        <w:rPr>
          <w:rFonts w:hint="eastAsia" w:cs="宋体"/>
          <w:szCs w:val="24"/>
          <w:lang w:bidi="ar"/>
        </w:rPr>
        <w:t>——地下水流速度，</w:t>
      </w:r>
      <w:r>
        <w:rPr>
          <w:szCs w:val="24"/>
          <w:lang w:bidi="ar"/>
        </w:rPr>
        <w:t>m/d</w:t>
      </w:r>
      <w:r>
        <w:rPr>
          <w:rFonts w:hint="eastAsia" w:cs="宋体"/>
          <w:szCs w:val="24"/>
          <w:lang w:bidi="ar"/>
        </w:rPr>
        <w:t>。根据项目场地地层岩性，参照地下水导则附录</w:t>
      </w:r>
      <w:r>
        <w:rPr>
          <w:szCs w:val="24"/>
          <w:lang w:bidi="ar"/>
        </w:rPr>
        <w:t>B</w:t>
      </w:r>
      <w:r>
        <w:rPr>
          <w:rFonts w:hint="eastAsia" w:cs="宋体"/>
          <w:szCs w:val="24"/>
          <w:lang w:bidi="ar"/>
        </w:rPr>
        <w:t>，潜水含水层平均渗透系数</w:t>
      </w:r>
      <w:r>
        <w:rPr>
          <w:szCs w:val="24"/>
          <w:lang w:bidi="ar"/>
        </w:rPr>
        <w:t>K</w:t>
      </w:r>
      <w:r>
        <w:rPr>
          <w:rFonts w:hint="eastAsia" w:cs="宋体"/>
          <w:szCs w:val="24"/>
          <w:lang w:bidi="ar"/>
        </w:rPr>
        <w:t>取值为</w:t>
      </w:r>
      <w:r>
        <w:rPr>
          <w:szCs w:val="24"/>
          <w:lang w:bidi="ar"/>
        </w:rPr>
        <w:t>5m/d</w:t>
      </w:r>
      <w:r>
        <w:rPr>
          <w:rFonts w:hint="eastAsia" w:cs="宋体"/>
          <w:szCs w:val="24"/>
          <w:lang w:bidi="ar"/>
        </w:rPr>
        <w:t>，水力坡度</w:t>
      </w:r>
      <w:r>
        <w:rPr>
          <w:szCs w:val="24"/>
          <w:lang w:bidi="ar"/>
        </w:rPr>
        <w:t>I</w:t>
      </w:r>
      <w:r>
        <w:rPr>
          <w:rFonts w:hint="eastAsia" w:cs="宋体"/>
          <w:szCs w:val="24"/>
          <w:lang w:bidi="ar"/>
        </w:rPr>
        <w:t>为</w:t>
      </w:r>
      <w:r>
        <w:rPr>
          <w:szCs w:val="24"/>
          <w:lang w:bidi="ar"/>
        </w:rPr>
        <w:t>2.78‰</w:t>
      </w:r>
      <w:r>
        <w:rPr>
          <w:rFonts w:hint="eastAsia" w:cs="宋体"/>
          <w:szCs w:val="24"/>
          <w:lang w:bidi="ar"/>
        </w:rPr>
        <w:t>，因此地下水的渗透流速</w:t>
      </w:r>
      <w:r>
        <w:rPr>
          <w:szCs w:val="24"/>
          <w:lang w:bidi="ar"/>
        </w:rPr>
        <w:t>u=K×I/n=0.066m/d</w:t>
      </w:r>
      <w:r>
        <w:rPr>
          <w:rFonts w:hint="eastAsia" w:cs="宋体"/>
          <w:szCs w:val="24"/>
          <w:lang w:bidi="ar"/>
        </w:rPr>
        <w:t>；</w:t>
      </w:r>
    </w:p>
    <w:p w14:paraId="77D244D7">
      <w:pPr>
        <w:widowControl/>
        <w:ind w:firstLine="480"/>
        <w:jc w:val="left"/>
      </w:pPr>
      <w:r>
        <w:rPr>
          <w:szCs w:val="24"/>
          <w:lang w:bidi="ar"/>
        </w:rPr>
        <w:t>D</w:t>
      </w:r>
      <w:r>
        <w:rPr>
          <w:szCs w:val="16"/>
          <w:lang w:bidi="ar"/>
        </w:rPr>
        <w:t>L</w:t>
      </w:r>
      <w:r>
        <w:rPr>
          <w:rFonts w:hint="eastAsia" w:cs="宋体"/>
          <w:szCs w:val="24"/>
          <w:lang w:bidi="ar"/>
        </w:rPr>
        <w:t>——纵向</w:t>
      </w:r>
      <w:r>
        <w:rPr>
          <w:szCs w:val="24"/>
          <w:lang w:bidi="ar"/>
        </w:rPr>
        <w:t>x</w:t>
      </w:r>
      <w:r>
        <w:rPr>
          <w:rFonts w:hint="eastAsia" w:cs="宋体"/>
          <w:szCs w:val="24"/>
          <w:lang w:bidi="ar"/>
        </w:rPr>
        <w:t>方向的弥散系数，</w:t>
      </w:r>
      <w:r>
        <w:rPr>
          <w:szCs w:val="24"/>
          <w:lang w:bidi="ar"/>
        </w:rPr>
        <w:t>m</w:t>
      </w:r>
      <w:r>
        <w:rPr>
          <w:rFonts w:hint="eastAsia"/>
          <w:szCs w:val="24"/>
          <w:vertAlign w:val="superscript"/>
          <w:lang w:bidi="ar"/>
        </w:rPr>
        <w:t>2</w:t>
      </w:r>
      <w:r>
        <w:rPr>
          <w:szCs w:val="24"/>
          <w:lang w:bidi="ar"/>
        </w:rPr>
        <w:t>/d</w:t>
      </w:r>
      <w:r>
        <w:rPr>
          <w:rFonts w:hint="eastAsia" w:cs="宋体"/>
          <w:szCs w:val="24"/>
          <w:lang w:bidi="ar"/>
        </w:rPr>
        <w:t>，根据资料，纵向弥散度</w:t>
      </w:r>
      <w:r>
        <w:rPr>
          <w:szCs w:val="24"/>
          <w:lang w:bidi="ar"/>
        </w:rPr>
        <w:t>α</w:t>
      </w:r>
      <w:r>
        <w:rPr>
          <w:szCs w:val="16"/>
          <w:lang w:bidi="ar"/>
        </w:rPr>
        <w:t>L</w:t>
      </w:r>
      <w:r>
        <w:rPr>
          <w:szCs w:val="24"/>
          <w:lang w:bidi="ar"/>
        </w:rPr>
        <w:t>=10m</w:t>
      </w:r>
      <w:r>
        <w:rPr>
          <w:rFonts w:hint="eastAsia" w:cs="宋体"/>
          <w:szCs w:val="24"/>
          <w:lang w:bidi="ar"/>
        </w:rPr>
        <w:t>，纵向弥散系数</w:t>
      </w:r>
      <w:r>
        <w:rPr>
          <w:szCs w:val="24"/>
          <w:lang w:bidi="ar"/>
        </w:rPr>
        <w:t>D</w:t>
      </w:r>
      <w:r>
        <w:rPr>
          <w:szCs w:val="16"/>
          <w:lang w:bidi="ar"/>
        </w:rPr>
        <w:t>L</w:t>
      </w:r>
      <w:r>
        <w:rPr>
          <w:szCs w:val="24"/>
          <w:lang w:bidi="ar"/>
        </w:rPr>
        <w:t>=α</w:t>
      </w:r>
      <w:r>
        <w:rPr>
          <w:szCs w:val="16"/>
          <w:lang w:bidi="ar"/>
        </w:rPr>
        <w:t>L</w:t>
      </w:r>
      <w:r>
        <w:rPr>
          <w:szCs w:val="24"/>
          <w:lang w:bidi="ar"/>
        </w:rPr>
        <w:t>×u=0.66m</w:t>
      </w:r>
      <w:r>
        <w:rPr>
          <w:rFonts w:hint="eastAsia"/>
          <w:szCs w:val="24"/>
          <w:vertAlign w:val="superscript"/>
          <w:lang w:bidi="ar"/>
        </w:rPr>
        <w:t>2</w:t>
      </w:r>
      <w:r>
        <w:rPr>
          <w:szCs w:val="24"/>
          <w:lang w:bidi="ar"/>
        </w:rPr>
        <w:t>/d</w:t>
      </w:r>
      <w:r>
        <w:rPr>
          <w:rFonts w:hint="eastAsia" w:cs="宋体"/>
          <w:szCs w:val="24"/>
          <w:lang w:bidi="ar"/>
        </w:rPr>
        <w:t>；</w:t>
      </w:r>
    </w:p>
    <w:p w14:paraId="58A7F1A0">
      <w:pPr>
        <w:widowControl/>
        <w:ind w:firstLine="480"/>
        <w:jc w:val="left"/>
      </w:pPr>
      <w:r>
        <w:rPr>
          <w:szCs w:val="24"/>
          <w:lang w:bidi="ar"/>
        </w:rPr>
        <w:t>D</w:t>
      </w:r>
      <w:r>
        <w:rPr>
          <w:szCs w:val="16"/>
          <w:lang w:bidi="ar"/>
        </w:rPr>
        <w:t>T</w:t>
      </w:r>
      <w:r>
        <w:rPr>
          <w:rFonts w:hint="eastAsia" w:cs="宋体"/>
          <w:szCs w:val="24"/>
          <w:lang w:bidi="ar"/>
        </w:rPr>
        <w:t>——横向</w:t>
      </w:r>
      <w:r>
        <w:rPr>
          <w:szCs w:val="24"/>
          <w:lang w:bidi="ar"/>
        </w:rPr>
        <w:t>y</w:t>
      </w:r>
      <w:r>
        <w:rPr>
          <w:rFonts w:hint="eastAsia" w:cs="宋体"/>
          <w:szCs w:val="24"/>
          <w:lang w:bidi="ar"/>
        </w:rPr>
        <w:t>方向的弥散系数，</w:t>
      </w:r>
      <w:r>
        <w:rPr>
          <w:szCs w:val="24"/>
          <w:lang w:bidi="ar"/>
        </w:rPr>
        <w:t>m</w:t>
      </w:r>
      <w:r>
        <w:rPr>
          <w:rFonts w:hint="eastAsia"/>
          <w:szCs w:val="24"/>
          <w:vertAlign w:val="superscript"/>
          <w:lang w:bidi="ar"/>
        </w:rPr>
        <w:t>2</w:t>
      </w:r>
      <w:r>
        <w:rPr>
          <w:szCs w:val="24"/>
          <w:lang w:bidi="ar"/>
        </w:rPr>
        <w:t>/d</w:t>
      </w:r>
      <w:r>
        <w:rPr>
          <w:rFonts w:hint="eastAsia" w:cs="宋体"/>
          <w:szCs w:val="24"/>
          <w:lang w:bidi="ar"/>
        </w:rPr>
        <w:t>，横向弥散度</w:t>
      </w:r>
      <w:r>
        <w:rPr>
          <w:szCs w:val="24"/>
          <w:lang w:bidi="ar"/>
        </w:rPr>
        <w:t>α</w:t>
      </w:r>
      <w:r>
        <w:rPr>
          <w:szCs w:val="16"/>
          <w:lang w:bidi="ar"/>
        </w:rPr>
        <w:t>T</w:t>
      </w:r>
      <w:r>
        <w:rPr>
          <w:szCs w:val="24"/>
          <w:lang w:bidi="ar"/>
        </w:rPr>
        <w:t>=α</w:t>
      </w:r>
      <w:r>
        <w:rPr>
          <w:szCs w:val="16"/>
          <w:lang w:bidi="ar"/>
        </w:rPr>
        <w:t>L</w:t>
      </w:r>
      <w:r>
        <w:rPr>
          <w:szCs w:val="24"/>
          <w:lang w:bidi="ar"/>
        </w:rPr>
        <w:t>×0.1</w:t>
      </w:r>
      <w:r>
        <w:rPr>
          <w:rFonts w:hint="eastAsia" w:cs="宋体"/>
          <w:szCs w:val="24"/>
          <w:lang w:bidi="ar"/>
        </w:rPr>
        <w:t>，横向弥散系数</w:t>
      </w:r>
      <w:r>
        <w:rPr>
          <w:szCs w:val="24"/>
          <w:lang w:bidi="ar"/>
        </w:rPr>
        <w:t>D</w:t>
      </w:r>
      <w:r>
        <w:rPr>
          <w:szCs w:val="16"/>
          <w:lang w:bidi="ar"/>
        </w:rPr>
        <w:t>T</w:t>
      </w:r>
      <w:r>
        <w:rPr>
          <w:szCs w:val="24"/>
          <w:lang w:bidi="ar"/>
        </w:rPr>
        <w:t>=α</w:t>
      </w:r>
      <w:r>
        <w:rPr>
          <w:szCs w:val="16"/>
          <w:lang w:bidi="ar"/>
        </w:rPr>
        <w:t>T</w:t>
      </w:r>
      <w:r>
        <w:rPr>
          <w:szCs w:val="24"/>
          <w:lang w:bidi="ar"/>
        </w:rPr>
        <w:t>×u=0.066m</w:t>
      </w:r>
      <w:r>
        <w:rPr>
          <w:rFonts w:hint="eastAsia"/>
          <w:szCs w:val="24"/>
          <w:vertAlign w:val="superscript"/>
          <w:lang w:bidi="ar"/>
        </w:rPr>
        <w:t>2</w:t>
      </w:r>
      <w:r>
        <w:rPr>
          <w:szCs w:val="24"/>
          <w:lang w:bidi="ar"/>
        </w:rPr>
        <w:t>/d</w:t>
      </w:r>
      <w:r>
        <w:rPr>
          <w:rFonts w:hint="eastAsia" w:cs="宋体"/>
          <w:szCs w:val="24"/>
          <w:lang w:bidi="ar"/>
        </w:rPr>
        <w:t>；</w:t>
      </w:r>
    </w:p>
    <w:p w14:paraId="3DED7B57">
      <w:pPr>
        <w:widowControl/>
        <w:ind w:firstLine="480"/>
        <w:jc w:val="left"/>
      </w:pPr>
      <w:r>
        <w:rPr>
          <w:szCs w:val="24"/>
          <w:lang w:bidi="ar"/>
        </w:rPr>
        <w:t>Π</w:t>
      </w:r>
      <w:r>
        <w:rPr>
          <w:rFonts w:hint="eastAsia" w:cs="宋体"/>
          <w:szCs w:val="24"/>
          <w:lang w:bidi="ar"/>
        </w:rPr>
        <w:t>——圆周率。</w:t>
      </w:r>
    </w:p>
    <w:p w14:paraId="5AA187E1">
      <w:pPr>
        <w:ind w:firstLine="480"/>
        <w:rPr>
          <w:rFonts w:cs="宋体"/>
          <w:szCs w:val="24"/>
        </w:rPr>
      </w:pPr>
      <w:r>
        <w:rPr>
          <w:rFonts w:hint="eastAsia" w:cs="宋体"/>
          <w:szCs w:val="24"/>
        </w:rPr>
        <w:t>⑤预测结果与分析</w:t>
      </w:r>
    </w:p>
    <w:p w14:paraId="01E6A353">
      <w:pPr>
        <w:ind w:firstLine="480"/>
        <w:rPr>
          <w:rFonts w:cs="宋体"/>
          <w:szCs w:val="24"/>
        </w:rPr>
      </w:pPr>
      <w:r>
        <w:rPr>
          <w:rFonts w:hint="eastAsia" w:cs="宋体"/>
          <w:szCs w:val="24"/>
        </w:rPr>
        <w:t>非正常状况下污染物在含水层中运移，在水动力弥散作用下，瞬时注入的污染物示踪剂将产生呈椭圆形的污染晕，污染晕中污染物的浓度由中心向四周逐渐降低。随着水动力弥散作用的进行，污染晕将不断沿水流方向运移，污染晕的范围也会发生变化。</w:t>
      </w:r>
    </w:p>
    <w:p w14:paraId="08145FCD">
      <w:pPr>
        <w:ind w:firstLine="480"/>
        <w:rPr>
          <w:rFonts w:cs="宋体"/>
          <w:szCs w:val="24"/>
        </w:rPr>
      </w:pPr>
      <w:r>
        <w:rPr>
          <w:rFonts w:hint="eastAsia" w:cs="宋体"/>
          <w:szCs w:val="24"/>
        </w:rPr>
        <w:t>在本次预测中，预测了耗氧量、氨氮在不同时间段的运移情况，主要分析了预测因子的运移距离、污染晕的最大浓度和污染晕是否出边界等方面的情况。预测结果见表</w:t>
      </w:r>
      <w:r>
        <w:rPr>
          <w:rFonts w:cs="宋体"/>
          <w:szCs w:val="24"/>
        </w:rPr>
        <w:t>5.2</w:t>
      </w:r>
      <w:r>
        <w:rPr>
          <w:rFonts w:hint="eastAsia" w:cs="宋体"/>
          <w:szCs w:val="24"/>
        </w:rPr>
        <w:t>－</w:t>
      </w:r>
      <w:r>
        <w:rPr>
          <w:rFonts w:cs="宋体"/>
          <w:szCs w:val="24"/>
        </w:rPr>
        <w:t>1</w:t>
      </w:r>
      <w:r>
        <w:rPr>
          <w:rFonts w:hint="eastAsia" w:cs="宋体"/>
          <w:szCs w:val="24"/>
        </w:rPr>
        <w:t>2。</w:t>
      </w:r>
    </w:p>
    <w:p w14:paraId="10ABFB3E">
      <w:pPr>
        <w:ind w:firstLine="0" w:firstLineChars="0"/>
        <w:jc w:val="center"/>
        <w:rPr>
          <w:rFonts w:cs="宋体"/>
          <w:b/>
          <w:szCs w:val="24"/>
        </w:rPr>
      </w:pPr>
      <w:r>
        <w:rPr>
          <w:rFonts w:hint="eastAsia" w:cs="宋体"/>
          <w:b/>
          <w:szCs w:val="24"/>
        </w:rPr>
        <w:t>表</w:t>
      </w:r>
      <w:r>
        <w:rPr>
          <w:rFonts w:cs="宋体"/>
          <w:b/>
          <w:szCs w:val="24"/>
        </w:rPr>
        <w:t>5.2</w:t>
      </w:r>
      <w:r>
        <w:rPr>
          <w:rFonts w:hint="eastAsia" w:cs="宋体"/>
          <w:b/>
          <w:szCs w:val="24"/>
        </w:rPr>
        <w:t>－12项目预测结果统计表</w:t>
      </w:r>
    </w:p>
    <w:tbl>
      <w:tblPr>
        <w:tblStyle w:val="4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473"/>
        <w:gridCol w:w="2290"/>
        <w:gridCol w:w="3577"/>
      </w:tblGrid>
      <w:tr w14:paraId="7027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14:paraId="30D233BC">
            <w:pPr>
              <w:ind w:firstLine="0" w:firstLineChars="0"/>
              <w:jc w:val="center"/>
              <w:rPr>
                <w:rFonts w:cs="宋体"/>
                <w:sz w:val="21"/>
                <w:szCs w:val="24"/>
              </w:rPr>
            </w:pPr>
            <w:r>
              <w:rPr>
                <w:rFonts w:hint="eastAsia" w:cs="宋体"/>
                <w:sz w:val="21"/>
                <w:szCs w:val="24"/>
              </w:rPr>
              <w:t>污染物</w:t>
            </w:r>
          </w:p>
        </w:tc>
        <w:tc>
          <w:tcPr>
            <w:tcW w:w="864" w:type="pct"/>
            <w:vAlign w:val="center"/>
          </w:tcPr>
          <w:p w14:paraId="0B178310">
            <w:pPr>
              <w:ind w:firstLine="0" w:firstLineChars="0"/>
              <w:jc w:val="center"/>
              <w:rPr>
                <w:rFonts w:cs="宋体"/>
                <w:sz w:val="21"/>
                <w:szCs w:val="24"/>
              </w:rPr>
            </w:pPr>
            <w:r>
              <w:rPr>
                <w:rFonts w:hint="eastAsia" w:cs="宋体"/>
                <w:sz w:val="21"/>
                <w:szCs w:val="24"/>
              </w:rPr>
              <w:t>预测时间</w:t>
            </w:r>
          </w:p>
        </w:tc>
        <w:tc>
          <w:tcPr>
            <w:tcW w:w="1343" w:type="pct"/>
            <w:vAlign w:val="center"/>
          </w:tcPr>
          <w:p w14:paraId="200BAAC9">
            <w:pPr>
              <w:ind w:firstLine="0" w:firstLineChars="0"/>
              <w:jc w:val="center"/>
              <w:rPr>
                <w:rFonts w:cs="宋体"/>
                <w:sz w:val="21"/>
                <w:szCs w:val="24"/>
              </w:rPr>
            </w:pPr>
            <w:r>
              <w:rPr>
                <w:rFonts w:hint="eastAsia" w:cs="宋体"/>
                <w:sz w:val="21"/>
                <w:szCs w:val="24"/>
              </w:rPr>
              <w:t>运移距离（m）</w:t>
            </w:r>
          </w:p>
        </w:tc>
        <w:tc>
          <w:tcPr>
            <w:tcW w:w="2098" w:type="pct"/>
            <w:vAlign w:val="center"/>
          </w:tcPr>
          <w:p w14:paraId="7AA3920F">
            <w:pPr>
              <w:ind w:firstLine="0" w:firstLineChars="0"/>
              <w:jc w:val="center"/>
              <w:rPr>
                <w:rFonts w:cs="宋体"/>
                <w:sz w:val="21"/>
                <w:szCs w:val="24"/>
              </w:rPr>
            </w:pPr>
            <w:r>
              <w:rPr>
                <w:rFonts w:hint="eastAsia" w:cs="宋体"/>
                <w:sz w:val="21"/>
                <w:szCs w:val="24"/>
              </w:rPr>
              <w:t>污染物最高值（mg/L）</w:t>
            </w:r>
          </w:p>
        </w:tc>
      </w:tr>
      <w:tr w14:paraId="4EE9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Merge w:val="restart"/>
            <w:vAlign w:val="center"/>
          </w:tcPr>
          <w:p w14:paraId="2AB6762E">
            <w:pPr>
              <w:ind w:firstLine="0" w:firstLineChars="0"/>
              <w:jc w:val="center"/>
              <w:rPr>
                <w:rFonts w:cs="宋体"/>
                <w:sz w:val="21"/>
                <w:szCs w:val="24"/>
              </w:rPr>
            </w:pPr>
            <w:r>
              <w:rPr>
                <w:rFonts w:hint="eastAsia" w:cs="宋体"/>
                <w:sz w:val="21"/>
                <w:szCs w:val="24"/>
              </w:rPr>
              <w:t>耗氧量</w:t>
            </w:r>
          </w:p>
        </w:tc>
        <w:tc>
          <w:tcPr>
            <w:tcW w:w="864" w:type="pct"/>
            <w:vAlign w:val="center"/>
          </w:tcPr>
          <w:p w14:paraId="34E09B81">
            <w:pPr>
              <w:ind w:firstLine="0" w:firstLineChars="0"/>
              <w:jc w:val="center"/>
              <w:rPr>
                <w:rFonts w:cs="宋体"/>
                <w:sz w:val="21"/>
                <w:szCs w:val="24"/>
              </w:rPr>
            </w:pPr>
            <w:r>
              <w:rPr>
                <w:rFonts w:hint="eastAsia" w:cs="宋体"/>
                <w:sz w:val="21"/>
                <w:szCs w:val="24"/>
              </w:rPr>
              <w:t>100d</w:t>
            </w:r>
          </w:p>
        </w:tc>
        <w:tc>
          <w:tcPr>
            <w:tcW w:w="1343" w:type="pct"/>
            <w:vAlign w:val="center"/>
          </w:tcPr>
          <w:p w14:paraId="27BA60B5">
            <w:pPr>
              <w:ind w:firstLine="0" w:firstLineChars="0"/>
              <w:jc w:val="center"/>
              <w:rPr>
                <w:rFonts w:cs="宋体"/>
                <w:sz w:val="21"/>
                <w:szCs w:val="24"/>
              </w:rPr>
            </w:pPr>
            <w:r>
              <w:rPr>
                <w:rFonts w:hint="eastAsia" w:cs="宋体"/>
                <w:sz w:val="21"/>
                <w:szCs w:val="24"/>
              </w:rPr>
              <w:t>27.5</w:t>
            </w:r>
          </w:p>
        </w:tc>
        <w:tc>
          <w:tcPr>
            <w:tcW w:w="2098" w:type="pct"/>
            <w:vAlign w:val="center"/>
          </w:tcPr>
          <w:p w14:paraId="341CC61D">
            <w:pPr>
              <w:ind w:firstLine="0" w:firstLineChars="0"/>
              <w:jc w:val="center"/>
              <w:rPr>
                <w:rFonts w:cs="宋体"/>
                <w:sz w:val="21"/>
                <w:szCs w:val="24"/>
              </w:rPr>
            </w:pPr>
            <w:r>
              <w:rPr>
                <w:rFonts w:hint="eastAsia" w:cs="宋体"/>
                <w:sz w:val="21"/>
                <w:szCs w:val="24"/>
              </w:rPr>
              <w:t>0.007</w:t>
            </w:r>
          </w:p>
        </w:tc>
      </w:tr>
      <w:tr w14:paraId="5E54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Merge w:val="continue"/>
            <w:vAlign w:val="center"/>
          </w:tcPr>
          <w:p w14:paraId="5E0511A5">
            <w:pPr>
              <w:ind w:firstLine="0" w:firstLineChars="0"/>
              <w:jc w:val="center"/>
              <w:rPr>
                <w:rFonts w:cs="宋体"/>
                <w:sz w:val="21"/>
                <w:szCs w:val="24"/>
              </w:rPr>
            </w:pPr>
          </w:p>
        </w:tc>
        <w:tc>
          <w:tcPr>
            <w:tcW w:w="864" w:type="pct"/>
            <w:vAlign w:val="center"/>
          </w:tcPr>
          <w:p w14:paraId="0382C6DB">
            <w:pPr>
              <w:ind w:firstLine="0" w:firstLineChars="0"/>
              <w:jc w:val="center"/>
              <w:rPr>
                <w:rFonts w:cs="宋体"/>
                <w:sz w:val="21"/>
                <w:szCs w:val="24"/>
              </w:rPr>
            </w:pPr>
            <w:r>
              <w:rPr>
                <w:rFonts w:hint="eastAsia" w:cs="宋体"/>
                <w:sz w:val="21"/>
                <w:szCs w:val="24"/>
              </w:rPr>
              <w:t>1000d</w:t>
            </w:r>
          </w:p>
        </w:tc>
        <w:tc>
          <w:tcPr>
            <w:tcW w:w="1343" w:type="pct"/>
            <w:vAlign w:val="center"/>
          </w:tcPr>
          <w:p w14:paraId="4B135FDA">
            <w:pPr>
              <w:ind w:firstLine="0" w:firstLineChars="0"/>
              <w:jc w:val="center"/>
              <w:rPr>
                <w:rFonts w:cs="宋体"/>
                <w:sz w:val="21"/>
                <w:szCs w:val="24"/>
              </w:rPr>
            </w:pPr>
            <w:r>
              <w:rPr>
                <w:rFonts w:hint="eastAsia" w:cs="宋体"/>
                <w:sz w:val="21"/>
                <w:szCs w:val="24"/>
              </w:rPr>
              <w:t>132.1</w:t>
            </w:r>
          </w:p>
        </w:tc>
        <w:tc>
          <w:tcPr>
            <w:tcW w:w="2098" w:type="pct"/>
            <w:vAlign w:val="center"/>
          </w:tcPr>
          <w:p w14:paraId="4151130D">
            <w:pPr>
              <w:ind w:firstLine="0" w:firstLineChars="0"/>
              <w:jc w:val="center"/>
              <w:rPr>
                <w:rFonts w:cs="宋体"/>
                <w:sz w:val="21"/>
                <w:szCs w:val="24"/>
              </w:rPr>
            </w:pPr>
            <w:r>
              <w:rPr>
                <w:rFonts w:hint="eastAsia" w:cs="宋体"/>
                <w:sz w:val="21"/>
                <w:szCs w:val="24"/>
              </w:rPr>
              <w:t>0.001</w:t>
            </w:r>
          </w:p>
        </w:tc>
      </w:tr>
      <w:tr w14:paraId="5721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Merge w:val="restart"/>
            <w:vAlign w:val="center"/>
          </w:tcPr>
          <w:p w14:paraId="6F884EDD">
            <w:pPr>
              <w:ind w:firstLine="0" w:firstLineChars="0"/>
              <w:jc w:val="center"/>
              <w:rPr>
                <w:rFonts w:cs="宋体"/>
                <w:sz w:val="21"/>
                <w:szCs w:val="24"/>
              </w:rPr>
            </w:pPr>
            <w:r>
              <w:rPr>
                <w:rFonts w:hint="eastAsia" w:cs="宋体"/>
                <w:sz w:val="21"/>
                <w:szCs w:val="24"/>
              </w:rPr>
              <w:t>氨氮</w:t>
            </w:r>
          </w:p>
        </w:tc>
        <w:tc>
          <w:tcPr>
            <w:tcW w:w="864" w:type="pct"/>
            <w:vAlign w:val="center"/>
          </w:tcPr>
          <w:p w14:paraId="5B467995">
            <w:pPr>
              <w:ind w:firstLine="0" w:firstLineChars="0"/>
              <w:jc w:val="center"/>
              <w:rPr>
                <w:rFonts w:cs="宋体"/>
                <w:sz w:val="21"/>
                <w:szCs w:val="24"/>
              </w:rPr>
            </w:pPr>
            <w:r>
              <w:rPr>
                <w:rFonts w:hint="eastAsia" w:cs="宋体"/>
                <w:sz w:val="21"/>
                <w:szCs w:val="24"/>
              </w:rPr>
              <w:t>100d</w:t>
            </w:r>
          </w:p>
        </w:tc>
        <w:tc>
          <w:tcPr>
            <w:tcW w:w="1343" w:type="pct"/>
            <w:vAlign w:val="center"/>
          </w:tcPr>
          <w:p w14:paraId="39B3285D">
            <w:pPr>
              <w:ind w:firstLine="0" w:firstLineChars="0"/>
              <w:jc w:val="center"/>
              <w:rPr>
                <w:rFonts w:cs="宋体"/>
                <w:sz w:val="21"/>
                <w:szCs w:val="24"/>
              </w:rPr>
            </w:pPr>
            <w:r>
              <w:rPr>
                <w:rFonts w:hint="eastAsia" w:cs="宋体"/>
                <w:sz w:val="21"/>
                <w:szCs w:val="24"/>
              </w:rPr>
              <w:t>28.4</w:t>
            </w:r>
          </w:p>
        </w:tc>
        <w:tc>
          <w:tcPr>
            <w:tcW w:w="2098" w:type="pct"/>
            <w:vAlign w:val="center"/>
          </w:tcPr>
          <w:p w14:paraId="29204C75">
            <w:pPr>
              <w:ind w:firstLine="0" w:firstLineChars="0"/>
              <w:jc w:val="center"/>
              <w:rPr>
                <w:rFonts w:cs="宋体"/>
                <w:sz w:val="21"/>
                <w:szCs w:val="24"/>
              </w:rPr>
            </w:pPr>
            <w:r>
              <w:rPr>
                <w:rFonts w:hint="eastAsia" w:cs="宋体"/>
                <w:sz w:val="21"/>
                <w:szCs w:val="24"/>
              </w:rPr>
              <w:t>0.002</w:t>
            </w:r>
          </w:p>
        </w:tc>
      </w:tr>
      <w:tr w14:paraId="2DD5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Merge w:val="continue"/>
            <w:vAlign w:val="center"/>
          </w:tcPr>
          <w:p w14:paraId="49DD390B">
            <w:pPr>
              <w:ind w:firstLine="0" w:firstLineChars="0"/>
              <w:jc w:val="center"/>
              <w:rPr>
                <w:rFonts w:cs="宋体"/>
                <w:sz w:val="21"/>
                <w:szCs w:val="24"/>
              </w:rPr>
            </w:pPr>
          </w:p>
        </w:tc>
        <w:tc>
          <w:tcPr>
            <w:tcW w:w="864" w:type="pct"/>
            <w:vAlign w:val="center"/>
          </w:tcPr>
          <w:p w14:paraId="46E235BC">
            <w:pPr>
              <w:ind w:firstLine="0" w:firstLineChars="0"/>
              <w:jc w:val="center"/>
              <w:rPr>
                <w:rFonts w:cs="宋体"/>
                <w:sz w:val="21"/>
                <w:szCs w:val="24"/>
              </w:rPr>
            </w:pPr>
            <w:r>
              <w:rPr>
                <w:rFonts w:hint="eastAsia" w:cs="宋体"/>
                <w:sz w:val="21"/>
                <w:szCs w:val="24"/>
              </w:rPr>
              <w:t>1000d</w:t>
            </w:r>
          </w:p>
        </w:tc>
        <w:tc>
          <w:tcPr>
            <w:tcW w:w="1343" w:type="pct"/>
            <w:vAlign w:val="center"/>
          </w:tcPr>
          <w:p w14:paraId="6F3445DC">
            <w:pPr>
              <w:ind w:firstLine="0" w:firstLineChars="0"/>
              <w:jc w:val="center"/>
              <w:rPr>
                <w:rFonts w:cs="宋体"/>
                <w:sz w:val="21"/>
                <w:szCs w:val="24"/>
              </w:rPr>
            </w:pPr>
            <w:r>
              <w:rPr>
                <w:rFonts w:hint="eastAsia" w:cs="宋体"/>
                <w:sz w:val="21"/>
                <w:szCs w:val="24"/>
              </w:rPr>
              <w:t>135.6</w:t>
            </w:r>
          </w:p>
        </w:tc>
        <w:tc>
          <w:tcPr>
            <w:tcW w:w="2098" w:type="pct"/>
            <w:vAlign w:val="center"/>
          </w:tcPr>
          <w:p w14:paraId="4368FD96">
            <w:pPr>
              <w:ind w:firstLine="0" w:firstLineChars="0"/>
              <w:jc w:val="center"/>
              <w:rPr>
                <w:rFonts w:cs="宋体"/>
                <w:sz w:val="21"/>
                <w:szCs w:val="24"/>
              </w:rPr>
            </w:pPr>
            <w:r>
              <w:rPr>
                <w:rFonts w:hint="eastAsia" w:cs="宋体"/>
                <w:sz w:val="21"/>
                <w:szCs w:val="24"/>
              </w:rPr>
              <w:t>0.0002</w:t>
            </w:r>
          </w:p>
        </w:tc>
      </w:tr>
    </w:tbl>
    <w:p w14:paraId="679083B5">
      <w:pPr>
        <w:ind w:firstLine="480"/>
        <w:rPr>
          <w:rFonts w:cs="宋体"/>
          <w:szCs w:val="24"/>
        </w:rPr>
      </w:pPr>
      <w:r>
        <w:rPr>
          <w:rFonts w:hint="eastAsia" w:cs="宋体"/>
          <w:szCs w:val="24"/>
        </w:rPr>
        <w:t>⑥预测结果分析</w:t>
      </w:r>
    </w:p>
    <w:p w14:paraId="2E1993E4">
      <w:pPr>
        <w:ind w:firstLine="480"/>
        <w:rPr>
          <w:rFonts w:cs="宋体"/>
          <w:szCs w:val="24"/>
        </w:rPr>
      </w:pPr>
      <w:r>
        <w:rPr>
          <w:rFonts w:hint="eastAsia" w:cs="宋体"/>
          <w:szCs w:val="24"/>
        </w:rPr>
        <w:t>1）在正常状况下，项目设施的维护和管理有专人负责，防止粪污的跑冒滴漏和非正常状况发生。项目场区已按《环境影响评价技术导则地下水环境》（HJ610－2016）中防渗技术要求进行场区地面防渗处理，不会对地下水环境造成影响。</w:t>
      </w:r>
    </w:p>
    <w:p w14:paraId="264B6334">
      <w:pPr>
        <w:ind w:firstLine="480"/>
        <w:rPr>
          <w:rFonts w:cs="宋体"/>
          <w:szCs w:val="24"/>
        </w:rPr>
      </w:pPr>
      <w:r>
        <w:rPr>
          <w:rFonts w:hint="eastAsia" w:cs="宋体"/>
          <w:szCs w:val="24"/>
        </w:rPr>
        <w:t>2）非正常状况下，污染物在含水层中运移预测显示，污染物在水动力条件作用下主要由西北向东南方向运移，且本区地下水水力梯度较小，污染物迁移较慢，不适宜污染物的稀释和净化。由预测结果可知，经过100d的运移，耗氧量由污染晕中心点最高浓度0.007mg/L，污染晕中心点最高浓度已低于标准值，运移最远距离为27.5m，未超出场界；经过1000d的运移，污染晕中心点最高浓度已低于标准值；氨氮污染晕中心点最高浓度0.002mg/L，污染晕中心点最高浓度已低于标准值，运移最远距离为28.4m，未超出场界；经过1000d的运移，污染晕中心点最高浓度已低于标准值。</w:t>
      </w:r>
    </w:p>
    <w:p w14:paraId="35297F68">
      <w:pPr>
        <w:ind w:firstLine="480"/>
        <w:rPr>
          <w:rFonts w:cs="宋体"/>
          <w:szCs w:val="24"/>
        </w:rPr>
      </w:pPr>
      <w:r>
        <w:rPr>
          <w:rFonts w:hint="eastAsia" w:cs="宋体"/>
          <w:szCs w:val="24"/>
        </w:rPr>
        <w:t>综上所述，正常状况下，项目产生污染物不会对地下水环境造成影响；非正常状况下，如果项目不进行防渗处理措施，污染物进入地下水后会对场界内地下水环境造成污染，但污染物对地下水污染最远运移距离未超出场界。因此，需要建设单位加强设施的维护和管理，防止管道、阀门的跑冒滴漏和非正常状况情况发生，按《环境影响评价技术导则地下水环境》（HJ610－2016）中防渗技术要求进行场区地面防渗处理。</w:t>
      </w:r>
    </w:p>
    <w:p w14:paraId="1409977E">
      <w:pPr>
        <w:ind w:firstLine="480"/>
        <w:rPr>
          <w:rFonts w:cs="宋体"/>
          <w:szCs w:val="24"/>
        </w:rPr>
      </w:pPr>
      <w:r>
        <w:rPr>
          <w:rFonts w:hint="eastAsia" w:cs="宋体"/>
          <w:szCs w:val="24"/>
        </w:rPr>
        <w:t>⑦</w:t>
      </w:r>
      <w:r>
        <w:rPr>
          <w:rFonts w:cs="宋体"/>
          <w:szCs w:val="24"/>
        </w:rPr>
        <w:t>预防措施</w:t>
      </w:r>
    </w:p>
    <w:p w14:paraId="4F058707">
      <w:pPr>
        <w:ind w:firstLine="480"/>
        <w:rPr>
          <w:rFonts w:cs="宋体"/>
          <w:szCs w:val="24"/>
        </w:rPr>
      </w:pPr>
      <w:r>
        <w:rPr>
          <w:szCs w:val="24"/>
        </w:rPr>
        <w:t>A</w:t>
      </w:r>
      <w:r>
        <w:rPr>
          <w:rFonts w:cs="宋体"/>
          <w:szCs w:val="24"/>
        </w:rPr>
        <w:t>、污染源控制措施</w:t>
      </w:r>
    </w:p>
    <w:p w14:paraId="2219F19C">
      <w:pPr>
        <w:ind w:firstLine="480"/>
        <w:rPr>
          <w:rFonts w:cs="宋体"/>
          <w:szCs w:val="24"/>
        </w:rPr>
      </w:pPr>
      <w:r>
        <w:rPr>
          <w:rFonts w:cs="宋体"/>
          <w:szCs w:val="24"/>
        </w:rPr>
        <w:t>本项目严格按照国家相关规范要求，对工艺、管道、设备、污水储存采取相应的措施，以防止和降低污染物的跑、冒、滴、漏，将污染物泄漏的环境风险事故降低到最低程度；加强管理，</w:t>
      </w:r>
      <w:r>
        <w:rPr>
          <w:rFonts w:hint="eastAsia" w:cs="宋体"/>
          <w:szCs w:val="24"/>
        </w:rPr>
        <w:t>骆驼圈舍</w:t>
      </w:r>
      <w:r>
        <w:rPr>
          <w:rFonts w:cs="宋体"/>
          <w:szCs w:val="24"/>
        </w:rPr>
        <w:t>产生的粪便做到日产日清，特别是雨天来临之前要及时清理干净；殖废水收集运输管道要经常检查，防止污水泄漏</w:t>
      </w:r>
      <w:r>
        <w:rPr>
          <w:rFonts w:hint="eastAsia" w:cs="宋体"/>
          <w:szCs w:val="24"/>
        </w:rPr>
        <w:t>。</w:t>
      </w:r>
      <w:r>
        <w:rPr>
          <w:rFonts w:hint="eastAsia" w:cs="宋体"/>
          <w:szCs w:val="24"/>
          <w:lang w:val="en-US" w:eastAsia="zh-CN"/>
        </w:rPr>
        <w:t>渗滤液同</w:t>
      </w:r>
      <w:r>
        <w:rPr>
          <w:rFonts w:cs="宋体"/>
          <w:szCs w:val="24"/>
        </w:rPr>
        <w:t>生活污水</w:t>
      </w:r>
      <w:r>
        <w:rPr>
          <w:rFonts w:hint="eastAsia" w:cs="宋体"/>
          <w:szCs w:val="24"/>
        </w:rPr>
        <w:t>排入防渗化粪池，由木垒县污水处理厂处理</w:t>
      </w:r>
      <w:r>
        <w:rPr>
          <w:rFonts w:cs="宋体"/>
          <w:szCs w:val="24"/>
        </w:rPr>
        <w:t>，最终进入</w:t>
      </w:r>
      <w:r>
        <w:rPr>
          <w:rFonts w:hint="eastAsia" w:cs="宋体"/>
          <w:szCs w:val="24"/>
        </w:rPr>
        <w:t>木垒县</w:t>
      </w:r>
      <w:r>
        <w:rPr>
          <w:rFonts w:cs="宋体"/>
          <w:szCs w:val="24"/>
        </w:rPr>
        <w:t>城污水处理厂</w:t>
      </w:r>
      <w:r>
        <w:rPr>
          <w:rFonts w:hint="eastAsia" w:cs="宋体"/>
          <w:szCs w:val="24"/>
        </w:rPr>
        <w:t>。</w:t>
      </w:r>
    </w:p>
    <w:p w14:paraId="5856ADE2">
      <w:pPr>
        <w:ind w:firstLine="480"/>
        <w:rPr>
          <w:rFonts w:cs="宋体"/>
          <w:szCs w:val="24"/>
        </w:rPr>
      </w:pPr>
      <w:r>
        <w:rPr>
          <w:rFonts w:cs="宋体"/>
          <w:szCs w:val="24"/>
        </w:rPr>
        <w:t>根据《畜禽养殖业污染防治技术规范》</w:t>
      </w:r>
      <w:r>
        <w:rPr>
          <w:rFonts w:hint="eastAsia" w:cs="宋体"/>
          <w:szCs w:val="24"/>
        </w:rPr>
        <w:t>（</w:t>
      </w:r>
      <w:r>
        <w:rPr>
          <w:szCs w:val="24"/>
        </w:rPr>
        <w:t>HJ/T81-2001</w:t>
      </w:r>
      <w:r>
        <w:rPr>
          <w:rFonts w:hint="eastAsia" w:cs="宋体"/>
          <w:szCs w:val="24"/>
        </w:rPr>
        <w:t>）</w:t>
      </w:r>
      <w:r>
        <w:rPr>
          <w:rFonts w:cs="宋体"/>
          <w:szCs w:val="24"/>
        </w:rPr>
        <w:t>中相关规定：</w:t>
      </w:r>
    </w:p>
    <w:p w14:paraId="1059AA7F">
      <w:pPr>
        <w:ind w:firstLine="480"/>
        <w:rPr>
          <w:rFonts w:cs="宋体"/>
          <w:szCs w:val="24"/>
        </w:rPr>
      </w:pPr>
      <w:r>
        <w:rPr>
          <w:szCs w:val="24"/>
        </w:rPr>
        <w:t>a</w:t>
      </w:r>
      <w:r>
        <w:rPr>
          <w:rFonts w:cs="宋体"/>
          <w:szCs w:val="24"/>
        </w:rPr>
        <w:t>、养殖场的排水系统应实行雨水和污水收集输送系统分离，在场区内外设置的污水收集输送系统，不得采取明沟布设</w:t>
      </w:r>
      <w:r>
        <w:rPr>
          <w:rFonts w:hint="eastAsia" w:cs="宋体"/>
          <w:szCs w:val="24"/>
        </w:rPr>
        <w:t>。</w:t>
      </w:r>
    </w:p>
    <w:p w14:paraId="5AEE731F">
      <w:pPr>
        <w:ind w:firstLine="480"/>
        <w:rPr>
          <w:rFonts w:cs="宋体"/>
          <w:szCs w:val="24"/>
        </w:rPr>
      </w:pPr>
      <w:r>
        <w:rPr>
          <w:szCs w:val="24"/>
        </w:rPr>
        <w:t>b</w:t>
      </w:r>
      <w:r>
        <w:rPr>
          <w:rFonts w:cs="宋体"/>
          <w:szCs w:val="24"/>
        </w:rPr>
        <w:t>、贮存设施应采取有效的防渗处理工艺，防止畜禽粪便污染地下水</w:t>
      </w:r>
      <w:r>
        <w:rPr>
          <w:rFonts w:hint="eastAsia" w:cs="宋体"/>
          <w:szCs w:val="24"/>
        </w:rPr>
        <w:t>。</w:t>
      </w:r>
    </w:p>
    <w:p w14:paraId="08C353D1">
      <w:pPr>
        <w:ind w:firstLine="480"/>
        <w:rPr>
          <w:rFonts w:cs="宋体"/>
          <w:szCs w:val="24"/>
        </w:rPr>
      </w:pPr>
      <w:r>
        <w:rPr>
          <w:rFonts w:cs="宋体"/>
          <w:szCs w:val="24"/>
        </w:rPr>
        <w:t>因此，企业必须建立排污沟时，可采用沟渠</w:t>
      </w:r>
      <w:r>
        <w:rPr>
          <w:rFonts w:hint="eastAsia" w:cs="宋体"/>
          <w:szCs w:val="24"/>
        </w:rPr>
        <w:t>。</w:t>
      </w:r>
      <w:r>
        <w:rPr>
          <w:rFonts w:cs="宋体"/>
          <w:szCs w:val="24"/>
        </w:rPr>
        <w:t>排污沟应采取沟渠形式，同时应具备防止淤积以利于定期清理的条件，排污沟应采取硬化措施</w:t>
      </w:r>
      <w:r>
        <w:rPr>
          <w:rFonts w:hint="eastAsia" w:cs="宋体"/>
          <w:szCs w:val="24"/>
        </w:rPr>
        <w:t>。</w:t>
      </w:r>
    </w:p>
    <w:p w14:paraId="48732D73">
      <w:pPr>
        <w:ind w:firstLine="480"/>
        <w:rPr>
          <w:rFonts w:cs="宋体"/>
          <w:szCs w:val="24"/>
        </w:rPr>
      </w:pPr>
      <w:r>
        <w:rPr>
          <w:szCs w:val="24"/>
        </w:rPr>
        <w:t>B</w:t>
      </w:r>
      <w:r>
        <w:rPr>
          <w:rFonts w:cs="宋体"/>
          <w:szCs w:val="24"/>
        </w:rPr>
        <w:t>、防渗措施</w:t>
      </w:r>
    </w:p>
    <w:p w14:paraId="05A37B48">
      <w:pPr>
        <w:ind w:firstLine="480"/>
        <w:rPr>
          <w:rFonts w:cs="宋体"/>
          <w:szCs w:val="24"/>
        </w:rPr>
      </w:pPr>
      <w:r>
        <w:rPr>
          <w:rFonts w:cs="宋体"/>
          <w:szCs w:val="24"/>
        </w:rPr>
        <w:t>根据《环境影响评价技术导则地下水环境》</w:t>
      </w:r>
      <w:r>
        <w:rPr>
          <w:rFonts w:hint="eastAsia" w:cs="宋体"/>
          <w:szCs w:val="24"/>
        </w:rPr>
        <w:t>（</w:t>
      </w:r>
      <w:r>
        <w:rPr>
          <w:szCs w:val="24"/>
        </w:rPr>
        <w:t>HJ610-2016</w:t>
      </w:r>
      <w:r>
        <w:rPr>
          <w:rFonts w:hint="eastAsia" w:cs="宋体"/>
          <w:szCs w:val="24"/>
        </w:rPr>
        <w:t>）</w:t>
      </w:r>
      <w:r>
        <w:rPr>
          <w:rFonts w:cs="宋体"/>
          <w:szCs w:val="24"/>
        </w:rPr>
        <w:t>要求，将地下水污染防渗分区分为三个级别：重点防渗区、一般防渗区、简单防渗区，防渗分区判定如下</w:t>
      </w:r>
      <w:r>
        <w:rPr>
          <w:rFonts w:hint="eastAsia" w:cs="宋体"/>
          <w:szCs w:val="24"/>
        </w:rPr>
        <w:t>。</w:t>
      </w:r>
    </w:p>
    <w:p w14:paraId="6BBD3F36">
      <w:pPr>
        <w:ind w:firstLine="0" w:firstLineChars="0"/>
        <w:jc w:val="center"/>
        <w:rPr>
          <w:b/>
          <w:bCs/>
        </w:rPr>
      </w:pPr>
      <w:r>
        <w:rPr>
          <w:rFonts w:cs="黑体"/>
          <w:b/>
          <w:bCs/>
          <w:szCs w:val="21"/>
        </w:rPr>
        <w:t>表</w:t>
      </w:r>
      <w:r>
        <w:rPr>
          <w:rFonts w:hint="eastAsia"/>
          <w:b/>
          <w:bCs/>
          <w:szCs w:val="21"/>
        </w:rPr>
        <w:t>5</w:t>
      </w:r>
      <w:r>
        <w:rPr>
          <w:b/>
          <w:bCs/>
          <w:szCs w:val="21"/>
        </w:rPr>
        <w:t>.2-1</w:t>
      </w:r>
      <w:r>
        <w:rPr>
          <w:rFonts w:hint="eastAsia"/>
          <w:b/>
          <w:bCs/>
          <w:szCs w:val="21"/>
        </w:rPr>
        <w:t>3</w:t>
      </w:r>
      <w:r>
        <w:rPr>
          <w:rFonts w:cs="黑体"/>
          <w:b/>
          <w:bCs/>
          <w:szCs w:val="21"/>
        </w:rPr>
        <w:t>污染控制难易程度分级参照表</w:t>
      </w:r>
    </w:p>
    <w:tbl>
      <w:tblPr>
        <w:tblStyle w:val="183"/>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01"/>
        <w:gridCol w:w="6309"/>
      </w:tblGrid>
      <w:tr w14:paraId="4F371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1204" w:type="pct"/>
            <w:vAlign w:val="center"/>
          </w:tcPr>
          <w:p w14:paraId="562EF473">
            <w:pPr>
              <w:ind w:firstLine="0" w:firstLineChars="0"/>
              <w:jc w:val="center"/>
              <w:rPr>
                <w:rFonts w:cs="宋体"/>
                <w:sz w:val="21"/>
                <w:szCs w:val="21"/>
              </w:rPr>
            </w:pPr>
            <w:r>
              <w:rPr>
                <w:rFonts w:cs="宋体"/>
                <w:sz w:val="21"/>
                <w:szCs w:val="21"/>
              </w:rPr>
              <w:t>污染控制难易程度</w:t>
            </w:r>
          </w:p>
        </w:tc>
        <w:tc>
          <w:tcPr>
            <w:tcW w:w="3795" w:type="pct"/>
            <w:vAlign w:val="center"/>
          </w:tcPr>
          <w:p w14:paraId="6264C71A">
            <w:pPr>
              <w:ind w:firstLine="0" w:firstLineChars="0"/>
              <w:jc w:val="center"/>
              <w:rPr>
                <w:rFonts w:cs="宋体"/>
                <w:sz w:val="21"/>
                <w:szCs w:val="21"/>
              </w:rPr>
            </w:pPr>
            <w:r>
              <w:rPr>
                <w:rFonts w:cs="宋体"/>
                <w:sz w:val="21"/>
                <w:szCs w:val="21"/>
              </w:rPr>
              <w:t>污染物类型</w:t>
            </w:r>
          </w:p>
        </w:tc>
      </w:tr>
      <w:tr w14:paraId="7715D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204" w:type="pct"/>
            <w:vAlign w:val="center"/>
          </w:tcPr>
          <w:p w14:paraId="10586440">
            <w:pPr>
              <w:ind w:firstLine="0" w:firstLineChars="0"/>
              <w:jc w:val="center"/>
              <w:rPr>
                <w:rFonts w:cs="宋体"/>
                <w:sz w:val="21"/>
                <w:szCs w:val="21"/>
              </w:rPr>
            </w:pPr>
            <w:r>
              <w:rPr>
                <w:rFonts w:cs="宋体"/>
                <w:sz w:val="21"/>
                <w:szCs w:val="21"/>
              </w:rPr>
              <w:t>难</w:t>
            </w:r>
          </w:p>
        </w:tc>
        <w:tc>
          <w:tcPr>
            <w:tcW w:w="3795" w:type="pct"/>
            <w:vAlign w:val="center"/>
          </w:tcPr>
          <w:p w14:paraId="2A0AB030">
            <w:pPr>
              <w:ind w:firstLine="0" w:firstLineChars="0"/>
              <w:jc w:val="center"/>
              <w:rPr>
                <w:rFonts w:cs="宋体"/>
                <w:sz w:val="21"/>
                <w:szCs w:val="21"/>
              </w:rPr>
            </w:pPr>
            <w:r>
              <w:rPr>
                <w:rFonts w:cs="宋体"/>
                <w:sz w:val="21"/>
                <w:szCs w:val="21"/>
              </w:rPr>
              <w:t>对地下水环境有污染的物料或污染物泄漏后，不能及时发现和处理</w:t>
            </w:r>
          </w:p>
        </w:tc>
      </w:tr>
      <w:tr w14:paraId="65867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04" w:type="pct"/>
            <w:vAlign w:val="center"/>
          </w:tcPr>
          <w:p w14:paraId="1C36DF71">
            <w:pPr>
              <w:ind w:firstLine="0" w:firstLineChars="0"/>
              <w:jc w:val="center"/>
              <w:rPr>
                <w:rFonts w:cs="宋体"/>
                <w:sz w:val="21"/>
                <w:szCs w:val="21"/>
              </w:rPr>
            </w:pPr>
            <w:r>
              <w:rPr>
                <w:rFonts w:cs="宋体"/>
                <w:sz w:val="21"/>
                <w:szCs w:val="21"/>
              </w:rPr>
              <w:t>易</w:t>
            </w:r>
          </w:p>
        </w:tc>
        <w:tc>
          <w:tcPr>
            <w:tcW w:w="3795" w:type="pct"/>
            <w:vAlign w:val="center"/>
          </w:tcPr>
          <w:p w14:paraId="0026A4A2">
            <w:pPr>
              <w:ind w:firstLine="0" w:firstLineChars="0"/>
              <w:jc w:val="center"/>
              <w:rPr>
                <w:rFonts w:cs="宋体"/>
                <w:sz w:val="21"/>
                <w:szCs w:val="21"/>
              </w:rPr>
            </w:pPr>
            <w:r>
              <w:rPr>
                <w:rFonts w:cs="宋体"/>
                <w:sz w:val="21"/>
                <w:szCs w:val="21"/>
              </w:rPr>
              <w:t>对地下水环境有污染的物料或污染物泄漏后，可及时发现和处理</w:t>
            </w:r>
          </w:p>
        </w:tc>
      </w:tr>
    </w:tbl>
    <w:p w14:paraId="73CD382E">
      <w:pPr>
        <w:ind w:firstLine="0" w:firstLineChars="0"/>
        <w:jc w:val="center"/>
        <w:rPr>
          <w:b/>
          <w:bCs/>
        </w:rPr>
      </w:pPr>
      <w:r>
        <w:rPr>
          <w:rFonts w:cs="黑体"/>
          <w:b/>
          <w:bCs/>
          <w:szCs w:val="21"/>
        </w:rPr>
        <w:t>表</w:t>
      </w:r>
      <w:r>
        <w:rPr>
          <w:rFonts w:hint="eastAsia"/>
          <w:b/>
          <w:bCs/>
          <w:szCs w:val="21"/>
        </w:rPr>
        <w:t>5</w:t>
      </w:r>
      <w:r>
        <w:rPr>
          <w:b/>
          <w:bCs/>
          <w:szCs w:val="21"/>
        </w:rPr>
        <w:t>.2-1</w:t>
      </w:r>
      <w:r>
        <w:rPr>
          <w:rFonts w:hint="eastAsia"/>
          <w:b/>
          <w:bCs/>
          <w:szCs w:val="21"/>
        </w:rPr>
        <w:t>4</w:t>
      </w:r>
      <w:r>
        <w:rPr>
          <w:rFonts w:cs="黑体"/>
          <w:b/>
          <w:bCs/>
          <w:szCs w:val="21"/>
        </w:rPr>
        <w:t>天然包气带防污性能分级参照表</w:t>
      </w:r>
    </w:p>
    <w:tbl>
      <w:tblPr>
        <w:tblStyle w:val="183"/>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1"/>
        <w:gridCol w:w="7669"/>
      </w:tblGrid>
      <w:tr w14:paraId="7B789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86" w:type="pct"/>
            <w:vAlign w:val="center"/>
          </w:tcPr>
          <w:p w14:paraId="22F13B31">
            <w:pPr>
              <w:ind w:firstLine="0" w:firstLineChars="0"/>
              <w:jc w:val="center"/>
              <w:rPr>
                <w:rFonts w:cs="宋体"/>
                <w:sz w:val="21"/>
                <w:szCs w:val="21"/>
              </w:rPr>
            </w:pPr>
            <w:r>
              <w:rPr>
                <w:rFonts w:cs="宋体"/>
                <w:sz w:val="21"/>
                <w:szCs w:val="21"/>
              </w:rPr>
              <w:t>分级</w:t>
            </w:r>
          </w:p>
        </w:tc>
        <w:tc>
          <w:tcPr>
            <w:tcW w:w="4613" w:type="pct"/>
            <w:vAlign w:val="center"/>
          </w:tcPr>
          <w:p w14:paraId="1B7891A8">
            <w:pPr>
              <w:ind w:firstLine="0" w:firstLineChars="0"/>
              <w:jc w:val="center"/>
              <w:rPr>
                <w:rFonts w:cs="宋体"/>
                <w:sz w:val="21"/>
                <w:szCs w:val="21"/>
              </w:rPr>
            </w:pPr>
            <w:r>
              <w:rPr>
                <w:rFonts w:cs="宋体"/>
                <w:sz w:val="21"/>
                <w:szCs w:val="21"/>
              </w:rPr>
              <w:t>包气带岩土的渗透性能</w:t>
            </w:r>
          </w:p>
        </w:tc>
      </w:tr>
      <w:tr w14:paraId="2F4C0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86" w:type="pct"/>
            <w:vAlign w:val="center"/>
          </w:tcPr>
          <w:p w14:paraId="5D7D0781">
            <w:pPr>
              <w:ind w:firstLine="0" w:firstLineChars="0"/>
              <w:jc w:val="center"/>
              <w:rPr>
                <w:rFonts w:cs="宋体"/>
                <w:sz w:val="21"/>
                <w:szCs w:val="21"/>
              </w:rPr>
            </w:pPr>
            <w:r>
              <w:rPr>
                <w:rFonts w:cs="宋体"/>
                <w:sz w:val="21"/>
                <w:szCs w:val="21"/>
              </w:rPr>
              <w:t>强</w:t>
            </w:r>
          </w:p>
        </w:tc>
        <w:tc>
          <w:tcPr>
            <w:tcW w:w="4613" w:type="pct"/>
            <w:vAlign w:val="center"/>
          </w:tcPr>
          <w:p w14:paraId="2095D654">
            <w:pPr>
              <w:ind w:firstLine="0" w:firstLineChars="0"/>
              <w:jc w:val="center"/>
              <w:rPr>
                <w:rFonts w:cs="宋体"/>
                <w:sz w:val="21"/>
                <w:szCs w:val="21"/>
              </w:rPr>
            </w:pPr>
            <w:r>
              <w:rPr>
                <w:rFonts w:cs="宋体"/>
                <w:sz w:val="21"/>
                <w:szCs w:val="21"/>
              </w:rPr>
              <w:t>岩</w:t>
            </w:r>
            <w:r>
              <w:rPr>
                <w:rFonts w:hint="eastAsia" w:cs="宋体"/>
                <w:sz w:val="21"/>
                <w:szCs w:val="21"/>
              </w:rPr>
              <w:t>（</w:t>
            </w:r>
            <w:r>
              <w:rPr>
                <w:rFonts w:cs="宋体"/>
                <w:sz w:val="21"/>
                <w:szCs w:val="21"/>
              </w:rPr>
              <w:t>土</w:t>
            </w:r>
            <w:r>
              <w:rPr>
                <w:rFonts w:hint="eastAsia" w:cs="宋体"/>
                <w:sz w:val="21"/>
                <w:szCs w:val="21"/>
              </w:rPr>
              <w:t>）</w:t>
            </w:r>
            <w:r>
              <w:rPr>
                <w:rFonts w:cs="宋体"/>
                <w:sz w:val="21"/>
                <w:szCs w:val="21"/>
              </w:rPr>
              <w:t>层单层厚度</w:t>
            </w:r>
            <w:r>
              <w:rPr>
                <w:sz w:val="21"/>
                <w:szCs w:val="21"/>
              </w:rPr>
              <w:t>Mb≥1.0m</w:t>
            </w:r>
            <w:r>
              <w:rPr>
                <w:rFonts w:cs="宋体"/>
                <w:sz w:val="21"/>
                <w:szCs w:val="21"/>
              </w:rPr>
              <w:t>，渗透系数</w:t>
            </w:r>
            <w:r>
              <w:rPr>
                <w:sz w:val="21"/>
                <w:szCs w:val="21"/>
              </w:rPr>
              <w:t>K≤1×10</w:t>
            </w:r>
            <w:r>
              <w:rPr>
                <w:sz w:val="21"/>
                <w:szCs w:val="14"/>
                <w:vertAlign w:val="superscript"/>
              </w:rPr>
              <w:t>-6</w:t>
            </w:r>
            <w:r>
              <w:rPr>
                <w:sz w:val="21"/>
                <w:szCs w:val="21"/>
              </w:rPr>
              <w:t>cm/s</w:t>
            </w:r>
            <w:r>
              <w:rPr>
                <w:rFonts w:cs="宋体"/>
                <w:sz w:val="21"/>
                <w:szCs w:val="21"/>
              </w:rPr>
              <w:t>，且分布连续、稳定</w:t>
            </w:r>
          </w:p>
        </w:tc>
      </w:tr>
      <w:tr w14:paraId="4CC9B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386" w:type="pct"/>
            <w:vAlign w:val="center"/>
          </w:tcPr>
          <w:p w14:paraId="13DB4170">
            <w:pPr>
              <w:ind w:firstLine="0" w:firstLineChars="0"/>
              <w:jc w:val="center"/>
              <w:rPr>
                <w:rFonts w:cs="宋体"/>
                <w:sz w:val="21"/>
                <w:szCs w:val="21"/>
              </w:rPr>
            </w:pPr>
            <w:r>
              <w:rPr>
                <w:rFonts w:cs="宋体"/>
                <w:sz w:val="21"/>
                <w:szCs w:val="21"/>
              </w:rPr>
              <w:t>中</w:t>
            </w:r>
          </w:p>
        </w:tc>
        <w:tc>
          <w:tcPr>
            <w:tcW w:w="4613" w:type="pct"/>
            <w:vAlign w:val="center"/>
          </w:tcPr>
          <w:p w14:paraId="5D6A2992">
            <w:pPr>
              <w:ind w:firstLine="0" w:firstLineChars="0"/>
              <w:jc w:val="center"/>
              <w:rPr>
                <w:rFonts w:cs="宋体"/>
                <w:sz w:val="21"/>
                <w:szCs w:val="21"/>
              </w:rPr>
            </w:pPr>
            <w:r>
              <w:rPr>
                <w:rFonts w:cs="宋体"/>
                <w:sz w:val="21"/>
                <w:szCs w:val="21"/>
              </w:rPr>
              <w:t>岩</w:t>
            </w:r>
            <w:r>
              <w:rPr>
                <w:rFonts w:hint="eastAsia" w:cs="宋体"/>
                <w:sz w:val="21"/>
                <w:szCs w:val="21"/>
              </w:rPr>
              <w:t>（</w:t>
            </w:r>
            <w:r>
              <w:rPr>
                <w:rFonts w:cs="宋体"/>
                <w:sz w:val="21"/>
                <w:szCs w:val="21"/>
              </w:rPr>
              <w:t>土</w:t>
            </w:r>
            <w:r>
              <w:rPr>
                <w:rFonts w:hint="eastAsia" w:cs="宋体"/>
                <w:sz w:val="21"/>
                <w:szCs w:val="21"/>
              </w:rPr>
              <w:t>）</w:t>
            </w:r>
            <w:r>
              <w:rPr>
                <w:rFonts w:cs="宋体"/>
                <w:sz w:val="21"/>
                <w:szCs w:val="21"/>
              </w:rPr>
              <w:t>层单层厚度</w:t>
            </w:r>
            <w:r>
              <w:rPr>
                <w:sz w:val="21"/>
                <w:szCs w:val="21"/>
              </w:rPr>
              <w:t>0.5m≤Mb</w:t>
            </w:r>
            <w:r>
              <w:rPr>
                <w:rFonts w:cs="宋体"/>
                <w:sz w:val="21"/>
                <w:szCs w:val="21"/>
              </w:rPr>
              <w:t>＜</w:t>
            </w:r>
            <w:r>
              <w:rPr>
                <w:sz w:val="21"/>
                <w:szCs w:val="21"/>
              </w:rPr>
              <w:t>1.0m</w:t>
            </w:r>
            <w:r>
              <w:rPr>
                <w:rFonts w:cs="宋体"/>
                <w:sz w:val="21"/>
                <w:szCs w:val="21"/>
              </w:rPr>
              <w:t>，渗透系数</w:t>
            </w:r>
            <w:r>
              <w:rPr>
                <w:sz w:val="21"/>
                <w:szCs w:val="21"/>
              </w:rPr>
              <w:t>K≤1×10</w:t>
            </w:r>
            <w:r>
              <w:rPr>
                <w:sz w:val="21"/>
                <w:szCs w:val="14"/>
                <w:vertAlign w:val="superscript"/>
              </w:rPr>
              <w:t>-6</w:t>
            </w:r>
            <w:r>
              <w:rPr>
                <w:sz w:val="21"/>
                <w:szCs w:val="21"/>
              </w:rPr>
              <w:t>cm/s</w:t>
            </w:r>
            <w:r>
              <w:rPr>
                <w:rFonts w:cs="宋体"/>
                <w:sz w:val="21"/>
                <w:szCs w:val="21"/>
              </w:rPr>
              <w:t>，且分布连续、稳定岩</w:t>
            </w:r>
            <w:r>
              <w:rPr>
                <w:rFonts w:hint="eastAsia" w:cs="宋体"/>
                <w:sz w:val="21"/>
                <w:szCs w:val="21"/>
              </w:rPr>
              <w:t>（</w:t>
            </w:r>
            <w:r>
              <w:rPr>
                <w:rFonts w:cs="宋体"/>
                <w:sz w:val="21"/>
                <w:szCs w:val="21"/>
              </w:rPr>
              <w:t>土</w:t>
            </w:r>
            <w:r>
              <w:rPr>
                <w:rFonts w:hint="eastAsia" w:cs="宋体"/>
                <w:sz w:val="21"/>
                <w:szCs w:val="21"/>
              </w:rPr>
              <w:t>）</w:t>
            </w:r>
            <w:r>
              <w:rPr>
                <w:rFonts w:cs="宋体"/>
                <w:sz w:val="21"/>
                <w:szCs w:val="21"/>
              </w:rPr>
              <w:t>层单层厚度</w:t>
            </w:r>
            <w:r>
              <w:rPr>
                <w:sz w:val="21"/>
                <w:szCs w:val="21"/>
              </w:rPr>
              <w:t>Mb≥1.0m</w:t>
            </w:r>
            <w:r>
              <w:rPr>
                <w:rFonts w:cs="宋体"/>
                <w:sz w:val="21"/>
                <w:szCs w:val="21"/>
              </w:rPr>
              <w:t>，渗透系数</w:t>
            </w:r>
            <w:r>
              <w:rPr>
                <w:sz w:val="21"/>
                <w:szCs w:val="21"/>
              </w:rPr>
              <w:t>1×10</w:t>
            </w:r>
            <w:r>
              <w:rPr>
                <w:sz w:val="21"/>
                <w:szCs w:val="14"/>
                <w:vertAlign w:val="superscript"/>
              </w:rPr>
              <w:t>-6</w:t>
            </w:r>
            <w:r>
              <w:rPr>
                <w:sz w:val="21"/>
                <w:szCs w:val="21"/>
              </w:rPr>
              <w:t>cm/s</w:t>
            </w:r>
            <w:r>
              <w:rPr>
                <w:rFonts w:cs="宋体"/>
                <w:sz w:val="21"/>
                <w:szCs w:val="21"/>
              </w:rPr>
              <w:t>＜</w:t>
            </w:r>
            <w:r>
              <w:rPr>
                <w:sz w:val="21"/>
                <w:szCs w:val="21"/>
              </w:rPr>
              <w:t>K≤1×10</w:t>
            </w:r>
            <w:r>
              <w:rPr>
                <w:sz w:val="21"/>
                <w:szCs w:val="14"/>
                <w:vertAlign w:val="superscript"/>
              </w:rPr>
              <w:t>-4</w:t>
            </w:r>
            <w:r>
              <w:rPr>
                <w:sz w:val="21"/>
                <w:szCs w:val="21"/>
              </w:rPr>
              <w:t>cm/s</w:t>
            </w:r>
            <w:r>
              <w:rPr>
                <w:rFonts w:cs="宋体"/>
                <w:sz w:val="21"/>
                <w:szCs w:val="21"/>
              </w:rPr>
              <w:t>，且分布连续、稳定</w:t>
            </w:r>
          </w:p>
        </w:tc>
      </w:tr>
      <w:tr w14:paraId="69EAF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86" w:type="pct"/>
            <w:vAlign w:val="center"/>
          </w:tcPr>
          <w:p w14:paraId="7148E6E7">
            <w:pPr>
              <w:ind w:firstLine="0" w:firstLineChars="0"/>
              <w:jc w:val="center"/>
              <w:rPr>
                <w:rFonts w:cs="宋体"/>
                <w:sz w:val="21"/>
                <w:szCs w:val="21"/>
              </w:rPr>
            </w:pPr>
            <w:r>
              <w:rPr>
                <w:rFonts w:cs="宋体"/>
                <w:sz w:val="21"/>
                <w:szCs w:val="21"/>
              </w:rPr>
              <w:t>弱</w:t>
            </w:r>
          </w:p>
        </w:tc>
        <w:tc>
          <w:tcPr>
            <w:tcW w:w="4613" w:type="pct"/>
            <w:vAlign w:val="center"/>
          </w:tcPr>
          <w:p w14:paraId="14CF25D4">
            <w:pPr>
              <w:ind w:firstLine="0" w:firstLineChars="0"/>
              <w:jc w:val="center"/>
              <w:rPr>
                <w:rFonts w:cs="宋体"/>
                <w:sz w:val="21"/>
                <w:szCs w:val="21"/>
              </w:rPr>
            </w:pPr>
            <w:r>
              <w:rPr>
                <w:rFonts w:cs="宋体"/>
                <w:sz w:val="21"/>
                <w:szCs w:val="21"/>
              </w:rPr>
              <w:t>岩</w:t>
            </w:r>
            <w:r>
              <w:rPr>
                <w:rFonts w:hint="eastAsia" w:cs="宋体"/>
                <w:sz w:val="21"/>
                <w:szCs w:val="21"/>
              </w:rPr>
              <w:t>（</w:t>
            </w:r>
            <w:r>
              <w:rPr>
                <w:rFonts w:cs="宋体"/>
                <w:sz w:val="21"/>
                <w:szCs w:val="21"/>
              </w:rPr>
              <w:t>土</w:t>
            </w:r>
            <w:r>
              <w:rPr>
                <w:rFonts w:hint="eastAsia" w:cs="宋体"/>
                <w:sz w:val="21"/>
                <w:szCs w:val="21"/>
              </w:rPr>
              <w:t>）</w:t>
            </w:r>
            <w:r>
              <w:rPr>
                <w:rFonts w:cs="宋体"/>
                <w:sz w:val="21"/>
                <w:szCs w:val="21"/>
              </w:rPr>
              <w:t>层不满足上述</w:t>
            </w:r>
            <w:r>
              <w:rPr>
                <w:rFonts w:hint="eastAsia"/>
                <w:sz w:val="21"/>
                <w:szCs w:val="21"/>
              </w:rPr>
              <w:t>”</w:t>
            </w:r>
            <w:r>
              <w:rPr>
                <w:rFonts w:cs="宋体"/>
                <w:sz w:val="21"/>
                <w:szCs w:val="21"/>
              </w:rPr>
              <w:t>强</w:t>
            </w:r>
            <w:r>
              <w:rPr>
                <w:rFonts w:hint="eastAsia"/>
                <w:sz w:val="21"/>
                <w:szCs w:val="21"/>
              </w:rPr>
              <w:t>”</w:t>
            </w:r>
            <w:r>
              <w:rPr>
                <w:rFonts w:cs="宋体"/>
                <w:sz w:val="21"/>
                <w:szCs w:val="21"/>
              </w:rPr>
              <w:t>和</w:t>
            </w:r>
            <w:r>
              <w:rPr>
                <w:rFonts w:hint="eastAsia"/>
                <w:sz w:val="21"/>
                <w:szCs w:val="21"/>
              </w:rPr>
              <w:t>”</w:t>
            </w:r>
            <w:r>
              <w:rPr>
                <w:rFonts w:cs="宋体"/>
                <w:sz w:val="21"/>
                <w:szCs w:val="21"/>
              </w:rPr>
              <w:t>中</w:t>
            </w:r>
            <w:r>
              <w:rPr>
                <w:rFonts w:hint="eastAsia"/>
                <w:sz w:val="21"/>
                <w:szCs w:val="21"/>
              </w:rPr>
              <w:t>”</w:t>
            </w:r>
            <w:r>
              <w:rPr>
                <w:rFonts w:cs="宋体"/>
                <w:sz w:val="21"/>
                <w:szCs w:val="21"/>
              </w:rPr>
              <w:t>条件</w:t>
            </w:r>
          </w:p>
        </w:tc>
      </w:tr>
    </w:tbl>
    <w:p w14:paraId="771A3544">
      <w:pPr>
        <w:ind w:firstLine="0" w:firstLineChars="0"/>
        <w:jc w:val="center"/>
      </w:pPr>
      <w:r>
        <w:rPr>
          <w:rFonts w:cs="黑体"/>
          <w:b/>
          <w:bCs/>
          <w:szCs w:val="21"/>
        </w:rPr>
        <w:t>表</w:t>
      </w:r>
      <w:r>
        <w:rPr>
          <w:rFonts w:hint="eastAsia"/>
          <w:b/>
          <w:bCs/>
          <w:szCs w:val="21"/>
        </w:rPr>
        <w:t>5</w:t>
      </w:r>
      <w:r>
        <w:rPr>
          <w:b/>
          <w:bCs/>
          <w:szCs w:val="21"/>
        </w:rPr>
        <w:t>.2-1</w:t>
      </w:r>
      <w:r>
        <w:rPr>
          <w:rFonts w:hint="eastAsia"/>
          <w:b/>
          <w:bCs/>
          <w:szCs w:val="21"/>
        </w:rPr>
        <w:t>5</w:t>
      </w:r>
      <w:r>
        <w:rPr>
          <w:rFonts w:cs="黑体"/>
          <w:b/>
          <w:bCs/>
          <w:szCs w:val="21"/>
        </w:rPr>
        <w:t>地下水污染防渗分区参照表</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80"/>
        <w:gridCol w:w="1405"/>
        <w:gridCol w:w="1280"/>
        <w:gridCol w:w="1659"/>
        <w:gridCol w:w="2585"/>
      </w:tblGrid>
      <w:tr w14:paraId="3C8BC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830" w:type="pct"/>
            <w:vAlign w:val="center"/>
          </w:tcPr>
          <w:p w14:paraId="437A6910">
            <w:pPr>
              <w:ind w:firstLine="0" w:firstLineChars="0"/>
              <w:jc w:val="center"/>
              <w:rPr>
                <w:rFonts w:cs="宋体"/>
                <w:sz w:val="21"/>
                <w:szCs w:val="21"/>
              </w:rPr>
            </w:pPr>
            <w:r>
              <w:rPr>
                <w:rFonts w:cs="宋体"/>
                <w:sz w:val="21"/>
                <w:szCs w:val="21"/>
              </w:rPr>
              <w:t>防渗分区</w:t>
            </w:r>
          </w:p>
        </w:tc>
        <w:tc>
          <w:tcPr>
            <w:tcW w:w="845" w:type="pct"/>
            <w:vAlign w:val="center"/>
          </w:tcPr>
          <w:p w14:paraId="4A1D724A">
            <w:pPr>
              <w:ind w:firstLine="0" w:firstLineChars="0"/>
              <w:jc w:val="center"/>
              <w:rPr>
                <w:rFonts w:cs="宋体"/>
                <w:sz w:val="21"/>
                <w:szCs w:val="21"/>
              </w:rPr>
            </w:pPr>
            <w:r>
              <w:rPr>
                <w:rFonts w:cs="宋体"/>
                <w:sz w:val="21"/>
                <w:szCs w:val="21"/>
              </w:rPr>
              <w:t>天然包气带防污性能</w:t>
            </w:r>
          </w:p>
        </w:tc>
        <w:tc>
          <w:tcPr>
            <w:tcW w:w="770" w:type="pct"/>
            <w:vAlign w:val="center"/>
          </w:tcPr>
          <w:p w14:paraId="66B654CD">
            <w:pPr>
              <w:ind w:firstLine="0" w:firstLineChars="0"/>
              <w:jc w:val="center"/>
              <w:rPr>
                <w:rFonts w:cs="宋体"/>
                <w:sz w:val="21"/>
                <w:szCs w:val="21"/>
              </w:rPr>
            </w:pPr>
            <w:r>
              <w:rPr>
                <w:rFonts w:cs="宋体"/>
                <w:sz w:val="21"/>
                <w:szCs w:val="21"/>
              </w:rPr>
              <w:t>污染控制难易程度</w:t>
            </w:r>
          </w:p>
        </w:tc>
        <w:tc>
          <w:tcPr>
            <w:tcW w:w="998" w:type="pct"/>
            <w:vAlign w:val="center"/>
          </w:tcPr>
          <w:p w14:paraId="7BE02718">
            <w:pPr>
              <w:ind w:firstLine="0" w:firstLineChars="0"/>
              <w:jc w:val="center"/>
              <w:rPr>
                <w:rFonts w:cs="宋体"/>
                <w:sz w:val="21"/>
                <w:szCs w:val="21"/>
              </w:rPr>
            </w:pPr>
            <w:r>
              <w:rPr>
                <w:rFonts w:cs="宋体"/>
                <w:sz w:val="21"/>
                <w:szCs w:val="21"/>
              </w:rPr>
              <w:t>污染物类型</w:t>
            </w:r>
          </w:p>
        </w:tc>
        <w:tc>
          <w:tcPr>
            <w:tcW w:w="1555" w:type="pct"/>
            <w:vAlign w:val="center"/>
          </w:tcPr>
          <w:p w14:paraId="6148AFC3">
            <w:pPr>
              <w:ind w:firstLine="0" w:firstLineChars="0"/>
              <w:jc w:val="center"/>
              <w:rPr>
                <w:rFonts w:cs="宋体"/>
                <w:sz w:val="21"/>
                <w:szCs w:val="21"/>
              </w:rPr>
            </w:pPr>
            <w:r>
              <w:rPr>
                <w:rFonts w:cs="宋体"/>
                <w:sz w:val="21"/>
                <w:szCs w:val="21"/>
              </w:rPr>
              <w:t>防渗技术要求</w:t>
            </w:r>
          </w:p>
        </w:tc>
      </w:tr>
      <w:tr w14:paraId="1DF44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restart"/>
            <w:tcBorders>
              <w:bottom w:val="nil"/>
            </w:tcBorders>
            <w:vAlign w:val="center"/>
          </w:tcPr>
          <w:p w14:paraId="59B81853">
            <w:pPr>
              <w:ind w:firstLine="0" w:firstLineChars="0"/>
              <w:jc w:val="center"/>
              <w:rPr>
                <w:rFonts w:cs="宋体"/>
                <w:sz w:val="21"/>
                <w:szCs w:val="21"/>
              </w:rPr>
            </w:pPr>
            <w:r>
              <w:rPr>
                <w:rFonts w:cs="宋体"/>
                <w:sz w:val="21"/>
                <w:szCs w:val="21"/>
              </w:rPr>
              <w:t>重点防渗区</w:t>
            </w:r>
          </w:p>
        </w:tc>
        <w:tc>
          <w:tcPr>
            <w:tcW w:w="845" w:type="pct"/>
            <w:vAlign w:val="center"/>
          </w:tcPr>
          <w:p w14:paraId="0689FC73">
            <w:pPr>
              <w:ind w:firstLine="0" w:firstLineChars="0"/>
              <w:jc w:val="center"/>
              <w:rPr>
                <w:rFonts w:cs="宋体"/>
                <w:sz w:val="21"/>
                <w:szCs w:val="21"/>
              </w:rPr>
            </w:pPr>
            <w:r>
              <w:rPr>
                <w:rFonts w:cs="宋体"/>
                <w:sz w:val="21"/>
                <w:szCs w:val="21"/>
              </w:rPr>
              <w:t>弱</w:t>
            </w:r>
          </w:p>
        </w:tc>
        <w:tc>
          <w:tcPr>
            <w:tcW w:w="770" w:type="pct"/>
            <w:vAlign w:val="center"/>
          </w:tcPr>
          <w:p w14:paraId="76A68883">
            <w:pPr>
              <w:ind w:firstLine="0" w:firstLineChars="0"/>
              <w:jc w:val="center"/>
              <w:rPr>
                <w:rFonts w:cs="宋体"/>
                <w:sz w:val="21"/>
                <w:szCs w:val="21"/>
              </w:rPr>
            </w:pPr>
            <w:r>
              <w:rPr>
                <w:rFonts w:cs="宋体"/>
                <w:sz w:val="21"/>
                <w:szCs w:val="21"/>
              </w:rPr>
              <w:t>难</w:t>
            </w:r>
          </w:p>
        </w:tc>
        <w:tc>
          <w:tcPr>
            <w:tcW w:w="998" w:type="pct"/>
            <w:vMerge w:val="restart"/>
            <w:tcBorders>
              <w:bottom w:val="nil"/>
            </w:tcBorders>
            <w:vAlign w:val="center"/>
          </w:tcPr>
          <w:p w14:paraId="6DD00764">
            <w:pPr>
              <w:ind w:firstLine="0" w:firstLineChars="0"/>
              <w:jc w:val="center"/>
              <w:rPr>
                <w:rFonts w:cs="宋体"/>
                <w:sz w:val="21"/>
                <w:szCs w:val="21"/>
              </w:rPr>
            </w:pPr>
            <w:r>
              <w:rPr>
                <w:rFonts w:cs="宋体"/>
                <w:sz w:val="21"/>
                <w:szCs w:val="21"/>
              </w:rPr>
              <w:t>重金属、持久性有机物污染物</w:t>
            </w:r>
          </w:p>
        </w:tc>
        <w:tc>
          <w:tcPr>
            <w:tcW w:w="1555" w:type="pct"/>
            <w:vMerge w:val="restart"/>
            <w:tcBorders>
              <w:bottom w:val="nil"/>
            </w:tcBorders>
            <w:vAlign w:val="center"/>
          </w:tcPr>
          <w:p w14:paraId="60B886A1">
            <w:pPr>
              <w:ind w:firstLine="0" w:firstLineChars="0"/>
              <w:jc w:val="center"/>
              <w:rPr>
                <w:rFonts w:cs="宋体"/>
                <w:sz w:val="21"/>
                <w:szCs w:val="21"/>
              </w:rPr>
            </w:pPr>
            <w:r>
              <w:rPr>
                <w:rFonts w:cs="宋体"/>
                <w:sz w:val="21"/>
                <w:szCs w:val="21"/>
              </w:rPr>
              <w:t>等效黏土防渗层</w:t>
            </w:r>
            <w:r>
              <w:rPr>
                <w:sz w:val="21"/>
                <w:szCs w:val="21"/>
              </w:rPr>
              <w:t>Mb≥6.0m</w:t>
            </w:r>
            <w:r>
              <w:rPr>
                <w:rFonts w:cs="宋体"/>
                <w:sz w:val="21"/>
                <w:szCs w:val="21"/>
              </w:rPr>
              <w:t>，</w:t>
            </w:r>
            <w:r>
              <w:rPr>
                <w:sz w:val="21"/>
                <w:szCs w:val="21"/>
              </w:rPr>
              <w:t>K&lt;1×10</w:t>
            </w:r>
            <w:r>
              <w:rPr>
                <w:sz w:val="21"/>
                <w:szCs w:val="14"/>
                <w:vertAlign w:val="superscript"/>
              </w:rPr>
              <w:t>-7</w:t>
            </w:r>
            <w:r>
              <w:rPr>
                <w:sz w:val="21"/>
                <w:szCs w:val="21"/>
              </w:rPr>
              <w:t>cm/s</w:t>
            </w:r>
            <w:r>
              <w:rPr>
                <w:rFonts w:cs="宋体"/>
                <w:sz w:val="21"/>
                <w:szCs w:val="21"/>
              </w:rPr>
              <w:t>，或参照</w:t>
            </w:r>
          </w:p>
          <w:p w14:paraId="2211BFB5">
            <w:pPr>
              <w:ind w:firstLine="0" w:firstLineChars="0"/>
              <w:jc w:val="center"/>
              <w:rPr>
                <w:rFonts w:cs="宋体"/>
                <w:sz w:val="21"/>
                <w:szCs w:val="21"/>
              </w:rPr>
            </w:pPr>
            <w:r>
              <w:rPr>
                <w:sz w:val="21"/>
                <w:szCs w:val="21"/>
              </w:rPr>
              <w:t>GB18598</w:t>
            </w:r>
            <w:r>
              <w:rPr>
                <w:rFonts w:cs="宋体"/>
                <w:sz w:val="21"/>
                <w:szCs w:val="21"/>
              </w:rPr>
              <w:t>执行</w:t>
            </w:r>
          </w:p>
        </w:tc>
      </w:tr>
      <w:tr w14:paraId="1FB61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bottom w:val="nil"/>
            </w:tcBorders>
            <w:vAlign w:val="center"/>
          </w:tcPr>
          <w:p w14:paraId="3F74C8B7">
            <w:pPr>
              <w:ind w:firstLine="0" w:firstLineChars="0"/>
              <w:jc w:val="center"/>
              <w:rPr>
                <w:sz w:val="21"/>
              </w:rPr>
            </w:pPr>
          </w:p>
        </w:tc>
        <w:tc>
          <w:tcPr>
            <w:tcW w:w="845" w:type="pct"/>
            <w:vAlign w:val="center"/>
          </w:tcPr>
          <w:p w14:paraId="7E44E480">
            <w:pPr>
              <w:ind w:firstLine="0" w:firstLineChars="0"/>
              <w:jc w:val="center"/>
              <w:rPr>
                <w:rFonts w:cs="宋体"/>
                <w:sz w:val="21"/>
                <w:szCs w:val="21"/>
              </w:rPr>
            </w:pPr>
            <w:r>
              <w:rPr>
                <w:rFonts w:cs="宋体"/>
                <w:sz w:val="21"/>
                <w:szCs w:val="21"/>
              </w:rPr>
              <w:t>中</w:t>
            </w:r>
            <w:r>
              <w:rPr>
                <w:sz w:val="21"/>
                <w:szCs w:val="21"/>
              </w:rPr>
              <w:t>-</w:t>
            </w:r>
            <w:r>
              <w:rPr>
                <w:rFonts w:cs="宋体"/>
                <w:sz w:val="21"/>
                <w:szCs w:val="21"/>
              </w:rPr>
              <w:t>强</w:t>
            </w:r>
          </w:p>
        </w:tc>
        <w:tc>
          <w:tcPr>
            <w:tcW w:w="770" w:type="pct"/>
            <w:vAlign w:val="center"/>
          </w:tcPr>
          <w:p w14:paraId="33FF0267">
            <w:pPr>
              <w:ind w:firstLine="0" w:firstLineChars="0"/>
              <w:jc w:val="center"/>
              <w:rPr>
                <w:rFonts w:cs="宋体"/>
                <w:sz w:val="21"/>
                <w:szCs w:val="21"/>
              </w:rPr>
            </w:pPr>
            <w:r>
              <w:rPr>
                <w:rFonts w:cs="宋体"/>
                <w:sz w:val="21"/>
                <w:szCs w:val="21"/>
              </w:rPr>
              <w:t>难</w:t>
            </w:r>
          </w:p>
        </w:tc>
        <w:tc>
          <w:tcPr>
            <w:tcW w:w="998" w:type="pct"/>
            <w:vMerge w:val="continue"/>
            <w:tcBorders>
              <w:top w:val="nil"/>
              <w:bottom w:val="nil"/>
            </w:tcBorders>
            <w:vAlign w:val="center"/>
          </w:tcPr>
          <w:p w14:paraId="590C05A7">
            <w:pPr>
              <w:ind w:firstLine="0" w:firstLineChars="0"/>
              <w:jc w:val="center"/>
              <w:rPr>
                <w:sz w:val="21"/>
              </w:rPr>
            </w:pPr>
          </w:p>
        </w:tc>
        <w:tc>
          <w:tcPr>
            <w:tcW w:w="1555" w:type="pct"/>
            <w:vMerge w:val="continue"/>
            <w:tcBorders>
              <w:top w:val="nil"/>
              <w:bottom w:val="nil"/>
            </w:tcBorders>
            <w:vAlign w:val="center"/>
          </w:tcPr>
          <w:p w14:paraId="3D41C883">
            <w:pPr>
              <w:ind w:firstLine="0" w:firstLineChars="0"/>
              <w:jc w:val="center"/>
              <w:rPr>
                <w:sz w:val="21"/>
              </w:rPr>
            </w:pPr>
          </w:p>
        </w:tc>
      </w:tr>
      <w:tr w14:paraId="3CE73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tcBorders>
            <w:vAlign w:val="center"/>
          </w:tcPr>
          <w:p w14:paraId="26E4E261">
            <w:pPr>
              <w:ind w:firstLine="0" w:firstLineChars="0"/>
              <w:jc w:val="center"/>
              <w:rPr>
                <w:sz w:val="21"/>
              </w:rPr>
            </w:pPr>
          </w:p>
        </w:tc>
        <w:tc>
          <w:tcPr>
            <w:tcW w:w="845" w:type="pct"/>
            <w:vAlign w:val="center"/>
          </w:tcPr>
          <w:p w14:paraId="35CD7164">
            <w:pPr>
              <w:ind w:firstLine="0" w:firstLineChars="0"/>
              <w:jc w:val="center"/>
              <w:rPr>
                <w:rFonts w:cs="宋体"/>
                <w:sz w:val="21"/>
                <w:szCs w:val="21"/>
              </w:rPr>
            </w:pPr>
            <w:r>
              <w:rPr>
                <w:rFonts w:cs="宋体"/>
                <w:sz w:val="21"/>
                <w:szCs w:val="21"/>
              </w:rPr>
              <w:t>弱</w:t>
            </w:r>
          </w:p>
        </w:tc>
        <w:tc>
          <w:tcPr>
            <w:tcW w:w="770" w:type="pct"/>
            <w:vAlign w:val="center"/>
          </w:tcPr>
          <w:p w14:paraId="2583CE1D">
            <w:pPr>
              <w:ind w:firstLine="0" w:firstLineChars="0"/>
              <w:jc w:val="center"/>
              <w:rPr>
                <w:rFonts w:cs="宋体"/>
                <w:sz w:val="21"/>
                <w:szCs w:val="21"/>
              </w:rPr>
            </w:pPr>
            <w:r>
              <w:rPr>
                <w:rFonts w:cs="宋体"/>
                <w:sz w:val="21"/>
                <w:szCs w:val="21"/>
              </w:rPr>
              <w:t>易</w:t>
            </w:r>
          </w:p>
        </w:tc>
        <w:tc>
          <w:tcPr>
            <w:tcW w:w="998" w:type="pct"/>
            <w:vMerge w:val="continue"/>
            <w:tcBorders>
              <w:top w:val="nil"/>
            </w:tcBorders>
            <w:vAlign w:val="center"/>
          </w:tcPr>
          <w:p w14:paraId="4C86FEA2">
            <w:pPr>
              <w:ind w:firstLine="0" w:firstLineChars="0"/>
              <w:jc w:val="center"/>
              <w:rPr>
                <w:sz w:val="21"/>
              </w:rPr>
            </w:pPr>
          </w:p>
        </w:tc>
        <w:tc>
          <w:tcPr>
            <w:tcW w:w="1555" w:type="pct"/>
            <w:vMerge w:val="continue"/>
            <w:tcBorders>
              <w:top w:val="nil"/>
            </w:tcBorders>
            <w:vAlign w:val="center"/>
          </w:tcPr>
          <w:p w14:paraId="71E36D5B">
            <w:pPr>
              <w:ind w:firstLine="0" w:firstLineChars="0"/>
              <w:jc w:val="center"/>
              <w:rPr>
                <w:sz w:val="21"/>
              </w:rPr>
            </w:pPr>
          </w:p>
        </w:tc>
      </w:tr>
      <w:tr w14:paraId="029D5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830" w:type="pct"/>
            <w:vMerge w:val="restart"/>
            <w:tcBorders>
              <w:bottom w:val="nil"/>
            </w:tcBorders>
            <w:vAlign w:val="center"/>
          </w:tcPr>
          <w:p w14:paraId="0DBAAB32">
            <w:pPr>
              <w:ind w:firstLine="0" w:firstLineChars="0"/>
              <w:jc w:val="center"/>
              <w:rPr>
                <w:rFonts w:cs="宋体"/>
                <w:sz w:val="21"/>
                <w:szCs w:val="21"/>
              </w:rPr>
            </w:pPr>
            <w:r>
              <w:rPr>
                <w:rFonts w:cs="宋体"/>
                <w:sz w:val="21"/>
                <w:szCs w:val="21"/>
              </w:rPr>
              <w:t>一般防渗区</w:t>
            </w:r>
          </w:p>
        </w:tc>
        <w:tc>
          <w:tcPr>
            <w:tcW w:w="845" w:type="pct"/>
            <w:vAlign w:val="center"/>
          </w:tcPr>
          <w:p w14:paraId="4D4646F9">
            <w:pPr>
              <w:ind w:firstLine="0" w:firstLineChars="0"/>
              <w:jc w:val="center"/>
              <w:rPr>
                <w:rFonts w:cs="宋体"/>
                <w:sz w:val="21"/>
                <w:szCs w:val="21"/>
              </w:rPr>
            </w:pPr>
            <w:r>
              <w:rPr>
                <w:rFonts w:cs="宋体"/>
                <w:sz w:val="21"/>
                <w:szCs w:val="21"/>
              </w:rPr>
              <w:t>弱</w:t>
            </w:r>
          </w:p>
        </w:tc>
        <w:tc>
          <w:tcPr>
            <w:tcW w:w="770" w:type="pct"/>
            <w:vAlign w:val="center"/>
          </w:tcPr>
          <w:p w14:paraId="1C1DA5EF">
            <w:pPr>
              <w:ind w:firstLine="0" w:firstLineChars="0"/>
              <w:jc w:val="center"/>
              <w:rPr>
                <w:rFonts w:cs="宋体"/>
                <w:sz w:val="21"/>
                <w:szCs w:val="21"/>
              </w:rPr>
            </w:pPr>
            <w:r>
              <w:rPr>
                <w:rFonts w:cs="宋体"/>
                <w:sz w:val="21"/>
                <w:szCs w:val="21"/>
              </w:rPr>
              <w:t>易</w:t>
            </w:r>
            <w:r>
              <w:rPr>
                <w:sz w:val="21"/>
                <w:szCs w:val="21"/>
              </w:rPr>
              <w:t>-</w:t>
            </w:r>
            <w:r>
              <w:rPr>
                <w:rFonts w:cs="宋体"/>
                <w:sz w:val="21"/>
                <w:szCs w:val="21"/>
              </w:rPr>
              <w:t>难</w:t>
            </w:r>
          </w:p>
        </w:tc>
        <w:tc>
          <w:tcPr>
            <w:tcW w:w="998" w:type="pct"/>
            <w:vMerge w:val="restart"/>
            <w:tcBorders>
              <w:bottom w:val="nil"/>
            </w:tcBorders>
            <w:vAlign w:val="center"/>
          </w:tcPr>
          <w:p w14:paraId="387395BF">
            <w:pPr>
              <w:ind w:firstLine="0" w:firstLineChars="0"/>
              <w:jc w:val="center"/>
              <w:rPr>
                <w:rFonts w:cs="宋体"/>
                <w:sz w:val="21"/>
                <w:szCs w:val="21"/>
              </w:rPr>
            </w:pPr>
            <w:r>
              <w:rPr>
                <w:rFonts w:cs="宋体"/>
                <w:sz w:val="21"/>
                <w:szCs w:val="21"/>
              </w:rPr>
              <w:t>其他类型</w:t>
            </w:r>
          </w:p>
        </w:tc>
        <w:tc>
          <w:tcPr>
            <w:tcW w:w="1555" w:type="pct"/>
            <w:vMerge w:val="restart"/>
            <w:tcBorders>
              <w:bottom w:val="nil"/>
            </w:tcBorders>
            <w:vAlign w:val="center"/>
          </w:tcPr>
          <w:p w14:paraId="454484A5">
            <w:pPr>
              <w:ind w:firstLine="0" w:firstLineChars="0"/>
              <w:jc w:val="center"/>
              <w:rPr>
                <w:rFonts w:cs="宋体"/>
                <w:sz w:val="21"/>
                <w:szCs w:val="21"/>
              </w:rPr>
            </w:pPr>
            <w:r>
              <w:rPr>
                <w:rFonts w:cs="宋体"/>
                <w:sz w:val="21"/>
                <w:szCs w:val="21"/>
              </w:rPr>
              <w:t>等效黏土防渗层</w:t>
            </w:r>
            <w:r>
              <w:rPr>
                <w:sz w:val="21"/>
                <w:szCs w:val="21"/>
              </w:rPr>
              <w:t>Mb&gt;1.5m</w:t>
            </w:r>
            <w:r>
              <w:rPr>
                <w:rFonts w:cs="宋体"/>
                <w:sz w:val="21"/>
                <w:szCs w:val="21"/>
              </w:rPr>
              <w:t>，</w:t>
            </w:r>
            <w:r>
              <w:rPr>
                <w:sz w:val="21"/>
                <w:szCs w:val="21"/>
              </w:rPr>
              <w:t>K&lt;1×10</w:t>
            </w:r>
            <w:r>
              <w:rPr>
                <w:sz w:val="21"/>
                <w:szCs w:val="14"/>
                <w:vertAlign w:val="superscript"/>
              </w:rPr>
              <w:t>-7</w:t>
            </w:r>
            <w:r>
              <w:rPr>
                <w:sz w:val="21"/>
                <w:szCs w:val="21"/>
              </w:rPr>
              <w:t>cm/s</w:t>
            </w:r>
            <w:r>
              <w:rPr>
                <w:rFonts w:cs="宋体"/>
                <w:sz w:val="21"/>
                <w:szCs w:val="21"/>
              </w:rPr>
              <w:t>，或参照</w:t>
            </w:r>
          </w:p>
          <w:p w14:paraId="70A199FC">
            <w:pPr>
              <w:ind w:firstLine="0" w:firstLineChars="0"/>
              <w:jc w:val="center"/>
              <w:rPr>
                <w:rFonts w:cs="宋体"/>
                <w:sz w:val="21"/>
                <w:szCs w:val="21"/>
              </w:rPr>
            </w:pPr>
            <w:r>
              <w:rPr>
                <w:sz w:val="21"/>
                <w:szCs w:val="21"/>
              </w:rPr>
              <w:t>GB16889</w:t>
            </w:r>
            <w:r>
              <w:rPr>
                <w:rFonts w:cs="宋体"/>
                <w:sz w:val="21"/>
                <w:szCs w:val="21"/>
              </w:rPr>
              <w:t>执行</w:t>
            </w:r>
          </w:p>
        </w:tc>
      </w:tr>
      <w:tr w14:paraId="58E29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830" w:type="pct"/>
            <w:vMerge w:val="continue"/>
            <w:tcBorders>
              <w:top w:val="nil"/>
              <w:bottom w:val="nil"/>
            </w:tcBorders>
            <w:vAlign w:val="center"/>
          </w:tcPr>
          <w:p w14:paraId="68F55469">
            <w:pPr>
              <w:ind w:firstLine="0" w:firstLineChars="0"/>
              <w:jc w:val="center"/>
              <w:rPr>
                <w:sz w:val="21"/>
              </w:rPr>
            </w:pPr>
          </w:p>
        </w:tc>
        <w:tc>
          <w:tcPr>
            <w:tcW w:w="845" w:type="pct"/>
            <w:vAlign w:val="center"/>
          </w:tcPr>
          <w:p w14:paraId="26B423A7">
            <w:pPr>
              <w:ind w:firstLine="0" w:firstLineChars="0"/>
              <w:jc w:val="center"/>
              <w:rPr>
                <w:rFonts w:cs="宋体"/>
                <w:sz w:val="21"/>
                <w:szCs w:val="21"/>
              </w:rPr>
            </w:pPr>
            <w:r>
              <w:rPr>
                <w:rFonts w:cs="宋体"/>
                <w:sz w:val="21"/>
                <w:szCs w:val="21"/>
              </w:rPr>
              <w:t>中</w:t>
            </w:r>
            <w:r>
              <w:rPr>
                <w:sz w:val="21"/>
                <w:szCs w:val="21"/>
              </w:rPr>
              <w:t>-</w:t>
            </w:r>
            <w:r>
              <w:rPr>
                <w:rFonts w:cs="宋体"/>
                <w:sz w:val="21"/>
                <w:szCs w:val="21"/>
              </w:rPr>
              <w:t>强</w:t>
            </w:r>
          </w:p>
        </w:tc>
        <w:tc>
          <w:tcPr>
            <w:tcW w:w="770" w:type="pct"/>
            <w:vAlign w:val="center"/>
          </w:tcPr>
          <w:p w14:paraId="67C89089">
            <w:pPr>
              <w:ind w:firstLine="0" w:firstLineChars="0"/>
              <w:jc w:val="center"/>
              <w:rPr>
                <w:rFonts w:cs="宋体"/>
                <w:sz w:val="21"/>
                <w:szCs w:val="21"/>
              </w:rPr>
            </w:pPr>
            <w:r>
              <w:rPr>
                <w:rFonts w:cs="宋体"/>
                <w:sz w:val="21"/>
                <w:szCs w:val="21"/>
              </w:rPr>
              <w:t>难</w:t>
            </w:r>
          </w:p>
        </w:tc>
        <w:tc>
          <w:tcPr>
            <w:tcW w:w="998" w:type="pct"/>
            <w:vMerge w:val="continue"/>
            <w:tcBorders>
              <w:top w:val="nil"/>
            </w:tcBorders>
            <w:vAlign w:val="center"/>
          </w:tcPr>
          <w:p w14:paraId="145DD3EE">
            <w:pPr>
              <w:ind w:firstLine="0" w:firstLineChars="0"/>
              <w:jc w:val="center"/>
              <w:rPr>
                <w:sz w:val="21"/>
              </w:rPr>
            </w:pPr>
          </w:p>
        </w:tc>
        <w:tc>
          <w:tcPr>
            <w:tcW w:w="1555" w:type="pct"/>
            <w:vMerge w:val="continue"/>
            <w:tcBorders>
              <w:top w:val="nil"/>
              <w:bottom w:val="nil"/>
            </w:tcBorders>
            <w:vAlign w:val="center"/>
          </w:tcPr>
          <w:p w14:paraId="6E98041C">
            <w:pPr>
              <w:ind w:firstLine="0" w:firstLineChars="0"/>
              <w:jc w:val="center"/>
              <w:rPr>
                <w:sz w:val="21"/>
              </w:rPr>
            </w:pPr>
          </w:p>
        </w:tc>
      </w:tr>
      <w:tr w14:paraId="3AEEE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bottom w:val="nil"/>
            </w:tcBorders>
            <w:vAlign w:val="center"/>
          </w:tcPr>
          <w:p w14:paraId="08DF1098">
            <w:pPr>
              <w:ind w:firstLine="0" w:firstLineChars="0"/>
              <w:jc w:val="center"/>
              <w:rPr>
                <w:sz w:val="21"/>
              </w:rPr>
            </w:pPr>
          </w:p>
        </w:tc>
        <w:tc>
          <w:tcPr>
            <w:tcW w:w="845" w:type="pct"/>
            <w:vAlign w:val="center"/>
          </w:tcPr>
          <w:p w14:paraId="708C41ED">
            <w:pPr>
              <w:ind w:firstLine="0" w:firstLineChars="0"/>
              <w:jc w:val="center"/>
              <w:rPr>
                <w:rFonts w:cs="宋体"/>
                <w:sz w:val="21"/>
                <w:szCs w:val="21"/>
              </w:rPr>
            </w:pPr>
            <w:r>
              <w:rPr>
                <w:rFonts w:cs="宋体"/>
                <w:sz w:val="21"/>
                <w:szCs w:val="21"/>
              </w:rPr>
              <w:t>中</w:t>
            </w:r>
          </w:p>
        </w:tc>
        <w:tc>
          <w:tcPr>
            <w:tcW w:w="770" w:type="pct"/>
            <w:vAlign w:val="center"/>
          </w:tcPr>
          <w:p w14:paraId="4FCA0F77">
            <w:pPr>
              <w:ind w:firstLine="0" w:firstLineChars="0"/>
              <w:jc w:val="center"/>
              <w:rPr>
                <w:rFonts w:cs="宋体"/>
                <w:sz w:val="21"/>
                <w:szCs w:val="21"/>
              </w:rPr>
            </w:pPr>
            <w:r>
              <w:rPr>
                <w:rFonts w:cs="宋体"/>
                <w:sz w:val="21"/>
                <w:szCs w:val="21"/>
              </w:rPr>
              <w:t>易</w:t>
            </w:r>
          </w:p>
        </w:tc>
        <w:tc>
          <w:tcPr>
            <w:tcW w:w="998" w:type="pct"/>
            <w:vMerge w:val="restart"/>
            <w:tcBorders>
              <w:bottom w:val="nil"/>
            </w:tcBorders>
            <w:vAlign w:val="center"/>
          </w:tcPr>
          <w:p w14:paraId="15C03780">
            <w:pPr>
              <w:ind w:firstLine="0" w:firstLineChars="0"/>
              <w:jc w:val="center"/>
              <w:rPr>
                <w:rFonts w:cs="宋体"/>
                <w:sz w:val="21"/>
                <w:szCs w:val="21"/>
              </w:rPr>
            </w:pPr>
            <w:r>
              <w:rPr>
                <w:rFonts w:cs="宋体"/>
                <w:sz w:val="21"/>
                <w:szCs w:val="21"/>
              </w:rPr>
              <w:t>重金属、持久性有机物污染物</w:t>
            </w:r>
          </w:p>
        </w:tc>
        <w:tc>
          <w:tcPr>
            <w:tcW w:w="1555" w:type="pct"/>
            <w:vMerge w:val="continue"/>
            <w:tcBorders>
              <w:top w:val="nil"/>
              <w:bottom w:val="nil"/>
            </w:tcBorders>
            <w:vAlign w:val="center"/>
          </w:tcPr>
          <w:p w14:paraId="0A1DF93A">
            <w:pPr>
              <w:ind w:firstLine="0" w:firstLineChars="0"/>
              <w:jc w:val="center"/>
              <w:rPr>
                <w:sz w:val="21"/>
              </w:rPr>
            </w:pPr>
          </w:p>
        </w:tc>
      </w:tr>
      <w:tr w14:paraId="79F66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tcBorders>
            <w:vAlign w:val="center"/>
          </w:tcPr>
          <w:p w14:paraId="79A38FF1">
            <w:pPr>
              <w:ind w:firstLine="0" w:firstLineChars="0"/>
              <w:jc w:val="center"/>
              <w:rPr>
                <w:sz w:val="21"/>
              </w:rPr>
            </w:pPr>
          </w:p>
        </w:tc>
        <w:tc>
          <w:tcPr>
            <w:tcW w:w="845" w:type="pct"/>
            <w:vAlign w:val="center"/>
          </w:tcPr>
          <w:p w14:paraId="12D5F8EE">
            <w:pPr>
              <w:ind w:firstLine="0" w:firstLineChars="0"/>
              <w:jc w:val="center"/>
              <w:rPr>
                <w:rFonts w:cs="宋体"/>
                <w:sz w:val="21"/>
                <w:szCs w:val="21"/>
              </w:rPr>
            </w:pPr>
            <w:r>
              <w:rPr>
                <w:rFonts w:cs="宋体"/>
                <w:sz w:val="21"/>
                <w:szCs w:val="21"/>
              </w:rPr>
              <w:t>强</w:t>
            </w:r>
          </w:p>
        </w:tc>
        <w:tc>
          <w:tcPr>
            <w:tcW w:w="770" w:type="pct"/>
            <w:vAlign w:val="center"/>
          </w:tcPr>
          <w:p w14:paraId="35BB76FD">
            <w:pPr>
              <w:ind w:firstLine="0" w:firstLineChars="0"/>
              <w:jc w:val="center"/>
              <w:rPr>
                <w:rFonts w:cs="宋体"/>
                <w:sz w:val="21"/>
                <w:szCs w:val="21"/>
              </w:rPr>
            </w:pPr>
            <w:r>
              <w:rPr>
                <w:rFonts w:cs="宋体"/>
                <w:sz w:val="21"/>
                <w:szCs w:val="21"/>
              </w:rPr>
              <w:t>易</w:t>
            </w:r>
          </w:p>
        </w:tc>
        <w:tc>
          <w:tcPr>
            <w:tcW w:w="998" w:type="pct"/>
            <w:vMerge w:val="continue"/>
            <w:tcBorders>
              <w:top w:val="nil"/>
            </w:tcBorders>
            <w:vAlign w:val="center"/>
          </w:tcPr>
          <w:p w14:paraId="73D0880C">
            <w:pPr>
              <w:ind w:firstLine="0" w:firstLineChars="0"/>
              <w:jc w:val="center"/>
              <w:rPr>
                <w:sz w:val="21"/>
              </w:rPr>
            </w:pPr>
          </w:p>
        </w:tc>
        <w:tc>
          <w:tcPr>
            <w:tcW w:w="1555" w:type="pct"/>
            <w:vMerge w:val="continue"/>
            <w:tcBorders>
              <w:top w:val="nil"/>
            </w:tcBorders>
            <w:vAlign w:val="center"/>
          </w:tcPr>
          <w:p w14:paraId="220020C8">
            <w:pPr>
              <w:ind w:firstLine="0" w:firstLineChars="0"/>
              <w:jc w:val="center"/>
              <w:rPr>
                <w:sz w:val="21"/>
              </w:rPr>
            </w:pPr>
          </w:p>
        </w:tc>
      </w:tr>
      <w:tr w14:paraId="2FAB1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830" w:type="pct"/>
            <w:vAlign w:val="center"/>
          </w:tcPr>
          <w:p w14:paraId="7DA1CEAB">
            <w:pPr>
              <w:ind w:firstLine="0" w:firstLineChars="0"/>
              <w:jc w:val="center"/>
              <w:rPr>
                <w:rFonts w:cs="宋体"/>
                <w:sz w:val="21"/>
                <w:szCs w:val="21"/>
              </w:rPr>
            </w:pPr>
            <w:r>
              <w:rPr>
                <w:rFonts w:cs="宋体"/>
                <w:sz w:val="21"/>
                <w:szCs w:val="21"/>
              </w:rPr>
              <w:t>简单防渗区</w:t>
            </w:r>
          </w:p>
        </w:tc>
        <w:tc>
          <w:tcPr>
            <w:tcW w:w="845" w:type="pct"/>
            <w:vAlign w:val="center"/>
          </w:tcPr>
          <w:p w14:paraId="438276EC">
            <w:pPr>
              <w:ind w:firstLine="0" w:firstLineChars="0"/>
              <w:jc w:val="center"/>
              <w:rPr>
                <w:rFonts w:cs="宋体"/>
                <w:sz w:val="21"/>
                <w:szCs w:val="21"/>
              </w:rPr>
            </w:pPr>
            <w:r>
              <w:rPr>
                <w:rFonts w:cs="宋体"/>
                <w:sz w:val="21"/>
                <w:szCs w:val="21"/>
              </w:rPr>
              <w:t>中</w:t>
            </w:r>
            <w:r>
              <w:rPr>
                <w:sz w:val="21"/>
                <w:szCs w:val="21"/>
              </w:rPr>
              <w:t>-</w:t>
            </w:r>
            <w:r>
              <w:rPr>
                <w:rFonts w:cs="宋体"/>
                <w:sz w:val="21"/>
                <w:szCs w:val="21"/>
              </w:rPr>
              <w:t>强</w:t>
            </w:r>
          </w:p>
        </w:tc>
        <w:tc>
          <w:tcPr>
            <w:tcW w:w="770" w:type="pct"/>
            <w:vAlign w:val="center"/>
          </w:tcPr>
          <w:p w14:paraId="7F191EDC">
            <w:pPr>
              <w:ind w:firstLine="0" w:firstLineChars="0"/>
              <w:jc w:val="center"/>
              <w:rPr>
                <w:rFonts w:cs="宋体"/>
                <w:sz w:val="21"/>
                <w:szCs w:val="21"/>
              </w:rPr>
            </w:pPr>
            <w:r>
              <w:rPr>
                <w:rFonts w:cs="宋体"/>
                <w:sz w:val="21"/>
                <w:szCs w:val="21"/>
              </w:rPr>
              <w:t>易</w:t>
            </w:r>
          </w:p>
        </w:tc>
        <w:tc>
          <w:tcPr>
            <w:tcW w:w="998" w:type="pct"/>
            <w:vAlign w:val="center"/>
          </w:tcPr>
          <w:p w14:paraId="01C1EA0B">
            <w:pPr>
              <w:ind w:firstLine="0" w:firstLineChars="0"/>
              <w:jc w:val="center"/>
              <w:rPr>
                <w:rFonts w:cs="宋体"/>
                <w:sz w:val="21"/>
                <w:szCs w:val="21"/>
              </w:rPr>
            </w:pPr>
            <w:r>
              <w:rPr>
                <w:rFonts w:cs="宋体"/>
                <w:sz w:val="21"/>
                <w:szCs w:val="21"/>
              </w:rPr>
              <w:t>其他类型</w:t>
            </w:r>
          </w:p>
        </w:tc>
        <w:tc>
          <w:tcPr>
            <w:tcW w:w="1555" w:type="pct"/>
            <w:vAlign w:val="center"/>
          </w:tcPr>
          <w:p w14:paraId="073C4EE3">
            <w:pPr>
              <w:ind w:firstLine="0" w:firstLineChars="0"/>
              <w:jc w:val="center"/>
              <w:rPr>
                <w:rFonts w:cs="宋体"/>
                <w:sz w:val="21"/>
                <w:szCs w:val="21"/>
              </w:rPr>
            </w:pPr>
            <w:r>
              <w:rPr>
                <w:rFonts w:cs="宋体"/>
                <w:sz w:val="21"/>
                <w:szCs w:val="21"/>
              </w:rPr>
              <w:t>一般地面硬化</w:t>
            </w:r>
          </w:p>
        </w:tc>
      </w:tr>
    </w:tbl>
    <w:p w14:paraId="51D24D3D">
      <w:pPr>
        <w:ind w:firstLine="480"/>
        <w:rPr>
          <w:rFonts w:cs="宋体"/>
          <w:szCs w:val="24"/>
        </w:rPr>
      </w:pPr>
      <w:r>
        <w:rPr>
          <w:rFonts w:cs="宋体"/>
          <w:szCs w:val="24"/>
        </w:rPr>
        <w:t>结合项目特点，项目拟建工程防渗工程分为一般防渗区和简单防渗区、重点防渗区，分区防渗要求见表</w:t>
      </w:r>
      <w:r>
        <w:rPr>
          <w:rFonts w:hint="eastAsia"/>
          <w:szCs w:val="24"/>
        </w:rPr>
        <w:t>5</w:t>
      </w:r>
      <w:r>
        <w:rPr>
          <w:szCs w:val="24"/>
        </w:rPr>
        <w:t>.2-1</w:t>
      </w:r>
      <w:r>
        <w:rPr>
          <w:rFonts w:hint="eastAsia"/>
          <w:szCs w:val="24"/>
        </w:rPr>
        <w:t>6</w:t>
      </w:r>
      <w:r>
        <w:rPr>
          <w:rFonts w:cs="宋体"/>
          <w:szCs w:val="24"/>
        </w:rPr>
        <w:t>，分区防渗图见图</w:t>
      </w:r>
      <w:r>
        <w:rPr>
          <w:rFonts w:hint="eastAsia"/>
          <w:szCs w:val="24"/>
        </w:rPr>
        <w:t>5</w:t>
      </w:r>
      <w:r>
        <w:rPr>
          <w:szCs w:val="24"/>
        </w:rPr>
        <w:t>.2-1</w:t>
      </w:r>
      <w:r>
        <w:rPr>
          <w:rFonts w:hint="eastAsia" w:cs="宋体"/>
          <w:szCs w:val="24"/>
        </w:rPr>
        <w:t>。</w:t>
      </w:r>
    </w:p>
    <w:p w14:paraId="0BEA073A">
      <w:pPr>
        <w:ind w:firstLine="0" w:firstLineChars="0"/>
        <w:jc w:val="center"/>
        <w:rPr>
          <w:rFonts w:cs="黑体"/>
          <w:b/>
          <w:bCs/>
          <w:szCs w:val="21"/>
        </w:rPr>
      </w:pPr>
      <w:r>
        <w:rPr>
          <w:rFonts w:cs="黑体"/>
          <w:b/>
          <w:bCs/>
          <w:szCs w:val="21"/>
        </w:rPr>
        <w:t>表</w:t>
      </w:r>
      <w:r>
        <w:rPr>
          <w:rFonts w:hint="eastAsia" w:cs="黑体"/>
          <w:b/>
          <w:bCs/>
          <w:szCs w:val="21"/>
        </w:rPr>
        <w:t>5</w:t>
      </w:r>
      <w:r>
        <w:rPr>
          <w:b/>
          <w:bCs/>
          <w:szCs w:val="21"/>
        </w:rPr>
        <w:t>.2-1</w:t>
      </w:r>
      <w:r>
        <w:rPr>
          <w:rFonts w:hint="eastAsia"/>
          <w:b/>
          <w:bCs/>
          <w:szCs w:val="21"/>
        </w:rPr>
        <w:t>6</w:t>
      </w:r>
      <w:r>
        <w:rPr>
          <w:rFonts w:cs="黑体"/>
          <w:b/>
          <w:bCs/>
          <w:szCs w:val="21"/>
        </w:rPr>
        <w:t>拟建项目分区防渗要求表</w:t>
      </w:r>
    </w:p>
    <w:tbl>
      <w:tblPr>
        <w:tblStyle w:val="183"/>
        <w:tblW w:w="501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57"/>
        <w:gridCol w:w="2059"/>
        <w:gridCol w:w="4419"/>
      </w:tblGrid>
      <w:tr w14:paraId="3617F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114" w:type="pct"/>
            <w:tcBorders>
              <w:tl2br w:val="nil"/>
              <w:tr2bl w:val="nil"/>
            </w:tcBorders>
            <w:vAlign w:val="center"/>
          </w:tcPr>
          <w:p w14:paraId="2C23E0A3">
            <w:pPr>
              <w:ind w:firstLine="0" w:firstLineChars="0"/>
              <w:jc w:val="center"/>
              <w:rPr>
                <w:rFonts w:cs="宋体"/>
                <w:sz w:val="21"/>
                <w:szCs w:val="21"/>
              </w:rPr>
            </w:pPr>
            <w:r>
              <w:rPr>
                <w:rFonts w:cs="宋体"/>
                <w:sz w:val="21"/>
                <w:szCs w:val="21"/>
              </w:rPr>
              <w:t>主要环节</w:t>
            </w:r>
          </w:p>
        </w:tc>
        <w:tc>
          <w:tcPr>
            <w:tcW w:w="1235" w:type="pct"/>
            <w:tcBorders>
              <w:tl2br w:val="nil"/>
              <w:tr2bl w:val="nil"/>
            </w:tcBorders>
            <w:vAlign w:val="center"/>
          </w:tcPr>
          <w:p w14:paraId="776D9944">
            <w:pPr>
              <w:ind w:firstLine="0" w:firstLineChars="0"/>
              <w:jc w:val="center"/>
              <w:rPr>
                <w:rFonts w:cs="宋体"/>
                <w:sz w:val="21"/>
                <w:szCs w:val="21"/>
              </w:rPr>
            </w:pPr>
            <w:r>
              <w:rPr>
                <w:rFonts w:cs="宋体"/>
                <w:sz w:val="21"/>
                <w:szCs w:val="21"/>
              </w:rPr>
              <w:t>防渗级别</w:t>
            </w:r>
          </w:p>
        </w:tc>
        <w:tc>
          <w:tcPr>
            <w:tcW w:w="2650" w:type="pct"/>
            <w:tcBorders>
              <w:tl2br w:val="nil"/>
              <w:tr2bl w:val="nil"/>
            </w:tcBorders>
            <w:vAlign w:val="center"/>
          </w:tcPr>
          <w:p w14:paraId="429DAD8E">
            <w:pPr>
              <w:ind w:firstLine="0" w:firstLineChars="0"/>
              <w:jc w:val="center"/>
              <w:rPr>
                <w:rFonts w:cs="宋体"/>
                <w:sz w:val="21"/>
                <w:szCs w:val="21"/>
              </w:rPr>
            </w:pPr>
            <w:r>
              <w:rPr>
                <w:rFonts w:cs="宋体"/>
                <w:sz w:val="21"/>
                <w:szCs w:val="21"/>
              </w:rPr>
              <w:t>防渗要求</w:t>
            </w:r>
          </w:p>
        </w:tc>
      </w:tr>
      <w:tr w14:paraId="75E14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14" w:type="pct"/>
            <w:tcBorders>
              <w:tl2br w:val="nil"/>
              <w:tr2bl w:val="nil"/>
            </w:tcBorders>
            <w:vAlign w:val="center"/>
          </w:tcPr>
          <w:p w14:paraId="4F8A894E">
            <w:pPr>
              <w:ind w:firstLine="0" w:firstLineChars="0"/>
              <w:jc w:val="center"/>
              <w:rPr>
                <w:rFonts w:cs="宋体"/>
                <w:sz w:val="21"/>
                <w:szCs w:val="21"/>
              </w:rPr>
            </w:pPr>
            <w:r>
              <w:rPr>
                <w:rFonts w:hint="eastAsia" w:cs="宋体"/>
                <w:sz w:val="21"/>
                <w:szCs w:val="21"/>
              </w:rPr>
              <w:t>堆肥场</w:t>
            </w:r>
          </w:p>
        </w:tc>
        <w:tc>
          <w:tcPr>
            <w:tcW w:w="1235" w:type="pct"/>
            <w:tcBorders>
              <w:tl2br w:val="nil"/>
              <w:tr2bl w:val="nil"/>
            </w:tcBorders>
            <w:vAlign w:val="center"/>
          </w:tcPr>
          <w:p w14:paraId="10C25B04">
            <w:pPr>
              <w:ind w:firstLine="0" w:firstLineChars="0"/>
              <w:jc w:val="center"/>
              <w:rPr>
                <w:rFonts w:cs="宋体"/>
                <w:sz w:val="21"/>
                <w:szCs w:val="21"/>
              </w:rPr>
            </w:pPr>
            <w:r>
              <w:rPr>
                <w:rFonts w:cs="宋体"/>
                <w:sz w:val="21"/>
                <w:szCs w:val="21"/>
              </w:rPr>
              <w:t>重点防渗区</w:t>
            </w:r>
          </w:p>
        </w:tc>
        <w:tc>
          <w:tcPr>
            <w:tcW w:w="2650" w:type="pct"/>
            <w:vMerge w:val="restart"/>
            <w:tcBorders>
              <w:tl2br w:val="nil"/>
              <w:tr2bl w:val="nil"/>
            </w:tcBorders>
            <w:vAlign w:val="center"/>
          </w:tcPr>
          <w:p w14:paraId="0B2A6E97">
            <w:pPr>
              <w:ind w:firstLine="0" w:firstLineChars="0"/>
              <w:jc w:val="center"/>
              <w:rPr>
                <w:rFonts w:cs="宋体"/>
                <w:sz w:val="21"/>
                <w:szCs w:val="21"/>
              </w:rPr>
            </w:pPr>
            <w:r>
              <w:rPr>
                <w:rFonts w:hint="eastAsia" w:ascii="宋体" w:hAnsi="宋体" w:cs="宋体"/>
                <w:sz w:val="21"/>
                <w:szCs w:val="21"/>
              </w:rPr>
              <w:t>①</w:t>
            </w:r>
            <w:r>
              <w:rPr>
                <w:rFonts w:cs="宋体"/>
                <w:sz w:val="21"/>
                <w:szCs w:val="21"/>
              </w:rPr>
              <w:t>各单元防渗工程的设计使用年限不低于构筑物的设计使用年限</w:t>
            </w:r>
            <w:r>
              <w:rPr>
                <w:rFonts w:hint="eastAsia" w:cs="宋体"/>
                <w:sz w:val="21"/>
                <w:szCs w:val="21"/>
              </w:rPr>
              <w:t>。</w:t>
            </w:r>
            <w:r>
              <w:rPr>
                <w:rFonts w:hint="eastAsia" w:ascii="宋体" w:hAnsi="宋体" w:cs="宋体"/>
                <w:sz w:val="21"/>
                <w:szCs w:val="21"/>
              </w:rPr>
              <w:t>②</w:t>
            </w:r>
            <w:r>
              <w:rPr>
                <w:rFonts w:cs="宋体"/>
                <w:sz w:val="21"/>
                <w:szCs w:val="21"/>
              </w:rPr>
              <w:t>防渗性能不低于</w:t>
            </w:r>
            <w:r>
              <w:rPr>
                <w:sz w:val="21"/>
                <w:szCs w:val="21"/>
              </w:rPr>
              <w:t>6.0m</w:t>
            </w:r>
            <w:r>
              <w:rPr>
                <w:rFonts w:cs="宋体"/>
                <w:sz w:val="21"/>
                <w:szCs w:val="21"/>
              </w:rPr>
              <w:t>厚，渗透系数为</w:t>
            </w:r>
            <w:r>
              <w:rPr>
                <w:sz w:val="21"/>
                <w:szCs w:val="21"/>
              </w:rPr>
              <w:t>1.0</w:t>
            </w:r>
            <w:r>
              <w:rPr>
                <w:rFonts w:cs="宋体"/>
                <w:sz w:val="21"/>
                <w:szCs w:val="21"/>
              </w:rPr>
              <w:t>×</w:t>
            </w:r>
            <w:r>
              <w:rPr>
                <w:sz w:val="21"/>
                <w:szCs w:val="21"/>
              </w:rPr>
              <w:t>10</w:t>
            </w:r>
            <w:r>
              <w:rPr>
                <w:sz w:val="21"/>
                <w:szCs w:val="14"/>
                <w:vertAlign w:val="superscript"/>
              </w:rPr>
              <w:t>-7</w:t>
            </w:r>
            <w:r>
              <w:rPr>
                <w:sz w:val="21"/>
                <w:szCs w:val="21"/>
              </w:rPr>
              <w:t>cm/s</w:t>
            </w:r>
            <w:r>
              <w:rPr>
                <w:rFonts w:cs="宋体"/>
                <w:sz w:val="21"/>
                <w:szCs w:val="21"/>
              </w:rPr>
              <w:t>的黏土层的防渗性能</w:t>
            </w:r>
            <w:r>
              <w:rPr>
                <w:rFonts w:hint="eastAsia" w:cs="宋体"/>
                <w:sz w:val="21"/>
                <w:szCs w:val="21"/>
              </w:rPr>
              <w:t>。</w:t>
            </w:r>
            <w:r>
              <w:rPr>
                <w:rFonts w:hint="eastAsia" w:ascii="宋体" w:hAnsi="宋体" w:cs="宋体"/>
                <w:sz w:val="21"/>
                <w:szCs w:val="21"/>
              </w:rPr>
              <w:t>③</w:t>
            </w:r>
            <w:r>
              <w:rPr>
                <w:rFonts w:cs="宋体"/>
                <w:sz w:val="21"/>
                <w:szCs w:val="21"/>
              </w:rPr>
              <w:t>地面防渗方案可采用混凝土防渗、</w:t>
            </w:r>
            <w:r>
              <w:rPr>
                <w:sz w:val="21"/>
                <w:szCs w:val="21"/>
              </w:rPr>
              <w:t>HDPE</w:t>
            </w:r>
            <w:r>
              <w:rPr>
                <w:rFonts w:cs="宋体"/>
                <w:sz w:val="21"/>
                <w:szCs w:val="21"/>
              </w:rPr>
              <w:t>膜防渗和钠基膨润土防水毯防渗层，防渗性能满足</w:t>
            </w:r>
            <w:r>
              <w:rPr>
                <w:rFonts w:hint="eastAsia" w:ascii="宋体" w:hAnsi="宋体" w:cs="宋体"/>
                <w:sz w:val="21"/>
                <w:szCs w:val="21"/>
              </w:rPr>
              <w:t>②</w:t>
            </w:r>
            <w:r>
              <w:rPr>
                <w:rFonts w:cs="宋体"/>
                <w:sz w:val="21"/>
                <w:szCs w:val="21"/>
              </w:rPr>
              <w:t>要求</w:t>
            </w:r>
            <w:r>
              <w:rPr>
                <w:rFonts w:hint="eastAsia" w:cs="宋体"/>
                <w:sz w:val="21"/>
                <w:szCs w:val="21"/>
              </w:rPr>
              <w:t>。</w:t>
            </w:r>
          </w:p>
        </w:tc>
      </w:tr>
      <w:tr w14:paraId="00DDB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jc w:val="center"/>
        </w:trPr>
        <w:tc>
          <w:tcPr>
            <w:tcW w:w="1114" w:type="pct"/>
            <w:tcBorders>
              <w:tl2br w:val="nil"/>
              <w:tr2bl w:val="nil"/>
            </w:tcBorders>
            <w:vAlign w:val="center"/>
          </w:tcPr>
          <w:p w14:paraId="5F046F84">
            <w:pPr>
              <w:ind w:firstLine="0" w:firstLineChars="0"/>
              <w:jc w:val="center"/>
              <w:rPr>
                <w:rFonts w:cs="宋体"/>
                <w:sz w:val="21"/>
                <w:szCs w:val="21"/>
              </w:rPr>
            </w:pPr>
            <w:r>
              <w:rPr>
                <w:rFonts w:hint="eastAsia" w:cs="宋体"/>
                <w:sz w:val="21"/>
                <w:szCs w:val="21"/>
              </w:rPr>
              <w:t>防渗化粪池</w:t>
            </w:r>
          </w:p>
        </w:tc>
        <w:tc>
          <w:tcPr>
            <w:tcW w:w="1235" w:type="pct"/>
            <w:tcBorders>
              <w:tl2br w:val="nil"/>
              <w:tr2bl w:val="nil"/>
            </w:tcBorders>
            <w:vAlign w:val="center"/>
          </w:tcPr>
          <w:p w14:paraId="4836F9E3">
            <w:pPr>
              <w:ind w:firstLine="0" w:firstLineChars="0"/>
              <w:jc w:val="center"/>
              <w:rPr>
                <w:rFonts w:cs="宋体"/>
                <w:sz w:val="21"/>
                <w:szCs w:val="21"/>
              </w:rPr>
            </w:pPr>
            <w:r>
              <w:rPr>
                <w:rFonts w:cs="宋体"/>
                <w:sz w:val="21"/>
                <w:szCs w:val="21"/>
              </w:rPr>
              <w:t>重点防渗区</w:t>
            </w:r>
          </w:p>
        </w:tc>
        <w:tc>
          <w:tcPr>
            <w:tcW w:w="2650" w:type="pct"/>
            <w:vMerge w:val="continue"/>
            <w:tcBorders>
              <w:tl2br w:val="nil"/>
              <w:tr2bl w:val="nil"/>
            </w:tcBorders>
            <w:vAlign w:val="center"/>
          </w:tcPr>
          <w:p w14:paraId="001D58A1">
            <w:pPr>
              <w:ind w:firstLine="0" w:firstLineChars="0"/>
              <w:jc w:val="center"/>
              <w:rPr>
                <w:sz w:val="21"/>
              </w:rPr>
            </w:pPr>
          </w:p>
        </w:tc>
      </w:tr>
      <w:tr w14:paraId="24EB3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14" w:type="pct"/>
            <w:tcBorders>
              <w:tl2br w:val="nil"/>
              <w:tr2bl w:val="nil"/>
            </w:tcBorders>
            <w:vAlign w:val="center"/>
          </w:tcPr>
          <w:p w14:paraId="5614E95B">
            <w:pPr>
              <w:ind w:firstLine="0" w:firstLineChars="0"/>
              <w:jc w:val="center"/>
              <w:rPr>
                <w:rFonts w:cs="宋体"/>
                <w:sz w:val="21"/>
                <w:szCs w:val="21"/>
              </w:rPr>
            </w:pPr>
            <w:r>
              <w:rPr>
                <w:rFonts w:cs="宋体"/>
                <w:sz w:val="21"/>
                <w:szCs w:val="21"/>
              </w:rPr>
              <w:t>养殖圈舍</w:t>
            </w:r>
          </w:p>
        </w:tc>
        <w:tc>
          <w:tcPr>
            <w:tcW w:w="1235" w:type="pct"/>
            <w:tcBorders>
              <w:tl2br w:val="nil"/>
              <w:tr2bl w:val="nil"/>
            </w:tcBorders>
            <w:vAlign w:val="center"/>
          </w:tcPr>
          <w:p w14:paraId="7B4918E4">
            <w:pPr>
              <w:ind w:firstLine="0" w:firstLineChars="0"/>
              <w:jc w:val="center"/>
              <w:rPr>
                <w:rFonts w:cs="宋体"/>
                <w:sz w:val="21"/>
                <w:szCs w:val="21"/>
              </w:rPr>
            </w:pPr>
            <w:r>
              <w:rPr>
                <w:rFonts w:cs="宋体"/>
                <w:sz w:val="21"/>
                <w:szCs w:val="21"/>
              </w:rPr>
              <w:t>一般防渗区</w:t>
            </w:r>
          </w:p>
        </w:tc>
        <w:tc>
          <w:tcPr>
            <w:tcW w:w="2650" w:type="pct"/>
            <w:tcBorders>
              <w:tl2br w:val="nil"/>
              <w:tr2bl w:val="nil"/>
            </w:tcBorders>
            <w:vAlign w:val="center"/>
          </w:tcPr>
          <w:p w14:paraId="3E4CD744">
            <w:pPr>
              <w:ind w:firstLine="0" w:firstLineChars="0"/>
              <w:jc w:val="center"/>
              <w:rPr>
                <w:rFonts w:cs="宋体"/>
                <w:sz w:val="21"/>
                <w:szCs w:val="21"/>
              </w:rPr>
            </w:pPr>
            <w:r>
              <w:rPr>
                <w:rFonts w:cs="宋体"/>
                <w:sz w:val="21"/>
                <w:szCs w:val="21"/>
              </w:rPr>
              <w:t>防渗性能不低于</w:t>
            </w:r>
            <w:r>
              <w:rPr>
                <w:sz w:val="21"/>
                <w:szCs w:val="21"/>
              </w:rPr>
              <w:t>1.5m</w:t>
            </w:r>
            <w:r>
              <w:rPr>
                <w:rFonts w:cs="宋体"/>
                <w:sz w:val="21"/>
                <w:szCs w:val="21"/>
              </w:rPr>
              <w:t>厚，渗透系数为</w:t>
            </w:r>
            <w:r>
              <w:rPr>
                <w:sz w:val="21"/>
                <w:szCs w:val="21"/>
              </w:rPr>
              <w:t>1.0</w:t>
            </w:r>
            <w:r>
              <w:rPr>
                <w:rFonts w:cs="宋体"/>
                <w:sz w:val="21"/>
                <w:szCs w:val="21"/>
              </w:rPr>
              <w:t>×</w:t>
            </w:r>
            <w:r>
              <w:rPr>
                <w:sz w:val="21"/>
                <w:szCs w:val="21"/>
              </w:rPr>
              <w:t>10</w:t>
            </w:r>
            <w:r>
              <w:rPr>
                <w:sz w:val="21"/>
                <w:szCs w:val="14"/>
                <w:vertAlign w:val="superscript"/>
              </w:rPr>
              <w:t>-7</w:t>
            </w:r>
            <w:r>
              <w:rPr>
                <w:sz w:val="21"/>
                <w:szCs w:val="21"/>
              </w:rPr>
              <w:t>cm/s</w:t>
            </w:r>
            <w:r>
              <w:rPr>
                <w:rFonts w:cs="宋体"/>
                <w:sz w:val="21"/>
                <w:szCs w:val="21"/>
              </w:rPr>
              <w:t>的黏土层的防渗性能</w:t>
            </w:r>
            <w:r>
              <w:rPr>
                <w:rFonts w:hint="eastAsia" w:cs="宋体"/>
                <w:sz w:val="21"/>
                <w:szCs w:val="21"/>
              </w:rPr>
              <w:t>。</w:t>
            </w:r>
            <w:r>
              <w:rPr>
                <w:rFonts w:cs="宋体"/>
                <w:sz w:val="21"/>
                <w:szCs w:val="21"/>
              </w:rPr>
              <w:t>一般防渗区</w:t>
            </w:r>
          </w:p>
        </w:tc>
      </w:tr>
      <w:tr w14:paraId="7F418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14" w:type="pct"/>
            <w:tcBorders>
              <w:tl2br w:val="nil"/>
              <w:tr2bl w:val="nil"/>
            </w:tcBorders>
            <w:vAlign w:val="center"/>
          </w:tcPr>
          <w:p w14:paraId="6D9E850F">
            <w:pPr>
              <w:ind w:firstLine="0" w:firstLineChars="0"/>
              <w:jc w:val="center"/>
              <w:rPr>
                <w:rFonts w:cs="宋体"/>
                <w:sz w:val="21"/>
                <w:szCs w:val="21"/>
              </w:rPr>
            </w:pPr>
            <w:r>
              <w:rPr>
                <w:rFonts w:cs="宋体"/>
                <w:sz w:val="21"/>
                <w:szCs w:val="21"/>
              </w:rPr>
              <w:t>办公室</w:t>
            </w:r>
          </w:p>
        </w:tc>
        <w:tc>
          <w:tcPr>
            <w:tcW w:w="1235" w:type="pct"/>
            <w:tcBorders>
              <w:tl2br w:val="nil"/>
              <w:tr2bl w:val="nil"/>
            </w:tcBorders>
            <w:vAlign w:val="center"/>
          </w:tcPr>
          <w:p w14:paraId="75638EB3">
            <w:pPr>
              <w:ind w:firstLine="0" w:firstLineChars="0"/>
              <w:jc w:val="center"/>
              <w:rPr>
                <w:rFonts w:cs="宋体"/>
                <w:sz w:val="21"/>
                <w:szCs w:val="21"/>
              </w:rPr>
            </w:pPr>
            <w:r>
              <w:rPr>
                <w:rFonts w:cs="宋体"/>
                <w:sz w:val="21"/>
                <w:szCs w:val="21"/>
              </w:rPr>
              <w:t>简单防渗区</w:t>
            </w:r>
          </w:p>
        </w:tc>
        <w:tc>
          <w:tcPr>
            <w:tcW w:w="2650" w:type="pct"/>
            <w:vMerge w:val="restart"/>
            <w:tcBorders>
              <w:tl2br w:val="nil"/>
              <w:tr2bl w:val="nil"/>
            </w:tcBorders>
            <w:vAlign w:val="center"/>
          </w:tcPr>
          <w:p w14:paraId="07666BC8">
            <w:pPr>
              <w:ind w:firstLine="0" w:firstLineChars="0"/>
              <w:jc w:val="center"/>
              <w:rPr>
                <w:rFonts w:cs="宋体"/>
                <w:sz w:val="21"/>
                <w:szCs w:val="21"/>
              </w:rPr>
            </w:pPr>
            <w:r>
              <w:rPr>
                <w:rFonts w:cs="宋体"/>
                <w:sz w:val="21"/>
                <w:szCs w:val="21"/>
              </w:rPr>
              <w:t>一般地面硬化</w:t>
            </w:r>
          </w:p>
        </w:tc>
      </w:tr>
      <w:tr w14:paraId="11C26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14" w:type="pct"/>
            <w:tcBorders>
              <w:tl2br w:val="nil"/>
              <w:tr2bl w:val="nil"/>
            </w:tcBorders>
            <w:vAlign w:val="center"/>
          </w:tcPr>
          <w:p w14:paraId="104FAB5B">
            <w:pPr>
              <w:ind w:firstLine="0" w:firstLineChars="0"/>
              <w:jc w:val="center"/>
              <w:rPr>
                <w:rFonts w:cs="宋体"/>
                <w:sz w:val="21"/>
                <w:szCs w:val="21"/>
              </w:rPr>
            </w:pPr>
            <w:r>
              <w:rPr>
                <w:rFonts w:cs="宋体"/>
                <w:sz w:val="21"/>
                <w:szCs w:val="21"/>
              </w:rPr>
              <w:t>宿舍区</w:t>
            </w:r>
          </w:p>
        </w:tc>
        <w:tc>
          <w:tcPr>
            <w:tcW w:w="1235" w:type="pct"/>
            <w:tcBorders>
              <w:tl2br w:val="nil"/>
              <w:tr2bl w:val="nil"/>
            </w:tcBorders>
            <w:vAlign w:val="center"/>
          </w:tcPr>
          <w:p w14:paraId="5B6D7289">
            <w:pPr>
              <w:ind w:firstLine="0" w:firstLineChars="0"/>
              <w:jc w:val="center"/>
              <w:rPr>
                <w:rFonts w:cs="宋体"/>
                <w:sz w:val="21"/>
                <w:szCs w:val="21"/>
              </w:rPr>
            </w:pPr>
            <w:r>
              <w:rPr>
                <w:rFonts w:cs="宋体"/>
                <w:sz w:val="21"/>
                <w:szCs w:val="21"/>
              </w:rPr>
              <w:t>简单防渗区</w:t>
            </w:r>
          </w:p>
        </w:tc>
        <w:tc>
          <w:tcPr>
            <w:tcW w:w="2650" w:type="pct"/>
            <w:vMerge w:val="continue"/>
            <w:tcBorders>
              <w:tl2br w:val="nil"/>
              <w:tr2bl w:val="nil"/>
            </w:tcBorders>
            <w:vAlign w:val="center"/>
          </w:tcPr>
          <w:p w14:paraId="10CFDF9E">
            <w:pPr>
              <w:ind w:firstLine="0" w:firstLineChars="0"/>
              <w:jc w:val="center"/>
              <w:rPr>
                <w:sz w:val="21"/>
              </w:rPr>
            </w:pPr>
          </w:p>
        </w:tc>
      </w:tr>
    </w:tbl>
    <w:p w14:paraId="6B22072A">
      <w:pPr>
        <w:ind w:firstLine="480"/>
        <w:rPr>
          <w:rFonts w:cs="宋体"/>
          <w:szCs w:val="24"/>
        </w:rPr>
      </w:pPr>
      <w:r>
        <w:rPr>
          <w:szCs w:val="24"/>
        </w:rPr>
        <w:t>I</w:t>
      </w:r>
      <w:r>
        <w:rPr>
          <w:rFonts w:cs="宋体"/>
          <w:szCs w:val="24"/>
        </w:rPr>
        <w:t>、重点防渗区防渗措施</w:t>
      </w:r>
    </w:p>
    <w:p w14:paraId="1379BBCA">
      <w:pPr>
        <w:ind w:firstLine="480"/>
        <w:rPr>
          <w:rFonts w:cs="宋体"/>
          <w:szCs w:val="24"/>
        </w:rPr>
      </w:pPr>
      <w:r>
        <w:rPr>
          <w:rFonts w:cs="宋体"/>
          <w:szCs w:val="24"/>
        </w:rPr>
        <w:t>项目</w:t>
      </w:r>
      <w:r>
        <w:rPr>
          <w:rFonts w:hint="eastAsia" w:cs="宋体"/>
          <w:szCs w:val="24"/>
        </w:rPr>
        <w:t>堆肥场和防渗化粪池</w:t>
      </w:r>
      <w:r>
        <w:rPr>
          <w:rFonts w:cs="宋体"/>
          <w:szCs w:val="24"/>
        </w:rPr>
        <w:t>在施工图设计及施工阶段对基础层进行防渗处理，采用符合要求的天然基础层或人工合成衬里材料</w:t>
      </w:r>
      <w:r>
        <w:rPr>
          <w:rFonts w:hint="eastAsia" w:cs="宋体"/>
          <w:szCs w:val="24"/>
        </w:rPr>
        <w:t>（</w:t>
      </w:r>
      <w:r>
        <w:rPr>
          <w:szCs w:val="24"/>
        </w:rPr>
        <w:t>HDPE</w:t>
      </w:r>
      <w:r>
        <w:rPr>
          <w:rFonts w:cs="宋体"/>
          <w:szCs w:val="24"/>
        </w:rPr>
        <w:t>膜</w:t>
      </w:r>
      <w:r>
        <w:rPr>
          <w:rFonts w:hint="eastAsia" w:cs="宋体"/>
          <w:szCs w:val="24"/>
        </w:rPr>
        <w:t>）</w:t>
      </w:r>
      <w:r>
        <w:rPr>
          <w:rFonts w:cs="宋体"/>
          <w:szCs w:val="24"/>
        </w:rPr>
        <w:t>，具体要求依据《危险废物填埋污染控制标准》</w:t>
      </w:r>
      <w:r>
        <w:rPr>
          <w:rFonts w:hint="eastAsia" w:cs="宋体"/>
          <w:szCs w:val="24"/>
        </w:rPr>
        <w:t>（</w:t>
      </w:r>
      <w:r>
        <w:rPr>
          <w:szCs w:val="24"/>
        </w:rPr>
        <w:t>GB18598-2001</w:t>
      </w:r>
      <w:r>
        <w:rPr>
          <w:rFonts w:hint="eastAsia" w:cs="宋体"/>
          <w:szCs w:val="24"/>
        </w:rPr>
        <w:t>）</w:t>
      </w:r>
      <w:r>
        <w:rPr>
          <w:rFonts w:cs="宋体"/>
          <w:szCs w:val="24"/>
        </w:rPr>
        <w:t>进行实施</w:t>
      </w:r>
      <w:r>
        <w:rPr>
          <w:rFonts w:hint="eastAsia" w:cs="宋体"/>
          <w:szCs w:val="24"/>
        </w:rPr>
        <w:t>。</w:t>
      </w:r>
      <w:r>
        <w:rPr>
          <w:rFonts w:cs="宋体"/>
          <w:szCs w:val="24"/>
        </w:rPr>
        <w:t>防渗层防渗性能不能低于</w:t>
      </w:r>
      <w:r>
        <w:rPr>
          <w:szCs w:val="24"/>
        </w:rPr>
        <w:t>6m</w:t>
      </w:r>
      <w:r>
        <w:rPr>
          <w:rFonts w:cs="宋体"/>
          <w:szCs w:val="24"/>
        </w:rPr>
        <w:t>厚，渗透系数</w:t>
      </w:r>
      <w:r>
        <w:rPr>
          <w:szCs w:val="24"/>
        </w:rPr>
        <w:t>≤10</w:t>
      </w:r>
      <w:r>
        <w:rPr>
          <w:szCs w:val="15"/>
          <w:vertAlign w:val="superscript"/>
        </w:rPr>
        <w:t>-7</w:t>
      </w:r>
      <w:r>
        <w:rPr>
          <w:szCs w:val="24"/>
        </w:rPr>
        <w:t>cm/s</w:t>
      </w:r>
      <w:r>
        <w:rPr>
          <w:rFonts w:cs="宋体"/>
          <w:szCs w:val="24"/>
        </w:rPr>
        <w:t>的防渗性能，防止渗滤液泄漏污染地下水</w:t>
      </w:r>
      <w:r>
        <w:rPr>
          <w:rFonts w:hint="eastAsia" w:cs="宋体"/>
          <w:szCs w:val="24"/>
        </w:rPr>
        <w:t>。</w:t>
      </w:r>
    </w:p>
    <w:p w14:paraId="4025ECA7">
      <w:pPr>
        <w:ind w:firstLine="480"/>
        <w:rPr>
          <w:rFonts w:cs="宋体"/>
          <w:szCs w:val="24"/>
        </w:rPr>
      </w:pPr>
      <w:r>
        <w:rPr>
          <w:szCs w:val="24"/>
        </w:rPr>
        <w:t>II</w:t>
      </w:r>
      <w:r>
        <w:rPr>
          <w:rFonts w:cs="宋体"/>
          <w:szCs w:val="24"/>
        </w:rPr>
        <w:t>、一般防渗区</w:t>
      </w:r>
    </w:p>
    <w:p w14:paraId="09F4AC52">
      <w:pPr>
        <w:ind w:firstLine="480"/>
        <w:rPr>
          <w:rFonts w:cs="宋体"/>
          <w:szCs w:val="24"/>
        </w:rPr>
      </w:pPr>
      <w:r>
        <w:rPr>
          <w:rFonts w:cs="宋体"/>
          <w:szCs w:val="24"/>
        </w:rPr>
        <w:t>项目养殖区、</w:t>
      </w:r>
      <w:r>
        <w:rPr>
          <w:rFonts w:hint="eastAsia" w:cs="宋体"/>
          <w:szCs w:val="24"/>
        </w:rPr>
        <w:t>防渗化粪池</w:t>
      </w:r>
      <w:r>
        <w:rPr>
          <w:rFonts w:cs="宋体"/>
          <w:szCs w:val="24"/>
        </w:rPr>
        <w:t>在施工图设计及施工阶段对基础层进行防渗处理，具体要求依据《一般工业固体废物贮存和填埋污染控制标准》</w:t>
      </w:r>
      <w:r>
        <w:rPr>
          <w:rFonts w:hint="eastAsia" w:cs="宋体"/>
          <w:szCs w:val="24"/>
        </w:rPr>
        <w:t>（</w:t>
      </w:r>
      <w:r>
        <w:rPr>
          <w:szCs w:val="24"/>
        </w:rPr>
        <w:t>GB18599-2020</w:t>
      </w:r>
      <w:r>
        <w:rPr>
          <w:rFonts w:hint="eastAsia" w:cs="宋体"/>
          <w:szCs w:val="24"/>
        </w:rPr>
        <w:t>）</w:t>
      </w:r>
      <w:r>
        <w:rPr>
          <w:rFonts w:cs="宋体"/>
          <w:szCs w:val="24"/>
        </w:rPr>
        <w:t>进行实施</w:t>
      </w:r>
      <w:r>
        <w:rPr>
          <w:rFonts w:hint="eastAsia" w:cs="宋体"/>
          <w:szCs w:val="24"/>
        </w:rPr>
        <w:t>。</w:t>
      </w:r>
      <w:r>
        <w:rPr>
          <w:rFonts w:cs="宋体"/>
          <w:szCs w:val="24"/>
        </w:rPr>
        <w:t>构筑物除需做基础防渗处理外，应根据生产过程中接触到的物料腐蚀性情况根据要求采取相应的防腐蚀处理措施</w:t>
      </w:r>
      <w:r>
        <w:rPr>
          <w:rFonts w:hint="eastAsia" w:cs="宋体"/>
          <w:szCs w:val="24"/>
        </w:rPr>
        <w:t>。</w:t>
      </w:r>
      <w:r>
        <w:rPr>
          <w:rFonts w:cs="宋体"/>
          <w:szCs w:val="24"/>
        </w:rPr>
        <w:t>采取防渗措施后的基础层等效黏土防渗层</w:t>
      </w:r>
      <w:r>
        <w:rPr>
          <w:szCs w:val="24"/>
        </w:rPr>
        <w:t>Mb≥1.5m</w:t>
      </w:r>
      <w:r>
        <w:rPr>
          <w:rFonts w:cs="宋体"/>
          <w:szCs w:val="24"/>
        </w:rPr>
        <w:t>，</w:t>
      </w:r>
      <w:r>
        <w:rPr>
          <w:szCs w:val="24"/>
        </w:rPr>
        <w:t>k≤10</w:t>
      </w:r>
      <w:r>
        <w:rPr>
          <w:szCs w:val="15"/>
          <w:vertAlign w:val="superscript"/>
        </w:rPr>
        <w:t>-7</w:t>
      </w:r>
      <w:r>
        <w:rPr>
          <w:szCs w:val="24"/>
        </w:rPr>
        <w:t>cm/s</w:t>
      </w:r>
      <w:r>
        <w:rPr>
          <w:rFonts w:hint="eastAsia" w:cs="宋体"/>
          <w:szCs w:val="24"/>
        </w:rPr>
        <w:t>。</w:t>
      </w:r>
    </w:p>
    <w:p w14:paraId="0A837D9D">
      <w:pPr>
        <w:ind w:firstLine="480"/>
        <w:rPr>
          <w:rFonts w:cs="宋体"/>
          <w:szCs w:val="24"/>
        </w:rPr>
      </w:pPr>
      <w:r>
        <w:rPr>
          <w:szCs w:val="24"/>
        </w:rPr>
        <w:t>III</w:t>
      </w:r>
      <w:r>
        <w:rPr>
          <w:rFonts w:cs="宋体"/>
          <w:szCs w:val="24"/>
        </w:rPr>
        <w:t>、简单防渗区</w:t>
      </w:r>
    </w:p>
    <w:p w14:paraId="7176AFDF">
      <w:pPr>
        <w:ind w:firstLine="480"/>
        <w:rPr>
          <w:rFonts w:cs="宋体"/>
          <w:szCs w:val="24"/>
        </w:rPr>
      </w:pPr>
      <w:r>
        <w:rPr>
          <w:rFonts w:cs="宋体"/>
          <w:szCs w:val="24"/>
        </w:rPr>
        <w:t>简单防渗区采用水泥硬化防渗</w:t>
      </w:r>
      <w:r>
        <w:rPr>
          <w:rFonts w:hint="eastAsia" w:cs="宋体"/>
          <w:szCs w:val="24"/>
        </w:rPr>
        <w:t>。</w:t>
      </w:r>
      <w:r>
        <w:rPr>
          <w:rFonts w:cs="宋体"/>
          <w:szCs w:val="24"/>
        </w:rPr>
        <w:t>厂区其他地面除绿化用地外均采取灰土铺底，再在上层铺</w:t>
      </w:r>
      <w:r>
        <w:rPr>
          <w:szCs w:val="24"/>
        </w:rPr>
        <w:t>10</w:t>
      </w:r>
      <w:r>
        <w:rPr>
          <w:rFonts w:cs="宋体"/>
          <w:szCs w:val="24"/>
        </w:rPr>
        <w:t>~</w:t>
      </w:r>
      <w:r>
        <w:rPr>
          <w:szCs w:val="24"/>
        </w:rPr>
        <w:t>15cm</w:t>
      </w:r>
      <w:r>
        <w:rPr>
          <w:rFonts w:cs="宋体"/>
          <w:szCs w:val="24"/>
        </w:rPr>
        <w:t>的混凝土进行硬化</w:t>
      </w:r>
      <w:r>
        <w:rPr>
          <w:rFonts w:hint="eastAsia" w:cs="宋体"/>
          <w:szCs w:val="24"/>
        </w:rPr>
        <w:t>。</w:t>
      </w:r>
      <w:r>
        <w:rPr>
          <w:rFonts w:cs="宋体"/>
          <w:szCs w:val="24"/>
        </w:rPr>
        <w:t>具体见分区防渗示意图</w:t>
      </w:r>
      <w:r>
        <w:rPr>
          <w:rFonts w:hint="eastAsia"/>
          <w:szCs w:val="24"/>
        </w:rPr>
        <w:t>5</w:t>
      </w:r>
      <w:r>
        <w:rPr>
          <w:szCs w:val="24"/>
        </w:rPr>
        <w:t>.2-1</w:t>
      </w:r>
      <w:r>
        <w:rPr>
          <w:rFonts w:hint="eastAsia" w:cs="宋体"/>
          <w:szCs w:val="24"/>
        </w:rPr>
        <w:t>。</w:t>
      </w:r>
    </w:p>
    <w:p w14:paraId="7145F4EC">
      <w:pPr>
        <w:ind w:firstLine="480"/>
        <w:rPr>
          <w:rFonts w:cs="宋体"/>
          <w:szCs w:val="24"/>
        </w:rPr>
      </w:pPr>
      <w:r>
        <w:rPr>
          <w:szCs w:val="24"/>
        </w:rPr>
        <w:t>IV</w:t>
      </w:r>
      <w:r>
        <w:rPr>
          <w:rFonts w:cs="宋体"/>
          <w:szCs w:val="24"/>
        </w:rPr>
        <w:t>、废水管道防渗措施</w:t>
      </w:r>
    </w:p>
    <w:p w14:paraId="23D1E5C4">
      <w:pPr>
        <w:ind w:firstLine="480"/>
        <w:rPr>
          <w:rFonts w:cs="宋体"/>
          <w:szCs w:val="24"/>
        </w:rPr>
      </w:pPr>
      <w:r>
        <w:rPr>
          <w:rFonts w:cs="宋体"/>
          <w:szCs w:val="24"/>
        </w:rPr>
        <w:t>污水管线接口应采取严格的密封措施，防止污水泄漏污染地下水</w:t>
      </w:r>
      <w:r>
        <w:rPr>
          <w:rFonts w:hint="eastAsia" w:cs="宋体"/>
          <w:szCs w:val="24"/>
        </w:rPr>
        <w:t>。</w:t>
      </w:r>
      <w:r>
        <w:rPr>
          <w:rFonts w:cs="宋体"/>
          <w:szCs w:val="24"/>
        </w:rPr>
        <w:t>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r>
        <w:rPr>
          <w:rFonts w:hint="eastAsia" w:cs="宋体"/>
          <w:szCs w:val="24"/>
        </w:rPr>
        <w:t>。</w:t>
      </w:r>
    </w:p>
    <w:p w14:paraId="46685690">
      <w:pPr>
        <w:ind w:firstLine="480"/>
        <w:rPr>
          <w:rFonts w:cs="宋体"/>
          <w:szCs w:val="24"/>
        </w:rPr>
      </w:pPr>
      <w:r>
        <w:rPr>
          <w:szCs w:val="24"/>
        </w:rPr>
        <w:t>V</w:t>
      </w:r>
      <w:r>
        <w:rPr>
          <w:rFonts w:cs="宋体"/>
          <w:szCs w:val="24"/>
        </w:rPr>
        <w:t>、监测井设置</w:t>
      </w:r>
    </w:p>
    <w:p w14:paraId="2BCD9B4B">
      <w:pPr>
        <w:ind w:firstLine="480"/>
        <w:rPr>
          <w:rFonts w:cs="宋体"/>
          <w:szCs w:val="24"/>
        </w:rPr>
      </w:pPr>
      <w:r>
        <w:rPr>
          <w:rFonts w:cs="宋体"/>
          <w:szCs w:val="24"/>
        </w:rPr>
        <w:t>根据《地下水环境监测技术规范》</w:t>
      </w:r>
      <w:r>
        <w:rPr>
          <w:rFonts w:hint="eastAsia" w:cs="宋体"/>
          <w:szCs w:val="24"/>
        </w:rPr>
        <w:t>（</w:t>
      </w:r>
      <w:r>
        <w:rPr>
          <w:szCs w:val="24"/>
        </w:rPr>
        <w:t>HJ164-2020</w:t>
      </w:r>
      <w:r>
        <w:rPr>
          <w:rFonts w:hint="eastAsia" w:cs="宋体"/>
          <w:szCs w:val="24"/>
        </w:rPr>
        <w:t>）</w:t>
      </w:r>
      <w:r>
        <w:rPr>
          <w:rFonts w:cs="宋体"/>
          <w:szCs w:val="24"/>
        </w:rPr>
        <w:t>中监测井要求设置，本项目要求在场区西南侧</w:t>
      </w:r>
      <w:r>
        <w:rPr>
          <w:rFonts w:hint="eastAsia" w:cs="宋体"/>
          <w:szCs w:val="24"/>
        </w:rPr>
        <w:t>（</w:t>
      </w:r>
      <w:r>
        <w:rPr>
          <w:rFonts w:cs="宋体"/>
          <w:szCs w:val="24"/>
        </w:rPr>
        <w:t>地下水上游</w:t>
      </w:r>
      <w:r>
        <w:rPr>
          <w:rFonts w:hint="eastAsia" w:cs="宋体"/>
          <w:szCs w:val="24"/>
        </w:rPr>
        <w:t>）</w:t>
      </w:r>
      <w:r>
        <w:rPr>
          <w:rFonts w:cs="宋体"/>
          <w:szCs w:val="24"/>
        </w:rPr>
        <w:t>边界设置</w:t>
      </w:r>
      <w:r>
        <w:rPr>
          <w:szCs w:val="24"/>
        </w:rPr>
        <w:t>1</w:t>
      </w:r>
      <w:r>
        <w:rPr>
          <w:rFonts w:cs="宋体"/>
          <w:szCs w:val="24"/>
        </w:rPr>
        <w:t>个对照监测点，地下水下游及两侧各设置</w:t>
      </w:r>
      <w:r>
        <w:rPr>
          <w:szCs w:val="24"/>
        </w:rPr>
        <w:t>1</w:t>
      </w:r>
      <w:r>
        <w:rPr>
          <w:rFonts w:cs="宋体"/>
          <w:szCs w:val="24"/>
        </w:rPr>
        <w:t>个监测点位，共</w:t>
      </w:r>
      <w:r>
        <w:rPr>
          <w:szCs w:val="24"/>
        </w:rPr>
        <w:t>4</w:t>
      </w:r>
      <w:r>
        <w:rPr>
          <w:rFonts w:cs="宋体"/>
          <w:szCs w:val="24"/>
        </w:rPr>
        <w:t>个地下水监测点位</w:t>
      </w:r>
      <w:r>
        <w:rPr>
          <w:rFonts w:hint="eastAsia" w:cs="宋体"/>
          <w:szCs w:val="24"/>
        </w:rPr>
        <w:t>。</w:t>
      </w:r>
    </w:p>
    <w:p w14:paraId="09CB62F1">
      <w:pPr>
        <w:ind w:firstLine="480"/>
        <w:rPr>
          <w:rFonts w:cs="宋体"/>
          <w:szCs w:val="24"/>
        </w:rPr>
      </w:pPr>
      <w:r>
        <w:rPr>
          <w:szCs w:val="24"/>
        </w:rPr>
        <w:t>VI</w:t>
      </w:r>
      <w:r>
        <w:rPr>
          <w:rFonts w:cs="宋体"/>
          <w:szCs w:val="24"/>
        </w:rPr>
        <w:t>、管理措施</w:t>
      </w:r>
    </w:p>
    <w:p w14:paraId="5A9F7118">
      <w:pPr>
        <w:ind w:firstLine="480"/>
        <w:rPr>
          <w:rFonts w:cs="宋体"/>
          <w:szCs w:val="24"/>
        </w:rPr>
      </w:pPr>
      <w:r>
        <w:rPr>
          <w:rFonts w:cs="宋体"/>
          <w:szCs w:val="24"/>
        </w:rPr>
        <w:t>项目运行后，配备专兼职技术人员，加强地下水环境管理及巡查，定期对圈舍、</w:t>
      </w:r>
      <w:r>
        <w:rPr>
          <w:rFonts w:hint="eastAsia" w:cs="宋体"/>
          <w:szCs w:val="24"/>
        </w:rPr>
        <w:t>防渗化粪池</w:t>
      </w:r>
      <w:r>
        <w:rPr>
          <w:rFonts w:cs="宋体"/>
          <w:szCs w:val="24"/>
        </w:rPr>
        <w:t>和</w:t>
      </w:r>
      <w:r>
        <w:rPr>
          <w:rFonts w:hint="eastAsia" w:cs="宋体"/>
          <w:szCs w:val="24"/>
        </w:rPr>
        <w:t>堆肥场</w:t>
      </w:r>
      <w:r>
        <w:rPr>
          <w:rFonts w:cs="宋体"/>
          <w:szCs w:val="24"/>
        </w:rPr>
        <w:t>等环节进行检漏工作，确保各防渗漏措施运行的长期性、稳定性和可靠性</w:t>
      </w:r>
      <w:r>
        <w:rPr>
          <w:rFonts w:hint="eastAsia" w:cs="宋体"/>
          <w:szCs w:val="24"/>
        </w:rPr>
        <w:t>。</w:t>
      </w:r>
    </w:p>
    <w:p w14:paraId="31C292BE">
      <w:pPr>
        <w:ind w:firstLine="480"/>
        <w:rPr>
          <w:rFonts w:cs="宋体"/>
          <w:szCs w:val="24"/>
        </w:rPr>
      </w:pPr>
      <w:r>
        <w:rPr>
          <w:rFonts w:hint="eastAsia"/>
          <w:szCs w:val="24"/>
        </w:rPr>
        <w:t>6、</w:t>
      </w:r>
      <w:r>
        <w:rPr>
          <w:rFonts w:cs="宋体"/>
          <w:szCs w:val="24"/>
        </w:rPr>
        <w:t>小结</w:t>
      </w:r>
    </w:p>
    <w:p w14:paraId="10844184">
      <w:pPr>
        <w:pStyle w:val="163"/>
        <w:spacing w:line="360" w:lineRule="auto"/>
        <w:ind w:firstLine="480"/>
        <w:rPr>
          <w:rFonts w:ascii="Times New Roman" w:hAnsi="Times New Roman"/>
          <w:bCs/>
          <w:sz w:val="24"/>
          <w:szCs w:val="24"/>
        </w:rPr>
      </w:pPr>
      <w:r>
        <w:rPr>
          <w:rFonts w:ascii="Times New Roman" w:hAnsi="Times New Roman" w:cs="宋体"/>
          <w:sz w:val="24"/>
          <w:szCs w:val="24"/>
        </w:rPr>
        <w:t>综上所述，通过认真落实并且严格执行本次环评提出的上述废</w:t>
      </w:r>
      <w:r>
        <w:rPr>
          <w:rFonts w:hint="eastAsia" w:ascii="Times New Roman" w:hAnsi="Times New Roman" w:cs="宋体"/>
          <w:sz w:val="24"/>
          <w:szCs w:val="24"/>
        </w:rPr>
        <w:t>（</w:t>
      </w:r>
      <w:r>
        <w:rPr>
          <w:rFonts w:ascii="Times New Roman" w:hAnsi="Times New Roman" w:cs="宋体"/>
          <w:sz w:val="24"/>
          <w:szCs w:val="24"/>
        </w:rPr>
        <w:t>污</w:t>
      </w:r>
      <w:r>
        <w:rPr>
          <w:rFonts w:hint="eastAsia" w:ascii="Times New Roman" w:hAnsi="Times New Roman" w:cs="宋体"/>
          <w:sz w:val="24"/>
          <w:szCs w:val="24"/>
        </w:rPr>
        <w:t>）</w:t>
      </w:r>
      <w:r>
        <w:rPr>
          <w:rFonts w:ascii="Times New Roman" w:hAnsi="Times New Roman" w:cs="宋体"/>
          <w:sz w:val="24"/>
          <w:szCs w:val="24"/>
        </w:rPr>
        <w:t>水防治措施后，本项目运营期间产生废</w:t>
      </w:r>
      <w:r>
        <w:rPr>
          <w:rFonts w:hint="eastAsia" w:ascii="Times New Roman" w:hAnsi="Times New Roman" w:cs="宋体"/>
          <w:sz w:val="24"/>
          <w:szCs w:val="24"/>
        </w:rPr>
        <w:t>（</w:t>
      </w:r>
      <w:r>
        <w:rPr>
          <w:rFonts w:ascii="Times New Roman" w:hAnsi="Times New Roman" w:cs="宋体"/>
          <w:sz w:val="24"/>
          <w:szCs w:val="24"/>
        </w:rPr>
        <w:t>污</w:t>
      </w:r>
      <w:r>
        <w:rPr>
          <w:rFonts w:hint="eastAsia" w:ascii="Times New Roman" w:hAnsi="Times New Roman" w:cs="宋体"/>
          <w:sz w:val="24"/>
          <w:szCs w:val="24"/>
        </w:rPr>
        <w:t>）</w:t>
      </w:r>
      <w:r>
        <w:rPr>
          <w:rFonts w:ascii="Times New Roman" w:hAnsi="Times New Roman" w:cs="宋体"/>
          <w:sz w:val="24"/>
          <w:szCs w:val="24"/>
        </w:rPr>
        <w:t>水对项目区及周边区域水环境产生影响较小</w:t>
      </w:r>
      <w:bookmarkEnd w:id="155"/>
      <w:r>
        <w:rPr>
          <w:rFonts w:hint="eastAsia" w:ascii="Times New Roman" w:hAnsi="Times New Roman" w:cs="宋体"/>
          <w:sz w:val="24"/>
          <w:szCs w:val="24"/>
        </w:rPr>
        <w:t>。</w:t>
      </w:r>
    </w:p>
    <w:p w14:paraId="3CD22B29">
      <w:pPr>
        <w:pStyle w:val="5"/>
      </w:pPr>
      <w:bookmarkStart w:id="156" w:name="_Toc106663502"/>
      <w:r>
        <w:rPr>
          <w:rFonts w:hint="eastAsia"/>
        </w:rPr>
        <w:t>5.2.3声环境影响分析</w:t>
      </w:r>
      <w:bookmarkEnd w:id="156"/>
    </w:p>
    <w:p w14:paraId="65CEA54D">
      <w:pPr>
        <w:ind w:firstLine="480"/>
      </w:pPr>
      <w:r>
        <w:t>1、噪声源</w:t>
      </w:r>
    </w:p>
    <w:p w14:paraId="43A859E8">
      <w:pPr>
        <w:ind w:firstLine="480"/>
      </w:pPr>
      <w:r>
        <w:t>本项目</w:t>
      </w:r>
      <w:r>
        <w:rPr>
          <w:rFonts w:hint="eastAsia"/>
        </w:rPr>
        <w:t>施工期间主要噪声源为施工机械产生的噪声，</w:t>
      </w:r>
      <w:r>
        <w:t>建成后主要噪声源为</w:t>
      </w:r>
      <w:r>
        <w:rPr>
          <w:rFonts w:hint="eastAsia"/>
        </w:rPr>
        <w:t>骆驼圈舍通风机及骆驼叫声产生的噪声</w:t>
      </w:r>
      <w:r>
        <w:t>等，详见下表5.2-</w:t>
      </w:r>
      <w:r>
        <w:rPr>
          <w:rFonts w:hint="eastAsia"/>
        </w:rPr>
        <w:t>17。</w:t>
      </w:r>
    </w:p>
    <w:p w14:paraId="2C8DF871">
      <w:pPr>
        <w:pStyle w:val="11"/>
        <w:rPr>
          <w:sz w:val="24"/>
          <w:szCs w:val="22"/>
        </w:rPr>
      </w:pPr>
      <w:r>
        <w:rPr>
          <w:sz w:val="24"/>
          <w:szCs w:val="22"/>
        </w:rPr>
        <w:t>表5.2-</w:t>
      </w:r>
      <w:r>
        <w:rPr>
          <w:rFonts w:hint="eastAsia"/>
          <w:sz w:val="24"/>
          <w:szCs w:val="22"/>
        </w:rPr>
        <w:t>17</w:t>
      </w:r>
      <w:r>
        <w:rPr>
          <w:sz w:val="24"/>
          <w:szCs w:val="22"/>
        </w:rPr>
        <w:t>主要噪声源</w:t>
      </w:r>
    </w:p>
    <w:tbl>
      <w:tblPr>
        <w:tblStyle w:val="3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42"/>
        <w:gridCol w:w="999"/>
        <w:gridCol w:w="1022"/>
        <w:gridCol w:w="725"/>
        <w:gridCol w:w="873"/>
        <w:gridCol w:w="3162"/>
        <w:gridCol w:w="999"/>
      </w:tblGrid>
      <w:tr w14:paraId="01154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4" w:hRule="atLeast"/>
          <w:jc w:val="center"/>
        </w:trPr>
        <w:tc>
          <w:tcPr>
            <w:tcW w:w="435" w:type="pct"/>
            <w:vMerge w:val="restart"/>
            <w:tcBorders>
              <w:tl2br w:val="nil"/>
              <w:tr2bl w:val="nil"/>
            </w:tcBorders>
            <w:shd w:val="clear" w:color="auto" w:fill="auto"/>
            <w:vAlign w:val="center"/>
          </w:tcPr>
          <w:p w14:paraId="5D80D4C0">
            <w:pPr>
              <w:pStyle w:val="154"/>
              <w:spacing w:line="240" w:lineRule="auto"/>
              <w:ind w:firstLine="0" w:firstLineChars="0"/>
              <w:jc w:val="center"/>
              <w:rPr>
                <w:b w:val="0"/>
                <w:bCs w:val="0"/>
                <w:color w:val="auto"/>
                <w:szCs w:val="21"/>
              </w:rPr>
            </w:pPr>
            <w:bookmarkStart w:id="157" w:name="_Hlk107742220"/>
            <w:r>
              <w:rPr>
                <w:rFonts w:hint="eastAsia"/>
                <w:b w:val="0"/>
                <w:bCs w:val="0"/>
                <w:color w:val="auto"/>
                <w:szCs w:val="21"/>
              </w:rPr>
              <w:t>序号</w:t>
            </w:r>
          </w:p>
        </w:tc>
        <w:tc>
          <w:tcPr>
            <w:tcW w:w="586" w:type="pct"/>
            <w:vMerge w:val="restart"/>
            <w:tcBorders>
              <w:tl2br w:val="nil"/>
              <w:tr2bl w:val="nil"/>
            </w:tcBorders>
            <w:shd w:val="clear" w:color="auto" w:fill="auto"/>
            <w:vAlign w:val="center"/>
          </w:tcPr>
          <w:p w14:paraId="326EB174">
            <w:pPr>
              <w:pStyle w:val="154"/>
              <w:spacing w:line="240" w:lineRule="auto"/>
              <w:ind w:firstLine="0" w:firstLineChars="0"/>
              <w:jc w:val="center"/>
              <w:rPr>
                <w:b w:val="0"/>
                <w:bCs w:val="0"/>
                <w:color w:val="auto"/>
                <w:szCs w:val="21"/>
              </w:rPr>
            </w:pPr>
            <w:r>
              <w:rPr>
                <w:rFonts w:hint="eastAsia"/>
                <w:b w:val="0"/>
                <w:bCs w:val="0"/>
                <w:color w:val="auto"/>
                <w:szCs w:val="21"/>
              </w:rPr>
              <w:t>种类</w:t>
            </w:r>
          </w:p>
        </w:tc>
        <w:tc>
          <w:tcPr>
            <w:tcW w:w="599" w:type="pct"/>
            <w:vMerge w:val="restart"/>
            <w:tcBorders>
              <w:tl2br w:val="nil"/>
              <w:tr2bl w:val="nil"/>
            </w:tcBorders>
            <w:shd w:val="clear" w:color="auto" w:fill="auto"/>
            <w:vAlign w:val="center"/>
          </w:tcPr>
          <w:p w14:paraId="5B9A719A">
            <w:pPr>
              <w:pStyle w:val="154"/>
              <w:spacing w:line="240" w:lineRule="auto"/>
              <w:ind w:firstLine="0" w:firstLineChars="0"/>
              <w:jc w:val="center"/>
              <w:rPr>
                <w:b w:val="0"/>
                <w:bCs w:val="0"/>
                <w:color w:val="auto"/>
                <w:szCs w:val="21"/>
              </w:rPr>
            </w:pPr>
            <w:r>
              <w:rPr>
                <w:rFonts w:hint="eastAsia"/>
                <w:b w:val="0"/>
                <w:bCs w:val="0"/>
                <w:color w:val="auto"/>
                <w:szCs w:val="21"/>
              </w:rPr>
              <w:t>来源</w:t>
            </w:r>
          </w:p>
        </w:tc>
        <w:tc>
          <w:tcPr>
            <w:tcW w:w="425" w:type="pct"/>
            <w:vMerge w:val="restart"/>
            <w:tcBorders>
              <w:tl2br w:val="nil"/>
              <w:tr2bl w:val="nil"/>
            </w:tcBorders>
            <w:shd w:val="clear" w:color="auto" w:fill="auto"/>
            <w:vAlign w:val="center"/>
          </w:tcPr>
          <w:p w14:paraId="4F04FF34">
            <w:pPr>
              <w:pStyle w:val="154"/>
              <w:spacing w:line="240" w:lineRule="auto"/>
              <w:ind w:firstLine="0" w:firstLineChars="0"/>
              <w:jc w:val="center"/>
              <w:rPr>
                <w:b w:val="0"/>
                <w:bCs w:val="0"/>
                <w:color w:val="auto"/>
                <w:szCs w:val="21"/>
              </w:rPr>
            </w:pPr>
            <w:r>
              <w:rPr>
                <w:rFonts w:hint="eastAsia"/>
                <w:b w:val="0"/>
                <w:bCs w:val="0"/>
                <w:color w:val="auto"/>
                <w:szCs w:val="21"/>
              </w:rPr>
              <w:t>产生方式</w:t>
            </w:r>
          </w:p>
        </w:tc>
        <w:tc>
          <w:tcPr>
            <w:tcW w:w="2952" w:type="pct"/>
            <w:gridSpan w:val="3"/>
            <w:tcBorders>
              <w:tl2br w:val="nil"/>
              <w:tr2bl w:val="nil"/>
            </w:tcBorders>
            <w:shd w:val="clear" w:color="auto" w:fill="auto"/>
            <w:vAlign w:val="center"/>
          </w:tcPr>
          <w:p w14:paraId="0DBF5B11">
            <w:pPr>
              <w:pStyle w:val="154"/>
              <w:spacing w:line="240" w:lineRule="auto"/>
              <w:ind w:firstLine="0" w:firstLineChars="0"/>
              <w:jc w:val="center"/>
              <w:rPr>
                <w:b w:val="0"/>
                <w:bCs w:val="0"/>
                <w:color w:val="auto"/>
                <w:szCs w:val="21"/>
              </w:rPr>
            </w:pPr>
            <w:r>
              <w:rPr>
                <w:rFonts w:hint="eastAsia"/>
                <w:b w:val="0"/>
                <w:bCs w:val="0"/>
                <w:color w:val="auto"/>
                <w:szCs w:val="21"/>
              </w:rPr>
              <w:t>噪声源强</w:t>
            </w:r>
            <w:r>
              <w:rPr>
                <w:b w:val="0"/>
                <w:bCs w:val="0"/>
                <w:color w:val="auto"/>
                <w:szCs w:val="21"/>
              </w:rPr>
              <w:t>dB</w:t>
            </w:r>
            <w:r>
              <w:rPr>
                <w:rFonts w:hint="eastAsia"/>
                <w:b w:val="0"/>
                <w:bCs w:val="0"/>
                <w:color w:val="auto"/>
                <w:szCs w:val="21"/>
              </w:rPr>
              <w:t>（</w:t>
            </w:r>
            <w:r>
              <w:rPr>
                <w:b w:val="0"/>
                <w:bCs w:val="0"/>
                <w:color w:val="auto"/>
                <w:szCs w:val="21"/>
              </w:rPr>
              <w:t>A</w:t>
            </w:r>
            <w:r>
              <w:rPr>
                <w:rFonts w:hint="eastAsia"/>
                <w:b w:val="0"/>
                <w:bCs w:val="0"/>
                <w:color w:val="auto"/>
                <w:szCs w:val="21"/>
              </w:rPr>
              <w:t>）</w:t>
            </w:r>
          </w:p>
        </w:tc>
      </w:tr>
      <w:tr w14:paraId="0B89F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2774A57E">
            <w:pPr>
              <w:pStyle w:val="154"/>
              <w:spacing w:line="240" w:lineRule="auto"/>
              <w:ind w:firstLine="0" w:firstLineChars="0"/>
              <w:jc w:val="center"/>
              <w:rPr>
                <w:b w:val="0"/>
                <w:bCs w:val="0"/>
                <w:color w:val="auto"/>
                <w:szCs w:val="21"/>
              </w:rPr>
            </w:pPr>
          </w:p>
        </w:tc>
        <w:tc>
          <w:tcPr>
            <w:tcW w:w="586" w:type="pct"/>
            <w:vMerge w:val="continue"/>
            <w:tcBorders>
              <w:tl2br w:val="nil"/>
              <w:tr2bl w:val="nil"/>
            </w:tcBorders>
            <w:shd w:val="clear" w:color="auto" w:fill="auto"/>
            <w:vAlign w:val="center"/>
          </w:tcPr>
          <w:p w14:paraId="40FD8E91">
            <w:pPr>
              <w:pStyle w:val="154"/>
              <w:spacing w:line="240" w:lineRule="auto"/>
              <w:ind w:firstLine="0" w:firstLineChars="0"/>
              <w:jc w:val="center"/>
              <w:rPr>
                <w:b w:val="0"/>
                <w:bCs w:val="0"/>
                <w:color w:val="auto"/>
                <w:szCs w:val="21"/>
              </w:rPr>
            </w:pPr>
          </w:p>
        </w:tc>
        <w:tc>
          <w:tcPr>
            <w:tcW w:w="599" w:type="pct"/>
            <w:vMerge w:val="continue"/>
            <w:tcBorders>
              <w:tl2br w:val="nil"/>
              <w:tr2bl w:val="nil"/>
            </w:tcBorders>
            <w:shd w:val="clear" w:color="auto" w:fill="auto"/>
            <w:vAlign w:val="center"/>
          </w:tcPr>
          <w:p w14:paraId="5A533411">
            <w:pPr>
              <w:pStyle w:val="154"/>
              <w:spacing w:line="240" w:lineRule="auto"/>
              <w:ind w:firstLine="0" w:firstLineChars="0"/>
              <w:jc w:val="center"/>
              <w:rPr>
                <w:b w:val="0"/>
                <w:bCs w:val="0"/>
                <w:color w:val="auto"/>
                <w:szCs w:val="21"/>
              </w:rPr>
            </w:pPr>
          </w:p>
        </w:tc>
        <w:tc>
          <w:tcPr>
            <w:tcW w:w="425" w:type="pct"/>
            <w:vMerge w:val="continue"/>
            <w:tcBorders>
              <w:tl2br w:val="nil"/>
              <w:tr2bl w:val="nil"/>
            </w:tcBorders>
            <w:shd w:val="clear" w:color="auto" w:fill="auto"/>
            <w:vAlign w:val="center"/>
          </w:tcPr>
          <w:p w14:paraId="45015B2C">
            <w:pPr>
              <w:pStyle w:val="154"/>
              <w:spacing w:line="240" w:lineRule="auto"/>
              <w:ind w:firstLine="0" w:firstLineChars="0"/>
              <w:jc w:val="center"/>
              <w:rPr>
                <w:b w:val="0"/>
                <w:bCs w:val="0"/>
                <w:color w:val="auto"/>
                <w:szCs w:val="21"/>
              </w:rPr>
            </w:pPr>
          </w:p>
        </w:tc>
        <w:tc>
          <w:tcPr>
            <w:tcW w:w="512" w:type="pct"/>
            <w:tcBorders>
              <w:tl2br w:val="nil"/>
              <w:tr2bl w:val="nil"/>
            </w:tcBorders>
            <w:shd w:val="clear" w:color="auto" w:fill="auto"/>
            <w:vAlign w:val="center"/>
          </w:tcPr>
          <w:p w14:paraId="60138F82">
            <w:pPr>
              <w:pStyle w:val="154"/>
              <w:spacing w:line="240" w:lineRule="auto"/>
              <w:ind w:firstLine="0" w:firstLineChars="0"/>
              <w:jc w:val="center"/>
              <w:rPr>
                <w:b w:val="0"/>
                <w:bCs w:val="0"/>
                <w:color w:val="auto"/>
                <w:szCs w:val="21"/>
              </w:rPr>
            </w:pPr>
            <w:r>
              <w:rPr>
                <w:rFonts w:hint="eastAsia"/>
                <w:b w:val="0"/>
                <w:bCs w:val="0"/>
                <w:color w:val="auto"/>
                <w:szCs w:val="21"/>
              </w:rPr>
              <w:t>治理前</w:t>
            </w:r>
          </w:p>
        </w:tc>
        <w:tc>
          <w:tcPr>
            <w:tcW w:w="1854" w:type="pct"/>
            <w:tcBorders>
              <w:tl2br w:val="nil"/>
              <w:tr2bl w:val="nil"/>
            </w:tcBorders>
            <w:shd w:val="clear" w:color="auto" w:fill="auto"/>
            <w:vAlign w:val="center"/>
          </w:tcPr>
          <w:p w14:paraId="697556F9">
            <w:pPr>
              <w:pStyle w:val="154"/>
              <w:spacing w:line="240" w:lineRule="auto"/>
              <w:ind w:firstLine="0" w:firstLineChars="0"/>
              <w:jc w:val="center"/>
              <w:rPr>
                <w:b w:val="0"/>
                <w:bCs w:val="0"/>
                <w:color w:val="auto"/>
                <w:szCs w:val="21"/>
              </w:rPr>
            </w:pPr>
            <w:r>
              <w:rPr>
                <w:rFonts w:hint="eastAsia"/>
                <w:b w:val="0"/>
                <w:bCs w:val="0"/>
                <w:color w:val="auto"/>
                <w:szCs w:val="21"/>
              </w:rPr>
              <w:t>治理措施</w:t>
            </w:r>
          </w:p>
        </w:tc>
        <w:tc>
          <w:tcPr>
            <w:tcW w:w="586" w:type="pct"/>
            <w:tcBorders>
              <w:tl2br w:val="nil"/>
              <w:tr2bl w:val="nil"/>
            </w:tcBorders>
            <w:shd w:val="clear" w:color="auto" w:fill="auto"/>
            <w:vAlign w:val="center"/>
          </w:tcPr>
          <w:p w14:paraId="55968C1C">
            <w:pPr>
              <w:pStyle w:val="154"/>
              <w:spacing w:line="240" w:lineRule="auto"/>
              <w:ind w:firstLine="0" w:firstLineChars="0"/>
              <w:jc w:val="center"/>
              <w:rPr>
                <w:b w:val="0"/>
                <w:bCs w:val="0"/>
                <w:color w:val="auto"/>
                <w:szCs w:val="21"/>
              </w:rPr>
            </w:pPr>
            <w:r>
              <w:rPr>
                <w:rFonts w:hint="eastAsia"/>
                <w:b w:val="0"/>
                <w:bCs w:val="0"/>
                <w:color w:val="auto"/>
                <w:szCs w:val="21"/>
              </w:rPr>
              <w:t>治理后</w:t>
            </w:r>
          </w:p>
        </w:tc>
      </w:tr>
      <w:tr w14:paraId="496E9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35" w:type="pct"/>
            <w:tcBorders>
              <w:tl2br w:val="nil"/>
              <w:tr2bl w:val="nil"/>
            </w:tcBorders>
            <w:shd w:val="clear" w:color="auto" w:fill="auto"/>
            <w:vAlign w:val="center"/>
          </w:tcPr>
          <w:p w14:paraId="481A4448">
            <w:pPr>
              <w:pStyle w:val="154"/>
              <w:spacing w:line="240" w:lineRule="auto"/>
              <w:ind w:firstLine="0" w:firstLineChars="0"/>
              <w:jc w:val="center"/>
              <w:rPr>
                <w:b w:val="0"/>
                <w:bCs w:val="0"/>
                <w:color w:val="auto"/>
                <w:szCs w:val="21"/>
              </w:rPr>
            </w:pPr>
            <w:r>
              <w:rPr>
                <w:b w:val="0"/>
                <w:bCs w:val="0"/>
                <w:color w:val="auto"/>
                <w:szCs w:val="21"/>
              </w:rPr>
              <w:t>1</w:t>
            </w:r>
          </w:p>
        </w:tc>
        <w:tc>
          <w:tcPr>
            <w:tcW w:w="586" w:type="pct"/>
            <w:tcBorders>
              <w:tl2br w:val="nil"/>
              <w:tr2bl w:val="nil"/>
            </w:tcBorders>
            <w:shd w:val="clear" w:color="auto" w:fill="auto"/>
            <w:vAlign w:val="center"/>
          </w:tcPr>
          <w:p w14:paraId="32BA6602">
            <w:pPr>
              <w:pStyle w:val="154"/>
              <w:spacing w:line="240" w:lineRule="auto"/>
              <w:ind w:firstLine="0" w:firstLineChars="0"/>
              <w:jc w:val="center"/>
              <w:rPr>
                <w:b w:val="0"/>
                <w:bCs w:val="0"/>
                <w:color w:val="auto"/>
                <w:szCs w:val="21"/>
              </w:rPr>
            </w:pPr>
            <w:r>
              <w:rPr>
                <w:rFonts w:hint="eastAsia"/>
                <w:b w:val="0"/>
                <w:bCs w:val="0"/>
                <w:color w:val="auto"/>
                <w:szCs w:val="21"/>
              </w:rPr>
              <w:t>施工期噪声</w:t>
            </w:r>
          </w:p>
        </w:tc>
        <w:tc>
          <w:tcPr>
            <w:tcW w:w="599" w:type="pct"/>
            <w:tcBorders>
              <w:tl2br w:val="nil"/>
              <w:tr2bl w:val="nil"/>
            </w:tcBorders>
            <w:shd w:val="clear" w:color="auto" w:fill="auto"/>
            <w:vAlign w:val="center"/>
          </w:tcPr>
          <w:p w14:paraId="33E82B20">
            <w:pPr>
              <w:pStyle w:val="154"/>
              <w:spacing w:line="240" w:lineRule="auto"/>
              <w:ind w:firstLine="0" w:firstLineChars="0"/>
              <w:jc w:val="center"/>
              <w:rPr>
                <w:b w:val="0"/>
                <w:bCs w:val="0"/>
                <w:color w:val="auto"/>
                <w:szCs w:val="21"/>
              </w:rPr>
            </w:pPr>
            <w:r>
              <w:rPr>
                <w:rFonts w:hint="eastAsia"/>
                <w:b w:val="0"/>
                <w:bCs w:val="0"/>
                <w:color w:val="auto"/>
                <w:szCs w:val="21"/>
              </w:rPr>
              <w:t>施工机械噪声</w:t>
            </w:r>
          </w:p>
        </w:tc>
        <w:tc>
          <w:tcPr>
            <w:tcW w:w="425" w:type="pct"/>
            <w:tcBorders>
              <w:tl2br w:val="nil"/>
              <w:tr2bl w:val="nil"/>
            </w:tcBorders>
            <w:shd w:val="clear" w:color="auto" w:fill="auto"/>
            <w:vAlign w:val="center"/>
          </w:tcPr>
          <w:p w14:paraId="6CCB40A4">
            <w:pPr>
              <w:pStyle w:val="154"/>
              <w:spacing w:line="240" w:lineRule="auto"/>
              <w:ind w:firstLine="0" w:firstLineChars="0"/>
              <w:jc w:val="center"/>
              <w:rPr>
                <w:b w:val="0"/>
                <w:bCs w:val="0"/>
                <w:color w:val="auto"/>
                <w:szCs w:val="21"/>
              </w:rPr>
            </w:pPr>
            <w:r>
              <w:rPr>
                <w:rFonts w:hint="eastAsia"/>
                <w:b w:val="0"/>
                <w:bCs w:val="0"/>
                <w:color w:val="auto"/>
                <w:szCs w:val="21"/>
              </w:rPr>
              <w:t>间歇</w:t>
            </w:r>
          </w:p>
        </w:tc>
        <w:tc>
          <w:tcPr>
            <w:tcW w:w="512" w:type="pct"/>
            <w:tcBorders>
              <w:tl2br w:val="nil"/>
              <w:tr2bl w:val="nil"/>
            </w:tcBorders>
            <w:shd w:val="clear" w:color="auto" w:fill="auto"/>
            <w:vAlign w:val="center"/>
          </w:tcPr>
          <w:p w14:paraId="4C7BC17F">
            <w:pPr>
              <w:pStyle w:val="154"/>
              <w:spacing w:line="240" w:lineRule="auto"/>
              <w:ind w:firstLine="0" w:firstLineChars="0"/>
              <w:jc w:val="center"/>
              <w:rPr>
                <w:b w:val="0"/>
                <w:bCs w:val="0"/>
                <w:color w:val="auto"/>
                <w:szCs w:val="21"/>
              </w:rPr>
            </w:pPr>
            <w:r>
              <w:rPr>
                <w:rFonts w:hint="eastAsia"/>
                <w:b w:val="0"/>
                <w:bCs w:val="0"/>
                <w:color w:val="auto"/>
                <w:szCs w:val="21"/>
              </w:rPr>
              <w:t>8</w:t>
            </w:r>
            <w:r>
              <w:rPr>
                <w:b w:val="0"/>
                <w:bCs w:val="0"/>
                <w:color w:val="auto"/>
                <w:szCs w:val="21"/>
              </w:rPr>
              <w:t>0</w:t>
            </w:r>
          </w:p>
        </w:tc>
        <w:tc>
          <w:tcPr>
            <w:tcW w:w="1854" w:type="pct"/>
            <w:tcBorders>
              <w:tl2br w:val="nil"/>
              <w:tr2bl w:val="nil"/>
            </w:tcBorders>
            <w:shd w:val="clear" w:color="auto" w:fill="auto"/>
            <w:vAlign w:val="center"/>
          </w:tcPr>
          <w:p w14:paraId="42BB10F5">
            <w:pPr>
              <w:pStyle w:val="154"/>
              <w:spacing w:line="240" w:lineRule="auto"/>
              <w:ind w:firstLine="0" w:firstLineChars="0"/>
              <w:jc w:val="center"/>
              <w:rPr>
                <w:b w:val="0"/>
                <w:bCs w:val="0"/>
                <w:color w:val="auto"/>
                <w:szCs w:val="21"/>
              </w:rPr>
            </w:pPr>
            <w:r>
              <w:rPr>
                <w:rFonts w:hint="eastAsia"/>
                <w:b w:val="0"/>
                <w:bCs w:val="0"/>
                <w:color w:val="auto"/>
                <w:szCs w:val="21"/>
              </w:rPr>
              <w:t>距离衰减、优化施工组织设计</w:t>
            </w:r>
          </w:p>
        </w:tc>
        <w:tc>
          <w:tcPr>
            <w:tcW w:w="586" w:type="pct"/>
            <w:tcBorders>
              <w:tl2br w:val="nil"/>
              <w:tr2bl w:val="nil"/>
            </w:tcBorders>
            <w:shd w:val="clear" w:color="auto" w:fill="auto"/>
            <w:vAlign w:val="center"/>
          </w:tcPr>
          <w:p w14:paraId="1D866F75">
            <w:pPr>
              <w:pStyle w:val="154"/>
              <w:spacing w:line="240" w:lineRule="auto"/>
              <w:ind w:firstLine="0" w:firstLineChars="0"/>
              <w:jc w:val="center"/>
              <w:rPr>
                <w:b w:val="0"/>
                <w:bCs w:val="0"/>
                <w:color w:val="auto"/>
                <w:szCs w:val="21"/>
              </w:rPr>
            </w:pPr>
            <w:r>
              <w:rPr>
                <w:b w:val="0"/>
                <w:bCs w:val="0"/>
                <w:color w:val="auto"/>
                <w:szCs w:val="21"/>
              </w:rPr>
              <w:t>60</w:t>
            </w:r>
          </w:p>
        </w:tc>
      </w:tr>
      <w:tr w14:paraId="15F37E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restart"/>
            <w:tcBorders>
              <w:tl2br w:val="nil"/>
              <w:tr2bl w:val="nil"/>
            </w:tcBorders>
            <w:shd w:val="clear" w:color="auto" w:fill="auto"/>
            <w:vAlign w:val="center"/>
          </w:tcPr>
          <w:p w14:paraId="32A0B726">
            <w:pPr>
              <w:pStyle w:val="154"/>
              <w:spacing w:line="240" w:lineRule="auto"/>
              <w:ind w:firstLine="0" w:firstLineChars="0"/>
              <w:jc w:val="center"/>
              <w:rPr>
                <w:b w:val="0"/>
                <w:bCs w:val="0"/>
                <w:color w:val="auto"/>
                <w:szCs w:val="21"/>
              </w:rPr>
            </w:pPr>
            <w:r>
              <w:rPr>
                <w:rFonts w:hint="eastAsia"/>
                <w:b w:val="0"/>
                <w:bCs w:val="0"/>
                <w:color w:val="auto"/>
                <w:szCs w:val="21"/>
              </w:rPr>
              <w:t>2</w:t>
            </w:r>
          </w:p>
        </w:tc>
        <w:tc>
          <w:tcPr>
            <w:tcW w:w="586" w:type="pct"/>
            <w:vMerge w:val="restart"/>
            <w:tcBorders>
              <w:tl2br w:val="nil"/>
              <w:tr2bl w:val="nil"/>
            </w:tcBorders>
            <w:shd w:val="clear" w:color="auto" w:fill="auto"/>
            <w:vAlign w:val="center"/>
          </w:tcPr>
          <w:p w14:paraId="5A9EF75B">
            <w:pPr>
              <w:pStyle w:val="154"/>
              <w:spacing w:line="240" w:lineRule="auto"/>
              <w:ind w:firstLine="0" w:firstLineChars="0"/>
              <w:jc w:val="center"/>
              <w:rPr>
                <w:b w:val="0"/>
                <w:bCs w:val="0"/>
                <w:color w:val="auto"/>
                <w:szCs w:val="21"/>
              </w:rPr>
            </w:pPr>
            <w:r>
              <w:rPr>
                <w:rFonts w:hint="eastAsia"/>
                <w:b w:val="0"/>
                <w:bCs w:val="0"/>
                <w:color w:val="auto"/>
                <w:szCs w:val="21"/>
              </w:rPr>
              <w:t>骆驼圈舍</w:t>
            </w:r>
          </w:p>
        </w:tc>
        <w:tc>
          <w:tcPr>
            <w:tcW w:w="599" w:type="pct"/>
            <w:tcBorders>
              <w:tl2br w:val="nil"/>
              <w:tr2bl w:val="nil"/>
            </w:tcBorders>
            <w:shd w:val="clear" w:color="auto" w:fill="auto"/>
            <w:vAlign w:val="center"/>
          </w:tcPr>
          <w:p w14:paraId="1F8453FF">
            <w:pPr>
              <w:pStyle w:val="154"/>
              <w:spacing w:line="240" w:lineRule="auto"/>
              <w:ind w:firstLine="0" w:firstLineChars="0"/>
              <w:jc w:val="center"/>
              <w:rPr>
                <w:b w:val="0"/>
                <w:bCs w:val="0"/>
                <w:color w:val="auto"/>
                <w:szCs w:val="21"/>
              </w:rPr>
            </w:pPr>
            <w:r>
              <w:rPr>
                <w:rFonts w:hint="eastAsia"/>
                <w:b w:val="0"/>
                <w:bCs w:val="0"/>
                <w:color w:val="auto"/>
                <w:szCs w:val="21"/>
              </w:rPr>
              <w:t>通风机</w:t>
            </w:r>
          </w:p>
        </w:tc>
        <w:tc>
          <w:tcPr>
            <w:tcW w:w="425" w:type="pct"/>
            <w:tcBorders>
              <w:tl2br w:val="nil"/>
              <w:tr2bl w:val="nil"/>
            </w:tcBorders>
            <w:shd w:val="clear" w:color="auto" w:fill="auto"/>
            <w:vAlign w:val="center"/>
          </w:tcPr>
          <w:p w14:paraId="329733BB">
            <w:pPr>
              <w:pStyle w:val="154"/>
              <w:spacing w:line="240" w:lineRule="auto"/>
              <w:ind w:firstLine="0" w:firstLineChars="0"/>
              <w:jc w:val="center"/>
              <w:rPr>
                <w:b w:val="0"/>
                <w:bCs w:val="0"/>
                <w:color w:val="auto"/>
                <w:szCs w:val="21"/>
              </w:rPr>
            </w:pPr>
            <w:r>
              <w:rPr>
                <w:rFonts w:hint="eastAsia"/>
                <w:b w:val="0"/>
                <w:bCs w:val="0"/>
                <w:color w:val="auto"/>
                <w:szCs w:val="21"/>
              </w:rPr>
              <w:t>连续</w:t>
            </w:r>
          </w:p>
        </w:tc>
        <w:tc>
          <w:tcPr>
            <w:tcW w:w="512" w:type="pct"/>
            <w:tcBorders>
              <w:tl2br w:val="nil"/>
              <w:tr2bl w:val="nil"/>
            </w:tcBorders>
            <w:shd w:val="clear" w:color="auto" w:fill="auto"/>
            <w:vAlign w:val="center"/>
          </w:tcPr>
          <w:p w14:paraId="6DA85B75">
            <w:pPr>
              <w:pStyle w:val="154"/>
              <w:spacing w:line="240" w:lineRule="auto"/>
              <w:ind w:firstLine="0" w:firstLineChars="0"/>
              <w:jc w:val="center"/>
              <w:rPr>
                <w:b w:val="0"/>
                <w:bCs w:val="0"/>
                <w:color w:val="auto"/>
                <w:szCs w:val="21"/>
              </w:rPr>
            </w:pPr>
            <w:r>
              <w:rPr>
                <w:b w:val="0"/>
                <w:bCs w:val="0"/>
                <w:color w:val="auto"/>
                <w:szCs w:val="21"/>
              </w:rPr>
              <w:t>75</w:t>
            </w:r>
          </w:p>
        </w:tc>
        <w:tc>
          <w:tcPr>
            <w:tcW w:w="1854" w:type="pct"/>
            <w:tcBorders>
              <w:tl2br w:val="nil"/>
              <w:tr2bl w:val="nil"/>
            </w:tcBorders>
            <w:shd w:val="clear" w:color="auto" w:fill="auto"/>
            <w:vAlign w:val="center"/>
          </w:tcPr>
          <w:p w14:paraId="6EC97F21">
            <w:pPr>
              <w:pStyle w:val="154"/>
              <w:spacing w:line="240" w:lineRule="auto"/>
              <w:ind w:firstLine="0" w:firstLineChars="0"/>
              <w:jc w:val="center"/>
              <w:rPr>
                <w:b w:val="0"/>
                <w:bCs w:val="0"/>
                <w:color w:val="auto"/>
                <w:szCs w:val="21"/>
              </w:rPr>
            </w:pPr>
            <w:r>
              <w:rPr>
                <w:rFonts w:hint="eastAsia"/>
                <w:b w:val="0"/>
                <w:bCs w:val="0"/>
                <w:color w:val="auto"/>
                <w:szCs w:val="21"/>
              </w:rPr>
              <w:t>选低噪声设备、基础减振、厂房隔声</w:t>
            </w:r>
          </w:p>
        </w:tc>
        <w:tc>
          <w:tcPr>
            <w:tcW w:w="586" w:type="pct"/>
            <w:tcBorders>
              <w:tl2br w:val="nil"/>
              <w:tr2bl w:val="nil"/>
            </w:tcBorders>
            <w:shd w:val="clear" w:color="auto" w:fill="auto"/>
            <w:vAlign w:val="center"/>
          </w:tcPr>
          <w:p w14:paraId="431EF6EB">
            <w:pPr>
              <w:pStyle w:val="154"/>
              <w:spacing w:line="240" w:lineRule="auto"/>
              <w:ind w:firstLine="0" w:firstLineChars="0"/>
              <w:jc w:val="center"/>
              <w:rPr>
                <w:b w:val="0"/>
                <w:bCs w:val="0"/>
                <w:color w:val="auto"/>
                <w:szCs w:val="21"/>
              </w:rPr>
            </w:pPr>
            <w:r>
              <w:rPr>
                <w:b w:val="0"/>
                <w:bCs w:val="0"/>
                <w:color w:val="auto"/>
                <w:szCs w:val="21"/>
              </w:rPr>
              <w:t>55</w:t>
            </w:r>
          </w:p>
        </w:tc>
      </w:tr>
      <w:tr w14:paraId="7DC6C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continue"/>
            <w:tcBorders>
              <w:tl2br w:val="nil"/>
              <w:tr2bl w:val="nil"/>
            </w:tcBorders>
            <w:shd w:val="clear" w:color="auto" w:fill="auto"/>
            <w:vAlign w:val="center"/>
          </w:tcPr>
          <w:p w14:paraId="39542164">
            <w:pPr>
              <w:pStyle w:val="154"/>
              <w:spacing w:line="240" w:lineRule="auto"/>
              <w:ind w:firstLine="0" w:firstLineChars="0"/>
              <w:jc w:val="center"/>
              <w:rPr>
                <w:b w:val="0"/>
                <w:bCs w:val="0"/>
                <w:color w:val="auto"/>
                <w:szCs w:val="21"/>
              </w:rPr>
            </w:pPr>
          </w:p>
        </w:tc>
        <w:tc>
          <w:tcPr>
            <w:tcW w:w="586" w:type="pct"/>
            <w:vMerge w:val="continue"/>
            <w:tcBorders>
              <w:tl2br w:val="nil"/>
              <w:tr2bl w:val="nil"/>
            </w:tcBorders>
            <w:shd w:val="clear" w:color="auto" w:fill="auto"/>
            <w:vAlign w:val="center"/>
          </w:tcPr>
          <w:p w14:paraId="6B91C587">
            <w:pPr>
              <w:pStyle w:val="154"/>
              <w:spacing w:line="240" w:lineRule="auto"/>
              <w:ind w:firstLine="0" w:firstLineChars="0"/>
              <w:jc w:val="center"/>
              <w:rPr>
                <w:b w:val="0"/>
                <w:bCs w:val="0"/>
                <w:color w:val="auto"/>
                <w:szCs w:val="21"/>
              </w:rPr>
            </w:pPr>
          </w:p>
        </w:tc>
        <w:tc>
          <w:tcPr>
            <w:tcW w:w="599" w:type="pct"/>
            <w:tcBorders>
              <w:tl2br w:val="nil"/>
              <w:tr2bl w:val="nil"/>
            </w:tcBorders>
            <w:shd w:val="clear" w:color="auto" w:fill="auto"/>
            <w:vAlign w:val="center"/>
          </w:tcPr>
          <w:p w14:paraId="5253C1D4">
            <w:pPr>
              <w:pStyle w:val="154"/>
              <w:spacing w:line="240" w:lineRule="auto"/>
              <w:ind w:firstLine="0" w:firstLineChars="0"/>
              <w:jc w:val="center"/>
              <w:rPr>
                <w:b w:val="0"/>
                <w:bCs w:val="0"/>
                <w:color w:val="auto"/>
                <w:szCs w:val="21"/>
              </w:rPr>
            </w:pPr>
            <w:r>
              <w:rPr>
                <w:rFonts w:hint="eastAsia"/>
                <w:b w:val="0"/>
                <w:bCs w:val="0"/>
                <w:color w:val="auto"/>
                <w:szCs w:val="21"/>
              </w:rPr>
              <w:t>集污系统</w:t>
            </w:r>
          </w:p>
        </w:tc>
        <w:tc>
          <w:tcPr>
            <w:tcW w:w="425" w:type="pct"/>
            <w:tcBorders>
              <w:tl2br w:val="nil"/>
              <w:tr2bl w:val="nil"/>
            </w:tcBorders>
            <w:shd w:val="clear" w:color="auto" w:fill="auto"/>
            <w:vAlign w:val="center"/>
          </w:tcPr>
          <w:p w14:paraId="723FD088">
            <w:pPr>
              <w:pStyle w:val="154"/>
              <w:spacing w:line="240" w:lineRule="auto"/>
              <w:ind w:firstLine="0" w:firstLineChars="0"/>
              <w:jc w:val="center"/>
              <w:rPr>
                <w:b w:val="0"/>
                <w:bCs w:val="0"/>
                <w:color w:val="auto"/>
                <w:szCs w:val="21"/>
              </w:rPr>
            </w:pPr>
            <w:r>
              <w:rPr>
                <w:rFonts w:hint="eastAsia"/>
                <w:b w:val="0"/>
                <w:bCs w:val="0"/>
                <w:color w:val="auto"/>
                <w:szCs w:val="21"/>
              </w:rPr>
              <w:t>连续</w:t>
            </w:r>
          </w:p>
        </w:tc>
        <w:tc>
          <w:tcPr>
            <w:tcW w:w="512" w:type="pct"/>
            <w:tcBorders>
              <w:tl2br w:val="nil"/>
              <w:tr2bl w:val="nil"/>
            </w:tcBorders>
            <w:shd w:val="clear" w:color="auto" w:fill="auto"/>
            <w:vAlign w:val="center"/>
          </w:tcPr>
          <w:p w14:paraId="152FEE8A">
            <w:pPr>
              <w:pStyle w:val="154"/>
              <w:spacing w:line="240" w:lineRule="auto"/>
              <w:ind w:firstLine="0" w:firstLineChars="0"/>
              <w:jc w:val="center"/>
              <w:rPr>
                <w:b w:val="0"/>
                <w:bCs w:val="0"/>
                <w:color w:val="auto"/>
                <w:szCs w:val="21"/>
              </w:rPr>
            </w:pPr>
            <w:r>
              <w:rPr>
                <w:b w:val="0"/>
                <w:bCs w:val="0"/>
                <w:color w:val="auto"/>
                <w:szCs w:val="21"/>
              </w:rPr>
              <w:t>75</w:t>
            </w:r>
          </w:p>
        </w:tc>
        <w:tc>
          <w:tcPr>
            <w:tcW w:w="1854" w:type="pct"/>
            <w:tcBorders>
              <w:tl2br w:val="nil"/>
              <w:tr2bl w:val="nil"/>
            </w:tcBorders>
            <w:shd w:val="clear" w:color="auto" w:fill="auto"/>
            <w:vAlign w:val="center"/>
          </w:tcPr>
          <w:p w14:paraId="6ADEE4CB">
            <w:pPr>
              <w:pStyle w:val="154"/>
              <w:spacing w:line="240" w:lineRule="auto"/>
              <w:ind w:firstLine="0" w:firstLineChars="0"/>
              <w:jc w:val="center"/>
              <w:rPr>
                <w:b w:val="0"/>
                <w:bCs w:val="0"/>
                <w:color w:val="auto"/>
                <w:szCs w:val="21"/>
              </w:rPr>
            </w:pPr>
            <w:r>
              <w:rPr>
                <w:rFonts w:hint="eastAsia"/>
                <w:b w:val="0"/>
                <w:bCs w:val="0"/>
                <w:color w:val="auto"/>
                <w:szCs w:val="21"/>
              </w:rPr>
              <w:t>选低噪声设备、基础减振、厂房隔声</w:t>
            </w:r>
          </w:p>
        </w:tc>
        <w:tc>
          <w:tcPr>
            <w:tcW w:w="586" w:type="pct"/>
            <w:tcBorders>
              <w:tl2br w:val="nil"/>
              <w:tr2bl w:val="nil"/>
            </w:tcBorders>
            <w:shd w:val="clear" w:color="auto" w:fill="auto"/>
            <w:vAlign w:val="center"/>
          </w:tcPr>
          <w:p w14:paraId="03FC3696">
            <w:pPr>
              <w:pStyle w:val="154"/>
              <w:spacing w:line="240" w:lineRule="auto"/>
              <w:ind w:firstLine="0" w:firstLineChars="0"/>
              <w:jc w:val="center"/>
              <w:rPr>
                <w:b w:val="0"/>
                <w:bCs w:val="0"/>
                <w:color w:val="auto"/>
                <w:szCs w:val="21"/>
              </w:rPr>
            </w:pPr>
            <w:r>
              <w:rPr>
                <w:b w:val="0"/>
                <w:bCs w:val="0"/>
                <w:color w:val="auto"/>
                <w:szCs w:val="21"/>
              </w:rPr>
              <w:t>55</w:t>
            </w:r>
          </w:p>
        </w:tc>
      </w:tr>
      <w:tr w14:paraId="5B834A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continue"/>
            <w:tcBorders>
              <w:tl2br w:val="nil"/>
              <w:tr2bl w:val="nil"/>
            </w:tcBorders>
            <w:shd w:val="clear" w:color="auto" w:fill="auto"/>
            <w:vAlign w:val="center"/>
          </w:tcPr>
          <w:p w14:paraId="4F0A3513">
            <w:pPr>
              <w:pStyle w:val="154"/>
              <w:spacing w:line="240" w:lineRule="auto"/>
              <w:ind w:firstLine="0" w:firstLineChars="0"/>
              <w:jc w:val="center"/>
              <w:rPr>
                <w:b w:val="0"/>
                <w:bCs w:val="0"/>
                <w:color w:val="auto"/>
                <w:szCs w:val="21"/>
              </w:rPr>
            </w:pPr>
          </w:p>
        </w:tc>
        <w:tc>
          <w:tcPr>
            <w:tcW w:w="586" w:type="pct"/>
            <w:vMerge w:val="continue"/>
            <w:tcBorders>
              <w:tl2br w:val="nil"/>
              <w:tr2bl w:val="nil"/>
            </w:tcBorders>
            <w:shd w:val="clear" w:color="auto" w:fill="auto"/>
            <w:vAlign w:val="center"/>
          </w:tcPr>
          <w:p w14:paraId="55A2FDEE">
            <w:pPr>
              <w:pStyle w:val="154"/>
              <w:spacing w:line="240" w:lineRule="auto"/>
              <w:ind w:firstLine="0" w:firstLineChars="0"/>
              <w:jc w:val="center"/>
              <w:rPr>
                <w:b w:val="0"/>
                <w:bCs w:val="0"/>
                <w:color w:val="auto"/>
                <w:szCs w:val="21"/>
              </w:rPr>
            </w:pPr>
          </w:p>
        </w:tc>
        <w:tc>
          <w:tcPr>
            <w:tcW w:w="599" w:type="pct"/>
            <w:tcBorders>
              <w:tl2br w:val="nil"/>
              <w:tr2bl w:val="nil"/>
            </w:tcBorders>
            <w:shd w:val="clear" w:color="auto" w:fill="auto"/>
            <w:vAlign w:val="center"/>
          </w:tcPr>
          <w:p w14:paraId="68F4801B">
            <w:pPr>
              <w:pStyle w:val="154"/>
              <w:spacing w:line="240" w:lineRule="auto"/>
              <w:ind w:firstLine="0" w:firstLineChars="0"/>
              <w:jc w:val="center"/>
              <w:rPr>
                <w:b w:val="0"/>
                <w:bCs w:val="0"/>
                <w:color w:val="auto"/>
                <w:szCs w:val="21"/>
              </w:rPr>
            </w:pPr>
            <w:r>
              <w:rPr>
                <w:rFonts w:hint="eastAsia"/>
                <w:b w:val="0"/>
                <w:bCs w:val="0"/>
                <w:color w:val="auto"/>
                <w:szCs w:val="21"/>
              </w:rPr>
              <w:t>骆驼叫</w:t>
            </w:r>
          </w:p>
        </w:tc>
        <w:tc>
          <w:tcPr>
            <w:tcW w:w="425" w:type="pct"/>
            <w:tcBorders>
              <w:tl2br w:val="nil"/>
              <w:tr2bl w:val="nil"/>
            </w:tcBorders>
            <w:shd w:val="clear" w:color="auto" w:fill="auto"/>
            <w:vAlign w:val="center"/>
          </w:tcPr>
          <w:p w14:paraId="06E37430">
            <w:pPr>
              <w:pStyle w:val="154"/>
              <w:spacing w:line="240" w:lineRule="auto"/>
              <w:ind w:firstLine="0" w:firstLineChars="0"/>
              <w:jc w:val="center"/>
              <w:rPr>
                <w:b w:val="0"/>
                <w:bCs w:val="0"/>
                <w:color w:val="auto"/>
                <w:szCs w:val="21"/>
              </w:rPr>
            </w:pPr>
            <w:r>
              <w:rPr>
                <w:rFonts w:hint="eastAsia"/>
                <w:b w:val="0"/>
                <w:bCs w:val="0"/>
                <w:color w:val="auto"/>
                <w:szCs w:val="21"/>
              </w:rPr>
              <w:t>间歇</w:t>
            </w:r>
          </w:p>
        </w:tc>
        <w:tc>
          <w:tcPr>
            <w:tcW w:w="512" w:type="pct"/>
            <w:tcBorders>
              <w:tl2br w:val="nil"/>
              <w:tr2bl w:val="nil"/>
            </w:tcBorders>
            <w:shd w:val="clear" w:color="auto" w:fill="auto"/>
            <w:vAlign w:val="center"/>
          </w:tcPr>
          <w:p w14:paraId="5EED09E3">
            <w:pPr>
              <w:pStyle w:val="154"/>
              <w:spacing w:line="240" w:lineRule="auto"/>
              <w:ind w:firstLine="0" w:firstLineChars="0"/>
              <w:jc w:val="center"/>
              <w:rPr>
                <w:b w:val="0"/>
                <w:bCs w:val="0"/>
                <w:color w:val="auto"/>
                <w:szCs w:val="21"/>
              </w:rPr>
            </w:pPr>
            <w:r>
              <w:rPr>
                <w:b w:val="0"/>
                <w:bCs w:val="0"/>
                <w:color w:val="auto"/>
                <w:szCs w:val="21"/>
              </w:rPr>
              <w:t>75</w:t>
            </w:r>
          </w:p>
        </w:tc>
        <w:tc>
          <w:tcPr>
            <w:tcW w:w="1854" w:type="pct"/>
            <w:tcBorders>
              <w:tl2br w:val="nil"/>
              <w:tr2bl w:val="nil"/>
            </w:tcBorders>
            <w:shd w:val="clear" w:color="auto" w:fill="auto"/>
            <w:vAlign w:val="center"/>
          </w:tcPr>
          <w:p w14:paraId="46A12900">
            <w:pPr>
              <w:pStyle w:val="154"/>
              <w:spacing w:line="240" w:lineRule="auto"/>
              <w:ind w:firstLine="0" w:firstLineChars="0"/>
              <w:jc w:val="center"/>
              <w:rPr>
                <w:b w:val="0"/>
                <w:bCs w:val="0"/>
                <w:color w:val="auto"/>
                <w:szCs w:val="21"/>
              </w:rPr>
            </w:pPr>
            <w:r>
              <w:rPr>
                <w:rFonts w:hint="eastAsia"/>
                <w:b w:val="0"/>
                <w:bCs w:val="0"/>
                <w:color w:val="auto"/>
                <w:szCs w:val="21"/>
              </w:rPr>
              <w:t>精心饲养、厂房隔声</w:t>
            </w:r>
          </w:p>
        </w:tc>
        <w:tc>
          <w:tcPr>
            <w:tcW w:w="586" w:type="pct"/>
            <w:tcBorders>
              <w:tl2br w:val="nil"/>
              <w:tr2bl w:val="nil"/>
            </w:tcBorders>
            <w:shd w:val="clear" w:color="auto" w:fill="auto"/>
            <w:vAlign w:val="center"/>
          </w:tcPr>
          <w:p w14:paraId="2FAEAF2E">
            <w:pPr>
              <w:pStyle w:val="154"/>
              <w:spacing w:line="240" w:lineRule="auto"/>
              <w:ind w:firstLine="0" w:firstLineChars="0"/>
              <w:jc w:val="center"/>
              <w:rPr>
                <w:b w:val="0"/>
                <w:bCs w:val="0"/>
                <w:color w:val="auto"/>
                <w:szCs w:val="21"/>
              </w:rPr>
            </w:pPr>
            <w:r>
              <w:rPr>
                <w:b w:val="0"/>
                <w:bCs w:val="0"/>
                <w:color w:val="auto"/>
                <w:szCs w:val="21"/>
              </w:rPr>
              <w:t>55</w:t>
            </w:r>
          </w:p>
        </w:tc>
      </w:tr>
      <w:bookmarkEnd w:id="157"/>
    </w:tbl>
    <w:p w14:paraId="56D9AB88">
      <w:pPr>
        <w:ind w:firstLine="480"/>
      </w:pPr>
      <w:r>
        <w:t>2、预测方法及模式</w:t>
      </w:r>
    </w:p>
    <w:p w14:paraId="7796736B">
      <w:pPr>
        <w:ind w:firstLine="472"/>
      </w:pPr>
      <w:r>
        <w:rPr>
          <w:spacing w:val="-2"/>
        </w:rPr>
        <w:t>根据各发声建筑内发声设备噪声源强和分布，采用适当计算模式，并参照有关资料及类比调查数据，确定发声设备1米处的噪声级</w:t>
      </w:r>
      <w:r>
        <w:rPr>
          <w:rFonts w:hint="eastAsia"/>
          <w:spacing w:val="-2"/>
        </w:rPr>
        <w:t>。本项目噪声源距离厂界约2m的距离。</w:t>
      </w:r>
      <w:r>
        <w:rPr>
          <w:spacing w:val="-2"/>
        </w:rPr>
        <w:t>最后将每个发声设备作为一个声源（面、点），按噪声传播、衰减、叠加规律，考虑本底值，得出厂界环境噪声分布</w:t>
      </w:r>
      <w:r>
        <w:rPr>
          <w:rFonts w:hint="eastAsia"/>
          <w:spacing w:val="-2"/>
        </w:rPr>
        <w:t>。</w:t>
      </w:r>
    </w:p>
    <w:p w14:paraId="61D6C91A">
      <w:pPr>
        <w:ind w:firstLine="480"/>
      </w:pPr>
      <w:r>
        <w:rPr>
          <w:rFonts w:hint="eastAsia"/>
        </w:rPr>
        <w:t>据《环境影响评价技术导则声环境》（H</w:t>
      </w:r>
      <w:r>
        <w:t>J2.4-2021</w:t>
      </w:r>
      <w:r>
        <w:rPr>
          <w:rFonts w:hint="eastAsia"/>
        </w:rPr>
        <w:t>）附录A，</w:t>
      </w:r>
      <w:r>
        <w:t>噪声预测模式如下：</w:t>
      </w:r>
    </w:p>
    <w:p w14:paraId="07EDE6C1">
      <w:pPr>
        <w:ind w:firstLine="480"/>
      </w:pPr>
      <w:r>
        <w:t>（1）基本计算公式</w:t>
      </w:r>
    </w:p>
    <w:p w14:paraId="4CBA3AB3">
      <w:pPr>
        <w:ind w:firstLine="480"/>
      </w:pPr>
      <w:bookmarkStart w:id="158" w:name="_Toc9163"/>
      <w:bookmarkStart w:id="159" w:name="_Toc13360"/>
      <w:r>
        <w:rPr>
          <w:rFonts w:hint="eastAsia" w:cs="宋体"/>
        </w:rPr>
        <w:t>①</w:t>
      </w:r>
      <w:r>
        <w:t>单个室外点声源在预测点产生的声级计算公式</w:t>
      </w:r>
      <w:bookmarkEnd w:id="158"/>
      <w:bookmarkEnd w:id="159"/>
    </w:p>
    <w:p w14:paraId="1F6AD4E6">
      <w:pPr>
        <w:ind w:firstLine="480"/>
      </w:pPr>
      <w:r>
        <w:t>在环境影响评价中，应根据声源声功率级或靠近声源某一参考位置处的已知声级（如实测得到的）、户外声传播衰减，计算距离声源较远处的预测点的声级</w:t>
      </w:r>
      <w:r>
        <w:rPr>
          <w:rFonts w:hint="eastAsia"/>
        </w:rPr>
        <w:t>。</w:t>
      </w:r>
      <w:r>
        <w:t>在已知距离无指向性点声源参考点r</w:t>
      </w:r>
      <w:r>
        <w:rPr>
          <w:vertAlign w:val="subscript"/>
        </w:rPr>
        <w:t>0</w:t>
      </w:r>
      <w:r>
        <w:t>处的倍频带（用63Hz到8KHz的8个标称倍频带中心频率）声压级LP</w:t>
      </w:r>
      <w:r>
        <w:rPr>
          <w:rFonts w:hint="eastAsia"/>
        </w:rPr>
        <w:t>（</w:t>
      </w:r>
      <w:r>
        <w:t>r</w:t>
      </w:r>
      <w:r>
        <w:rPr>
          <w:vertAlign w:val="subscript"/>
        </w:rPr>
        <w:t>0</w:t>
      </w:r>
      <w:r>
        <w:rPr>
          <w:rFonts w:hint="eastAsia"/>
        </w:rPr>
        <w:t>）</w:t>
      </w:r>
      <w:r>
        <w:t>和计算出参考点</w:t>
      </w:r>
      <w:r>
        <w:rPr>
          <w:rFonts w:hint="eastAsia"/>
        </w:rPr>
        <w:t>（</w:t>
      </w:r>
      <w:r>
        <w:t>r</w:t>
      </w:r>
      <w:r>
        <w:rPr>
          <w:vertAlign w:val="subscript"/>
        </w:rPr>
        <w:t>0</w:t>
      </w:r>
      <w:r>
        <w:rPr>
          <w:rFonts w:hint="eastAsia"/>
        </w:rPr>
        <w:t>）</w:t>
      </w:r>
      <w:r>
        <w:t>和预测点</w:t>
      </w:r>
      <w:r>
        <w:rPr>
          <w:rFonts w:hint="eastAsia"/>
        </w:rPr>
        <w:t>（</w:t>
      </w:r>
      <w:r>
        <w:t>r</w:t>
      </w:r>
      <w:r>
        <w:rPr>
          <w:rFonts w:hint="eastAsia"/>
        </w:rPr>
        <w:t>）</w:t>
      </w:r>
      <w:r>
        <w:t>处之间的户外声传播衰减后，预测点8个倍频带声压级可分别用下列公式计算：</w:t>
      </w:r>
    </w:p>
    <w:p w14:paraId="6076364C">
      <w:pPr>
        <w:ind w:firstLine="0" w:firstLineChars="0"/>
        <w:jc w:val="center"/>
      </w:pPr>
      <w:r>
        <w:drawing>
          <wp:inline distT="0" distB="0" distL="0" distR="0">
            <wp:extent cx="3111500" cy="241300"/>
            <wp:effectExtent l="0" t="0" r="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111500" cy="241300"/>
                    </a:xfrm>
                    <a:prstGeom prst="rect">
                      <a:avLst/>
                    </a:prstGeom>
                    <a:noFill/>
                    <a:ln>
                      <a:noFill/>
                    </a:ln>
                  </pic:spPr>
                </pic:pic>
              </a:graphicData>
            </a:graphic>
          </wp:inline>
        </w:drawing>
      </w:r>
      <w:r>
        <w:t>……………（</w:t>
      </w:r>
      <w:r>
        <w:rPr>
          <w:rFonts w:hint="eastAsia"/>
        </w:rPr>
        <w:t>A</w:t>
      </w:r>
      <w:r>
        <w:t>.1）</w:t>
      </w:r>
    </w:p>
    <w:p w14:paraId="320DEB09">
      <w:pPr>
        <w:spacing w:line="500" w:lineRule="exact"/>
        <w:ind w:firstLine="480"/>
      </w:pPr>
      <w:r>
        <w:t>公式中：</w:t>
      </w:r>
    </w:p>
    <w:p w14:paraId="5AFE818C">
      <w:pPr>
        <w:spacing w:line="500" w:lineRule="exact"/>
        <w:ind w:firstLine="480"/>
      </w:pPr>
      <w:r>
        <w:t>Dc--指向性校正，dB；他描述点声源的等效声压级与产生声功率级Lw的全向点声源在规定方向的级的偏差程度</w:t>
      </w:r>
      <w:r>
        <w:rPr>
          <w:rFonts w:hint="eastAsia"/>
        </w:rPr>
        <w:t>。</w:t>
      </w:r>
    </w:p>
    <w:p w14:paraId="70BCCA6C">
      <w:pPr>
        <w:spacing w:line="500" w:lineRule="exact"/>
        <w:ind w:firstLine="480"/>
      </w:pPr>
      <w:r>
        <w:t>A</w:t>
      </w:r>
      <w:r>
        <w:rPr>
          <w:vertAlign w:val="subscript"/>
        </w:rPr>
        <w:t>div</w:t>
      </w:r>
      <w:r>
        <w:t>--几何发散引起的倍频带衰减，dB；</w:t>
      </w:r>
    </w:p>
    <w:p w14:paraId="15AE8706">
      <w:pPr>
        <w:spacing w:line="500" w:lineRule="exact"/>
        <w:ind w:firstLine="480"/>
      </w:pPr>
      <w:r>
        <w:t>A</w:t>
      </w:r>
      <w:r>
        <w:rPr>
          <w:vertAlign w:val="subscript"/>
        </w:rPr>
        <w:t>atm</w:t>
      </w:r>
      <w:r>
        <w:t>--大气吸收引起的倍频带衰减，dB；</w:t>
      </w:r>
    </w:p>
    <w:p w14:paraId="637EB955">
      <w:pPr>
        <w:spacing w:line="500" w:lineRule="exact"/>
        <w:ind w:firstLine="480"/>
      </w:pPr>
      <w:r>
        <w:t>A</w:t>
      </w:r>
      <w:r>
        <w:rPr>
          <w:vertAlign w:val="subscript"/>
        </w:rPr>
        <w:t>gr</w:t>
      </w:r>
      <w:r>
        <w:t>--地面效应引起的倍频带衰减，dB；</w:t>
      </w:r>
    </w:p>
    <w:p w14:paraId="0F98EF03">
      <w:pPr>
        <w:spacing w:line="500" w:lineRule="exact"/>
        <w:ind w:firstLine="480"/>
      </w:pPr>
      <w:r>
        <w:t>A</w:t>
      </w:r>
      <w:r>
        <w:rPr>
          <w:vertAlign w:val="subscript"/>
        </w:rPr>
        <w:t>bar</w:t>
      </w:r>
      <w:r>
        <w:t>--声屏障引起的倍频带衰减，dB；</w:t>
      </w:r>
    </w:p>
    <w:p w14:paraId="7916069A">
      <w:pPr>
        <w:spacing w:line="500" w:lineRule="exact"/>
        <w:ind w:firstLine="480"/>
      </w:pPr>
      <w:r>
        <w:t>A</w:t>
      </w:r>
      <w:r>
        <w:rPr>
          <w:vertAlign w:val="subscript"/>
        </w:rPr>
        <w:t>misc</w:t>
      </w:r>
      <w:r>
        <w:t>--其他多方面效应引起的倍频带衰减，dB；</w:t>
      </w:r>
    </w:p>
    <w:p w14:paraId="5D082AD8">
      <w:pPr>
        <w:spacing w:line="500" w:lineRule="exact"/>
        <w:ind w:firstLine="480"/>
      </w:pPr>
      <w:r>
        <w:t>B、预测点的A声级LA</w:t>
      </w:r>
      <w:r>
        <w:rPr>
          <w:rFonts w:hint="eastAsia"/>
        </w:rPr>
        <w:t>（</w:t>
      </w:r>
      <w:r>
        <w:t>r</w:t>
      </w:r>
      <w:r>
        <w:rPr>
          <w:rFonts w:hint="eastAsia"/>
        </w:rPr>
        <w:t>）</w:t>
      </w:r>
      <w:r>
        <w:t>可按下列公式计算，即将8个倍频带声压级合成，计算出预测点的A声级（LA</w:t>
      </w:r>
      <w:r>
        <w:rPr>
          <w:rFonts w:hint="eastAsia"/>
        </w:rPr>
        <w:t>（</w:t>
      </w:r>
      <w:r>
        <w:t>r</w:t>
      </w:r>
      <w:r>
        <w:rPr>
          <w:rFonts w:hint="eastAsia"/>
        </w:rPr>
        <w:t>）</w:t>
      </w:r>
      <w:r>
        <w:t>）</w:t>
      </w:r>
      <w:r>
        <w:rPr>
          <w:rFonts w:hint="eastAsia"/>
        </w:rPr>
        <w:t>。</w:t>
      </w:r>
    </w:p>
    <w:p w14:paraId="1D6085B3">
      <w:pPr>
        <w:spacing w:line="240" w:lineRule="auto"/>
        <w:ind w:firstLine="0" w:firstLineChars="0"/>
        <w:jc w:val="center"/>
      </w:pPr>
      <w:r>
        <w:rPr>
          <w:position w:val="-28"/>
        </w:rPr>
        <w:object>
          <v:shape id="_x0000_i1033" o:spt="75" type="#_x0000_t75" style="height:34pt;width:159pt;" o:ole="t" fillcolor="#000005" filled="f" o:preferrelative="t" stroked="f" coordsize="21600,21600">
            <v:path/>
            <v:fill on="f" focussize="0,0"/>
            <v:stroke on="f" joinstyle="miter"/>
            <v:imagedata r:id="rId62" o:title=""/>
            <o:lock v:ext="edit" aspectratio="t"/>
            <w10:wrap type="none"/>
            <w10:anchorlock/>
          </v:shape>
          <o:OLEObject Type="Embed" ProgID="Equation.3" ShapeID="_x0000_i1033" DrawAspect="Content" ObjectID="_1468075732" r:id="rId61">
            <o:LockedField>false</o:LockedField>
          </o:OLEObject>
        </w:object>
      </w:r>
      <w:r>
        <w:t>…………………（</w:t>
      </w:r>
      <w:r>
        <w:rPr>
          <w:rFonts w:hint="eastAsia"/>
        </w:rPr>
        <w:t>A</w:t>
      </w:r>
      <w:r>
        <w:t>.2）</w:t>
      </w:r>
    </w:p>
    <w:p w14:paraId="1AF5E6B7">
      <w:pPr>
        <w:spacing w:line="500" w:lineRule="exact"/>
        <w:ind w:firstLine="480"/>
      </w:pPr>
      <w:r>
        <w:t>式中：</w:t>
      </w:r>
    </w:p>
    <w:p w14:paraId="66A0C748">
      <w:pPr>
        <w:spacing w:line="500" w:lineRule="exact"/>
        <w:ind w:firstLine="480"/>
      </w:pPr>
      <w:r>
        <w:t>L</w:t>
      </w:r>
      <w:r>
        <w:rPr>
          <w:vertAlign w:val="subscript"/>
        </w:rPr>
        <w:t>Pi</w:t>
      </w:r>
      <w:r>
        <w:rPr>
          <w:rFonts w:hint="eastAsia"/>
        </w:rPr>
        <w:t>（</w:t>
      </w:r>
      <w:r>
        <w:t>r</w:t>
      </w:r>
      <w:r>
        <w:rPr>
          <w:rFonts w:hint="eastAsia"/>
        </w:rPr>
        <w:t>）</w:t>
      </w:r>
      <w:r>
        <w:t>--预测点（r）处，第i倍频带声压级，dB；</w:t>
      </w:r>
    </w:p>
    <w:p w14:paraId="4109F5F7">
      <w:pPr>
        <w:ind w:firstLine="480"/>
      </w:pPr>
      <w:r>
        <w:t>Δ</w:t>
      </w:r>
      <w:r>
        <w:rPr>
          <w:vertAlign w:val="subscript"/>
        </w:rPr>
        <w:t>Li</w:t>
      </w:r>
      <w:r>
        <w:t>--第i倍频带的A计权网络修正值</w:t>
      </w:r>
      <w:r>
        <w:rPr>
          <w:rFonts w:hint="eastAsia"/>
        </w:rPr>
        <w:t>。</w:t>
      </w:r>
    </w:p>
    <w:p w14:paraId="362DD248">
      <w:pPr>
        <w:ind w:firstLine="480"/>
      </w:pPr>
      <w:bookmarkStart w:id="160" w:name="_Toc1797"/>
      <w:bookmarkStart w:id="161" w:name="_Toc1166"/>
      <w:r>
        <w:rPr>
          <w:rFonts w:hint="eastAsia" w:cs="宋体"/>
        </w:rPr>
        <w:t>②</w:t>
      </w:r>
      <w:r>
        <w:t>室内声源等效室外声源声功率计算公式</w:t>
      </w:r>
      <w:bookmarkEnd w:id="160"/>
      <w:bookmarkEnd w:id="161"/>
    </w:p>
    <w:p w14:paraId="16E8EDEC">
      <w:pPr>
        <w:ind w:firstLine="480"/>
      </w:pPr>
      <w:r>
        <w:t>声源位于室内，室内声源可采用等效室外声源声功率级法进行计算</w:t>
      </w:r>
      <w:r>
        <w:rPr>
          <w:rFonts w:hint="eastAsia"/>
        </w:rPr>
        <w:t>。</w:t>
      </w:r>
      <w:r>
        <w:t>设靠近开口处（或窗户）室内、室外某倍频带的声压级分别为L</w:t>
      </w:r>
      <w:r>
        <w:rPr>
          <w:vertAlign w:val="subscript"/>
        </w:rPr>
        <w:t>p1</w:t>
      </w:r>
      <w:r>
        <w:t>和L</w:t>
      </w:r>
      <w:r>
        <w:rPr>
          <w:vertAlign w:val="subscript"/>
        </w:rPr>
        <w:t>p2</w:t>
      </w:r>
      <w:r>
        <w:rPr>
          <w:rFonts w:hint="eastAsia"/>
        </w:rPr>
        <w:t>。</w:t>
      </w:r>
      <w:r>
        <w:t>若声源所在室内声场为近似扩散声场</w:t>
      </w:r>
      <w:r>
        <w:rPr>
          <w:rFonts w:hint="eastAsia"/>
        </w:rPr>
        <w:t>。</w:t>
      </w:r>
      <w:r>
        <w:t>则室外得倍频带的声压级公式为：</w:t>
      </w:r>
    </w:p>
    <w:p w14:paraId="00FC4171">
      <w:pPr>
        <w:spacing w:line="240" w:lineRule="auto"/>
        <w:ind w:firstLine="0" w:firstLineChars="0"/>
        <w:jc w:val="center"/>
      </w:pPr>
      <w:r>
        <w:rPr>
          <w:position w:val="-12"/>
        </w:rPr>
        <w:object>
          <v:shape id="_x0000_i1034" o:spt="75" type="#_x0000_t75" style="height:18.5pt;width:110pt;" o:ole="t" fillcolor="#000005" filled="f" o:preferrelative="t" stroked="f" coordsize="21600,21600">
            <v:path/>
            <v:fill on="f" focussize="0,0"/>
            <v:stroke on="f" joinstyle="miter"/>
            <v:imagedata r:id="rId64" o:title=""/>
            <o:lock v:ext="edit" aspectratio="t"/>
            <w10:wrap type="none"/>
            <w10:anchorlock/>
          </v:shape>
          <o:OLEObject Type="Embed" ProgID="Equation.3" ShapeID="_x0000_i1034" DrawAspect="Content" ObjectID="_1468075733" r:id="rId63">
            <o:LockedField>false</o:LockedField>
          </o:OLEObject>
        </w:object>
      </w:r>
      <w:r>
        <w:t>……………………………（</w:t>
      </w:r>
      <w:r>
        <w:rPr>
          <w:rFonts w:hint="eastAsia"/>
        </w:rPr>
        <w:t>A</w:t>
      </w:r>
      <w:r>
        <w:t>.3）</w:t>
      </w:r>
    </w:p>
    <w:p w14:paraId="68674332">
      <w:pPr>
        <w:spacing w:line="500" w:lineRule="exact"/>
        <w:ind w:firstLine="480"/>
      </w:pPr>
      <w:r>
        <w:t>式中：</w:t>
      </w:r>
    </w:p>
    <w:p w14:paraId="5C89C961">
      <w:pPr>
        <w:ind w:firstLine="480"/>
      </w:pPr>
      <w:r>
        <w:t>TL--隔墙（或窗户）倍频带的隔声量，dB；</w:t>
      </w:r>
    </w:p>
    <w:p w14:paraId="2CFF68FA">
      <w:pPr>
        <w:ind w:firstLine="480"/>
      </w:pPr>
      <w:r>
        <w:pict>
          <v:shape id="Picture 4369" o:spid="_x0000_s2079" o:spt="75" type="#_x0000_t75" style="position:absolute;left:0pt;margin-left:68.15pt;margin-top:20.75pt;height:30.75pt;width:140.6pt;z-index:251740160;mso-width-relative:page;mso-height-relative:page;" o:ole="t" fillcolor="#000005" filled="f" o:preferrelative="t" stroked="f" coordsize="21600,21600">
            <v:path/>
            <v:fill on="f" focussize="0,0"/>
            <v:stroke on="f" joinstyle="miter"/>
            <v:imagedata r:id="rId66" o:title=""/>
            <o:lock v:ext="edit" aspectratio="t"/>
          </v:shape>
          <o:OLEObject Type="Embed" ProgID="Equation.3" ShapeID="Picture 4369" DrawAspect="Content" ObjectID="_1468075734" r:id="rId65">
            <o:LockedField>false</o:LockedField>
          </o:OLEObject>
        </w:pict>
      </w:r>
      <w:r>
        <w:t>计算某一室内声源靠近围护结构处产生的倍频带声压级公式：</w:t>
      </w:r>
    </w:p>
    <w:p w14:paraId="5D6B1762">
      <w:pPr>
        <w:wordWrap w:val="0"/>
        <w:spacing w:line="500" w:lineRule="exact"/>
        <w:ind w:firstLine="480"/>
        <w:jc w:val="right"/>
      </w:pPr>
      <w:r>
        <w:t>…（</w:t>
      </w:r>
      <w:r>
        <w:rPr>
          <w:rFonts w:hint="eastAsia"/>
        </w:rPr>
        <w:t>A</w:t>
      </w:r>
      <w:r>
        <w:t>.4）</w:t>
      </w:r>
    </w:p>
    <w:p w14:paraId="706CFF43">
      <w:pPr>
        <w:spacing w:line="500" w:lineRule="exact"/>
        <w:ind w:firstLine="480"/>
      </w:pPr>
      <w:r>
        <w:t>式中：</w:t>
      </w:r>
    </w:p>
    <w:p w14:paraId="2089A66D">
      <w:pPr>
        <w:ind w:firstLine="480"/>
      </w:pPr>
      <w:r>
        <w:t>Q--指向性因子；</w:t>
      </w:r>
    </w:p>
    <w:p w14:paraId="5BC26B74">
      <w:pPr>
        <w:ind w:firstLine="480"/>
      </w:pPr>
      <w:r>
        <w:t>R--房间常数；</w:t>
      </w:r>
    </w:p>
    <w:p w14:paraId="4CA12266">
      <w:pPr>
        <w:ind w:firstLine="480"/>
      </w:pPr>
      <w:r>
        <w:t>r--声源到靠近围护结构某点处的距离，m</w:t>
      </w:r>
      <w:r>
        <w:rPr>
          <w:rFonts w:hint="eastAsia"/>
        </w:rPr>
        <w:t>。</w:t>
      </w:r>
    </w:p>
    <w:p w14:paraId="5CB1740D">
      <w:pPr>
        <w:ind w:firstLine="480"/>
      </w:pPr>
      <w:r>
        <w:pict>
          <v:shape id="Picture 4370" o:spid="_x0000_s2081" o:spt="75" type="#_x0000_t75" style="position:absolute;left:0pt;margin-left:131.35pt;margin-top:18.4pt;height:36pt;width:138.65pt;z-index:251742208;mso-width-relative:page;mso-height-relative:page;" o:ole="t" fillcolor="#000005" filled="f" o:preferrelative="t" stroked="f" coordsize="21600,21600">
            <v:path/>
            <v:fill on="f" focussize="0,0"/>
            <v:stroke on="f" joinstyle="miter"/>
            <v:imagedata r:id="rId68" o:title=""/>
            <o:lock v:ext="edit" aspectratio="t"/>
          </v:shape>
          <o:OLEObject Type="Embed" ProgID="Equation.3" ShapeID="Picture 4370" DrawAspect="Content" ObjectID="_1468075735" r:id="rId67">
            <o:LockedField>false</o:LockedField>
          </o:OLEObject>
        </w:pict>
      </w:r>
      <w:r>
        <w:t>由上式可知，所有室内声源在围护结构处产生的i倍频带叠加声压级公式：</w:t>
      </w:r>
    </w:p>
    <w:p w14:paraId="1EBDFE20">
      <w:pPr>
        <w:spacing w:line="500" w:lineRule="exact"/>
        <w:ind w:firstLine="480"/>
        <w:jc w:val="right"/>
      </w:pPr>
      <w:r>
        <w:t>………（</w:t>
      </w:r>
      <w:r>
        <w:rPr>
          <w:rFonts w:hint="eastAsia"/>
        </w:rPr>
        <w:t>A</w:t>
      </w:r>
      <w:r>
        <w:t>.5）</w:t>
      </w:r>
    </w:p>
    <w:p w14:paraId="79CADE93">
      <w:pPr>
        <w:spacing w:line="500" w:lineRule="exact"/>
        <w:ind w:firstLine="480"/>
      </w:pPr>
      <w:r>
        <w:t>式中：</w:t>
      </w:r>
    </w:p>
    <w:p w14:paraId="76C99C25">
      <w:pPr>
        <w:spacing w:line="500" w:lineRule="exact"/>
        <w:ind w:firstLine="480"/>
      </w:pPr>
      <w:r>
        <w:t>L</w:t>
      </w:r>
      <w:r>
        <w:rPr>
          <w:vertAlign w:val="subscript"/>
        </w:rPr>
        <w:t>p1i</w:t>
      </w:r>
      <w:r>
        <w:t>（T）--靠近维护结构室内N个声源i倍频带的叠加声压级，dB；</w:t>
      </w:r>
    </w:p>
    <w:p w14:paraId="2F782344">
      <w:pPr>
        <w:spacing w:line="500" w:lineRule="exact"/>
        <w:ind w:firstLine="480"/>
      </w:pPr>
      <w:r>
        <w:t>L</w:t>
      </w:r>
      <w:r>
        <w:rPr>
          <w:vertAlign w:val="subscript"/>
        </w:rPr>
        <w:t>p1ij</w:t>
      </w:r>
      <w:r>
        <w:t>--室内j声源i倍频带的声压级，dB；</w:t>
      </w:r>
    </w:p>
    <w:p w14:paraId="2EEDA9DE">
      <w:pPr>
        <w:ind w:firstLine="480"/>
      </w:pPr>
      <w:r>
        <w:t>N--室内声源总数</w:t>
      </w:r>
      <w:r>
        <w:rPr>
          <w:rFonts w:hint="eastAsia"/>
        </w:rPr>
        <w:t>。</w:t>
      </w:r>
    </w:p>
    <w:p w14:paraId="6E9A6C08">
      <w:pPr>
        <w:spacing w:line="500" w:lineRule="exact"/>
        <w:ind w:firstLine="480"/>
      </w:pPr>
      <w:bookmarkStart w:id="162" w:name="_Toc13636"/>
      <w:bookmarkStart w:id="163" w:name="_Toc984"/>
      <w:r>
        <w:rPr>
          <w:rFonts w:hint="eastAsia" w:cs="宋体"/>
        </w:rPr>
        <w:t>③</w:t>
      </w:r>
      <w:r>
        <w:t>靠近声源处的预测点预测模式</w:t>
      </w:r>
      <w:bookmarkEnd w:id="162"/>
      <w:bookmarkEnd w:id="163"/>
    </w:p>
    <w:p w14:paraId="352F6C90">
      <w:pPr>
        <w:spacing w:line="500" w:lineRule="exact"/>
        <w:ind w:firstLine="480"/>
      </w:pPr>
      <w:r>
        <w:t>如预测点在靠近声源处，但不能满足声源条件时，需按线声源或面生源模式计算</w:t>
      </w:r>
      <w:r>
        <w:rPr>
          <w:rFonts w:hint="eastAsia"/>
        </w:rPr>
        <w:t>。</w:t>
      </w:r>
    </w:p>
    <w:p w14:paraId="77649B50">
      <w:pPr>
        <w:spacing w:line="500" w:lineRule="exact"/>
        <w:ind w:firstLine="480"/>
      </w:pPr>
      <w:bookmarkStart w:id="164" w:name="_Toc1304"/>
      <w:bookmarkStart w:id="165" w:name="_Toc1424"/>
      <w:r>
        <w:rPr>
          <w:rFonts w:hint="eastAsia" w:cs="宋体"/>
        </w:rPr>
        <w:t>④</w:t>
      </w:r>
      <w:r>
        <w:t>噪声贡献值计算</w:t>
      </w:r>
      <w:bookmarkEnd w:id="164"/>
      <w:bookmarkEnd w:id="165"/>
    </w:p>
    <w:p w14:paraId="69A74572">
      <w:pPr>
        <w:spacing w:line="500" w:lineRule="exact"/>
        <w:ind w:firstLine="480"/>
      </w:pPr>
      <w:r>
        <w:t>声源对预测点产生的贡献值（Leqg）公式为</w:t>
      </w:r>
    </w:p>
    <w:p w14:paraId="51200A25">
      <w:pPr>
        <w:spacing w:line="500" w:lineRule="exact"/>
        <w:ind w:firstLine="480"/>
        <w:jc w:val="right"/>
      </w:pPr>
      <w:r>
        <w:pict>
          <v:shape id="Picture 4371" o:spid="_x0000_s2080" o:spt="75" type="#_x0000_t75" style="position:absolute;left:0pt;margin-left:99pt;margin-top:-3.6pt;height:36pt;width:230.95pt;z-index:251741184;mso-width-relative:page;mso-height-relative:page;" o:ole="t" fillcolor="#000005" filled="f" o:preferrelative="t" stroked="f" coordsize="21600,21600">
            <v:path/>
            <v:fill on="f" focussize="0,0"/>
            <v:stroke on="f" joinstyle="miter"/>
            <v:imagedata r:id="rId70" o:title=""/>
            <o:lock v:ext="edit" aspectratio="t"/>
          </v:shape>
          <o:OLEObject Type="Embed" ProgID="Equation.3" ShapeID="Picture 4371" DrawAspect="Content" ObjectID="_1468075736" r:id="rId69">
            <o:LockedField>false</o:LockedField>
          </o:OLEObject>
        </w:pict>
      </w:r>
      <w:r>
        <w:t>……（</w:t>
      </w:r>
      <w:r>
        <w:rPr>
          <w:rFonts w:hint="eastAsia"/>
        </w:rPr>
        <w:t>A</w:t>
      </w:r>
      <w:r>
        <w:t>.6）</w:t>
      </w:r>
    </w:p>
    <w:p w14:paraId="5531FE37">
      <w:pPr>
        <w:spacing w:line="500" w:lineRule="exact"/>
        <w:ind w:firstLine="480"/>
      </w:pPr>
      <w:r>
        <w:t>（2）传播衰减公式</w:t>
      </w:r>
    </w:p>
    <w:p w14:paraId="79F25679">
      <w:pPr>
        <w:spacing w:line="500" w:lineRule="exact"/>
        <w:ind w:firstLine="480"/>
      </w:pPr>
      <w:bookmarkStart w:id="166" w:name="_Toc21277"/>
      <w:bookmarkStart w:id="167" w:name="_Toc6926"/>
      <w:r>
        <w:rPr>
          <w:rFonts w:hint="eastAsia" w:cs="宋体"/>
        </w:rPr>
        <w:t>①</w:t>
      </w:r>
      <w:r>
        <w:t>几何发散衰减</w:t>
      </w:r>
      <w:r>
        <w:rPr>
          <w:rFonts w:hint="eastAsia"/>
        </w:rPr>
        <w:t>（</w:t>
      </w:r>
      <w:r>
        <w:t>Adiv</w:t>
      </w:r>
      <w:bookmarkEnd w:id="166"/>
      <w:bookmarkEnd w:id="167"/>
      <w:r>
        <w:rPr>
          <w:rFonts w:hint="eastAsia"/>
        </w:rPr>
        <w:t>）</w:t>
      </w:r>
    </w:p>
    <w:p w14:paraId="60EC5FA2">
      <w:pPr>
        <w:spacing w:line="500" w:lineRule="exact"/>
        <w:ind w:firstLine="480"/>
      </w:pPr>
      <w:r>
        <w:t>A、点声源的几何发散衰减</w:t>
      </w:r>
    </w:p>
    <w:p w14:paraId="671DB778">
      <w:pPr>
        <w:spacing w:line="500" w:lineRule="exact"/>
        <w:ind w:firstLine="480"/>
      </w:pPr>
      <w:r>
        <w:t>无指向性点声源几何发散衰减的基本公式是</w:t>
      </w:r>
    </w:p>
    <w:p w14:paraId="7A146CD4">
      <w:pPr>
        <w:spacing w:line="500" w:lineRule="exact"/>
        <w:ind w:firstLine="480"/>
        <w:jc w:val="right"/>
      </w:pPr>
      <w:r>
        <w:drawing>
          <wp:inline distT="0" distB="0" distL="0" distR="0">
            <wp:extent cx="1727200" cy="203200"/>
            <wp:effectExtent l="0" t="0" r="635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727200" cy="203200"/>
                    </a:xfrm>
                    <a:prstGeom prst="rect">
                      <a:avLst/>
                    </a:prstGeom>
                    <a:noFill/>
                    <a:ln>
                      <a:noFill/>
                    </a:ln>
                  </pic:spPr>
                </pic:pic>
              </a:graphicData>
            </a:graphic>
          </wp:inline>
        </w:drawing>
      </w:r>
      <w:r>
        <w:t>…………………………………（</w:t>
      </w:r>
      <w:r>
        <w:rPr>
          <w:rFonts w:hint="eastAsia"/>
        </w:rPr>
        <w:t>A</w:t>
      </w:r>
      <w:r>
        <w:t>.7）</w:t>
      </w:r>
    </w:p>
    <w:p w14:paraId="7C9FF2FA">
      <w:pPr>
        <w:spacing w:line="500" w:lineRule="exact"/>
        <w:ind w:firstLine="480"/>
      </w:pPr>
      <w:r>
        <w:t>公示（4）中第二项表示了点声源的几何发散衰减：</w:t>
      </w:r>
    </w:p>
    <w:p w14:paraId="1F396BAA">
      <w:pPr>
        <w:spacing w:line="500" w:lineRule="exact"/>
        <w:ind w:firstLine="480"/>
        <w:jc w:val="right"/>
      </w:pPr>
      <w:r>
        <w:drawing>
          <wp:inline distT="0" distB="0" distL="0" distR="0">
            <wp:extent cx="1028700" cy="2286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r>
        <w:t>………………………………………（</w:t>
      </w:r>
      <w:r>
        <w:rPr>
          <w:rFonts w:hint="eastAsia"/>
        </w:rPr>
        <w:t>A</w:t>
      </w:r>
      <w:r>
        <w:t>.8）</w:t>
      </w:r>
    </w:p>
    <w:p w14:paraId="78E4228F">
      <w:pPr>
        <w:spacing w:line="500" w:lineRule="exact"/>
        <w:ind w:firstLine="480"/>
      </w:pPr>
      <w:r>
        <w:t>如果已知点声源的倍频带声功率级Lw或A声功率级（L</w:t>
      </w:r>
      <w:r>
        <w:rPr>
          <w:vertAlign w:val="subscript"/>
        </w:rPr>
        <w:t>AW</w:t>
      </w:r>
      <w:r>
        <w:t>），且声源处于自由声场，则公式（4）等效为下列公式：</w:t>
      </w:r>
    </w:p>
    <w:p w14:paraId="630EC4EE">
      <w:pPr>
        <w:spacing w:line="500" w:lineRule="exact"/>
        <w:ind w:firstLine="480"/>
        <w:jc w:val="right"/>
      </w:pPr>
      <w:r>
        <w:drawing>
          <wp:inline distT="0" distB="0" distL="0" distR="0">
            <wp:extent cx="1562100" cy="2032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62100" cy="203200"/>
                    </a:xfrm>
                    <a:prstGeom prst="rect">
                      <a:avLst/>
                    </a:prstGeom>
                    <a:noFill/>
                    <a:ln>
                      <a:noFill/>
                    </a:ln>
                  </pic:spPr>
                </pic:pic>
              </a:graphicData>
            </a:graphic>
          </wp:inline>
        </w:drawing>
      </w:r>
      <w:r>
        <w:t>……………………………（</w:t>
      </w:r>
      <w:r>
        <w:rPr>
          <w:rFonts w:hint="eastAsia"/>
        </w:rPr>
        <w:t>A</w:t>
      </w:r>
      <w:r>
        <w:t>.9）</w:t>
      </w:r>
    </w:p>
    <w:p w14:paraId="48A5B767">
      <w:pPr>
        <w:spacing w:line="500" w:lineRule="exact"/>
        <w:ind w:firstLine="480"/>
        <w:jc w:val="right"/>
      </w:pPr>
      <w:r>
        <w:drawing>
          <wp:inline distT="0" distB="0" distL="0" distR="0">
            <wp:extent cx="1612900" cy="203200"/>
            <wp:effectExtent l="0" t="0" r="635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612900" cy="203200"/>
                    </a:xfrm>
                    <a:prstGeom prst="rect">
                      <a:avLst/>
                    </a:prstGeom>
                    <a:noFill/>
                    <a:ln>
                      <a:noFill/>
                    </a:ln>
                  </pic:spPr>
                </pic:pic>
              </a:graphicData>
            </a:graphic>
          </wp:inline>
        </w:drawing>
      </w:r>
      <w:r>
        <w:t>……………………………（</w:t>
      </w:r>
      <w:r>
        <w:rPr>
          <w:rFonts w:hint="eastAsia"/>
        </w:rPr>
        <w:t>A</w:t>
      </w:r>
      <w:r>
        <w:t>.10）</w:t>
      </w:r>
    </w:p>
    <w:p w14:paraId="1879B533">
      <w:pPr>
        <w:spacing w:line="500" w:lineRule="exact"/>
        <w:ind w:firstLine="480"/>
      </w:pPr>
      <w:r>
        <w:t>反射体引起的修正</w:t>
      </w:r>
      <w:r>
        <w:rPr>
          <w:rFonts w:hint="eastAsia"/>
        </w:rPr>
        <w:t>（</w:t>
      </w:r>
      <w:r>
        <w:t>ΔLr</w:t>
      </w:r>
      <w:r>
        <w:rPr>
          <w:rFonts w:hint="eastAsia"/>
        </w:rPr>
        <w:t>）</w:t>
      </w:r>
    </w:p>
    <w:p w14:paraId="102923A5">
      <w:pPr>
        <w:spacing w:line="500" w:lineRule="exact"/>
        <w:ind w:firstLine="480"/>
      </w:pPr>
      <w:r>
        <w:t>当点声源与预测点处在反射体同侧附近时，到达预测点的声级是直达声与反射声叠加的结果，从而使预测点声级增高</w:t>
      </w:r>
      <w:r>
        <w:rPr>
          <w:rFonts w:hint="eastAsia"/>
        </w:rPr>
        <w:t>。</w:t>
      </w:r>
    </w:p>
    <w:p w14:paraId="15493AAC">
      <w:pPr>
        <w:spacing w:line="500" w:lineRule="exact"/>
        <w:ind w:firstLine="480"/>
      </w:pPr>
      <w:r>
        <w:t>B、线声源的几何发散衰减</w:t>
      </w:r>
      <w:r>
        <w:rPr>
          <w:rFonts w:hint="eastAsia"/>
        </w:rPr>
        <w:t>（</w:t>
      </w:r>
      <w:r>
        <w:t>Adiv</w:t>
      </w:r>
      <w:r>
        <w:rPr>
          <w:rFonts w:hint="eastAsia"/>
        </w:rPr>
        <w:t>）</w:t>
      </w:r>
    </w:p>
    <w:p w14:paraId="355CA822">
      <w:pPr>
        <w:spacing w:line="500" w:lineRule="exact"/>
        <w:ind w:firstLine="480"/>
      </w:pPr>
      <w:r>
        <w:t>a.无限长线声源</w:t>
      </w:r>
    </w:p>
    <w:p w14:paraId="3EAAFD6A">
      <w:pPr>
        <w:spacing w:line="500" w:lineRule="exact"/>
        <w:ind w:firstLine="480"/>
      </w:pPr>
      <w:r>
        <w:t>无限长线声源几何发散衰减的基本公式是：</w:t>
      </w:r>
    </w:p>
    <w:p w14:paraId="40C895E9">
      <w:pPr>
        <w:spacing w:line="500" w:lineRule="exact"/>
        <w:ind w:firstLine="480"/>
        <w:jc w:val="right"/>
      </w:pPr>
      <w:r>
        <w:drawing>
          <wp:anchor distT="0" distB="0" distL="114300" distR="114300" simplePos="0" relativeHeight="251743232" behindDoc="0" locked="0" layoutInCell="1" allowOverlap="1">
            <wp:simplePos x="0" y="0"/>
            <wp:positionH relativeFrom="column">
              <wp:posOffset>1409700</wp:posOffset>
            </wp:positionH>
            <wp:positionV relativeFrom="paragraph">
              <wp:posOffset>-125095</wp:posOffset>
            </wp:positionV>
            <wp:extent cx="1574800" cy="381000"/>
            <wp:effectExtent l="0" t="0" r="635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574800" cy="381000"/>
                    </a:xfrm>
                    <a:prstGeom prst="rect">
                      <a:avLst/>
                    </a:prstGeom>
                    <a:noFill/>
                    <a:ln>
                      <a:noFill/>
                    </a:ln>
                  </pic:spPr>
                </pic:pic>
              </a:graphicData>
            </a:graphic>
          </wp:anchor>
        </w:drawing>
      </w:r>
      <w:r>
        <w:t>……………………………（</w:t>
      </w:r>
      <w:r>
        <w:rPr>
          <w:rFonts w:hint="eastAsia"/>
        </w:rPr>
        <w:t>A</w:t>
      </w:r>
      <w:r>
        <w:t>.11）</w:t>
      </w:r>
    </w:p>
    <w:p w14:paraId="6A2BF3A5">
      <w:pPr>
        <w:spacing w:line="500" w:lineRule="exact"/>
        <w:ind w:firstLine="480"/>
      </w:pPr>
      <w:r>
        <w:t>上式中的第二项表示了无限长线声源的几何发散衰减：</w:t>
      </w:r>
    </w:p>
    <w:p w14:paraId="332EDF47">
      <w:pPr>
        <w:spacing w:line="500" w:lineRule="exact"/>
        <w:ind w:firstLine="480"/>
        <w:jc w:val="right"/>
      </w:pPr>
      <w:r>
        <w:drawing>
          <wp:inline distT="0" distB="0" distL="0" distR="0">
            <wp:extent cx="1028700" cy="2286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r>
        <w:t>…………………………（</w:t>
      </w:r>
      <w:r>
        <w:rPr>
          <w:rFonts w:hint="eastAsia"/>
        </w:rPr>
        <w:t>A</w:t>
      </w:r>
      <w:r>
        <w:t>.12）</w:t>
      </w:r>
    </w:p>
    <w:p w14:paraId="28387492">
      <w:pPr>
        <w:spacing w:line="500" w:lineRule="exact"/>
        <w:ind w:firstLine="480"/>
      </w:pPr>
      <w:r>
        <w:t>b.有限长线声源</w:t>
      </w:r>
    </w:p>
    <w:p w14:paraId="18DCCD59">
      <w:pPr>
        <w:spacing w:line="500" w:lineRule="exact"/>
        <w:ind w:firstLine="480"/>
      </w:pPr>
      <w:r>
        <w:drawing>
          <wp:anchor distT="0" distB="0" distL="114300" distR="114300" simplePos="0" relativeHeight="251730944" behindDoc="0" locked="0" layoutInCell="1" allowOverlap="1">
            <wp:simplePos x="0" y="0"/>
            <wp:positionH relativeFrom="column">
              <wp:posOffset>1257300</wp:posOffset>
            </wp:positionH>
            <wp:positionV relativeFrom="paragraph">
              <wp:posOffset>572770</wp:posOffset>
            </wp:positionV>
            <wp:extent cx="2152650" cy="428625"/>
            <wp:effectExtent l="0" t="0" r="0" b="952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152650" cy="428625"/>
                    </a:xfrm>
                    <a:prstGeom prst="rect">
                      <a:avLst/>
                    </a:prstGeom>
                    <a:noFill/>
                    <a:ln>
                      <a:noFill/>
                    </a:ln>
                  </pic:spPr>
                </pic:pic>
              </a:graphicData>
            </a:graphic>
          </wp:anchor>
        </w:drawing>
      </w:r>
      <w:r>
        <w:t>设线声源长度为l0，单位长度线声源辐射的倍频带声功率级为Lw</w:t>
      </w:r>
      <w:r>
        <w:rPr>
          <w:rFonts w:hint="eastAsia"/>
        </w:rPr>
        <w:t>。</w:t>
      </w:r>
      <w:r>
        <w:t>在线声源垂直平分线上距声源r处的声压级为：</w:t>
      </w:r>
    </w:p>
    <w:p w14:paraId="69BE8DAC">
      <w:pPr>
        <w:spacing w:line="500" w:lineRule="exact"/>
        <w:ind w:firstLine="480"/>
        <w:jc w:val="right"/>
      </w:pPr>
      <w:r>
        <w:t>…………………（</w:t>
      </w:r>
      <w:r>
        <w:rPr>
          <w:rFonts w:hint="eastAsia"/>
        </w:rPr>
        <w:t>A</w:t>
      </w:r>
      <w:r>
        <w:t>.13）</w:t>
      </w:r>
    </w:p>
    <w:p w14:paraId="4E4DDE1E">
      <w:pPr>
        <w:spacing w:line="500" w:lineRule="exact"/>
        <w:ind w:firstLine="480"/>
      </w:pPr>
      <w:r>
        <w:drawing>
          <wp:anchor distT="0" distB="0" distL="114300" distR="114300" simplePos="0" relativeHeight="251729920" behindDoc="0" locked="0" layoutInCell="1" allowOverlap="1">
            <wp:simplePos x="0" y="0"/>
            <wp:positionH relativeFrom="column">
              <wp:posOffset>1028700</wp:posOffset>
            </wp:positionH>
            <wp:positionV relativeFrom="paragraph">
              <wp:posOffset>153670</wp:posOffset>
            </wp:positionV>
            <wp:extent cx="2305050" cy="80010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05050" cy="800100"/>
                    </a:xfrm>
                    <a:prstGeom prst="rect">
                      <a:avLst/>
                    </a:prstGeom>
                    <a:noFill/>
                    <a:ln>
                      <a:noFill/>
                    </a:ln>
                  </pic:spPr>
                </pic:pic>
              </a:graphicData>
            </a:graphic>
          </wp:anchor>
        </w:drawing>
      </w:r>
      <w:r>
        <w:t>或</w:t>
      </w:r>
    </w:p>
    <w:p w14:paraId="1C4F0E8D">
      <w:pPr>
        <w:spacing w:line="500" w:lineRule="exact"/>
        <w:ind w:firstLine="480"/>
      </w:pPr>
    </w:p>
    <w:p w14:paraId="1FEDEF0C">
      <w:pPr>
        <w:spacing w:line="500" w:lineRule="exact"/>
        <w:ind w:firstLine="480"/>
        <w:jc w:val="right"/>
      </w:pPr>
      <w:r>
        <w:t>…………………（</w:t>
      </w:r>
      <w:r>
        <w:rPr>
          <w:rFonts w:hint="eastAsia"/>
        </w:rPr>
        <w:t>A</w:t>
      </w:r>
      <w:r>
        <w:t>.14）</w:t>
      </w:r>
    </w:p>
    <w:p w14:paraId="05F85F34">
      <w:pPr>
        <w:ind w:firstLine="480"/>
      </w:pPr>
      <w:r>
        <w:drawing>
          <wp:anchor distT="0" distB="0" distL="114300" distR="114300" simplePos="0" relativeHeight="251737088" behindDoc="0" locked="0" layoutInCell="1" allowOverlap="1">
            <wp:simplePos x="0" y="0"/>
            <wp:positionH relativeFrom="column">
              <wp:posOffset>1183640</wp:posOffset>
            </wp:positionH>
            <wp:positionV relativeFrom="paragraph">
              <wp:posOffset>208915</wp:posOffset>
            </wp:positionV>
            <wp:extent cx="1571625" cy="390525"/>
            <wp:effectExtent l="0" t="0" r="9525"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t>当r＞l0且r0＞l0时，上式可近似简化为：</w:t>
      </w:r>
    </w:p>
    <w:p w14:paraId="2468F814">
      <w:pPr>
        <w:ind w:firstLine="5016" w:firstLineChars="2200"/>
      </w:pPr>
      <w:r>
        <w:rPr>
          <w:spacing w:val="-6"/>
        </w:rPr>
        <w:t>………………………（</w:t>
      </w:r>
      <w:r>
        <w:rPr>
          <w:rFonts w:hint="eastAsia"/>
          <w:spacing w:val="-6"/>
        </w:rPr>
        <w:t>A</w:t>
      </w:r>
      <w:r>
        <w:rPr>
          <w:spacing w:val="-6"/>
        </w:rPr>
        <w:t>.</w:t>
      </w:r>
      <w:r>
        <w:t>15）</w:t>
      </w:r>
    </w:p>
    <w:p w14:paraId="6A01D4DB">
      <w:pPr>
        <w:ind w:firstLine="480"/>
      </w:pPr>
      <w:r>
        <w:t>即在近场区，有限长线声源可当作点声源处理</w:t>
      </w:r>
      <w:r>
        <w:rPr>
          <w:rFonts w:hint="eastAsia"/>
        </w:rPr>
        <w:t>。</w:t>
      </w:r>
    </w:p>
    <w:p w14:paraId="634FBB3C">
      <w:pPr>
        <w:spacing w:line="500" w:lineRule="exact"/>
        <w:ind w:firstLine="480"/>
      </w:pPr>
      <w:r>
        <w:drawing>
          <wp:anchor distT="0" distB="0" distL="114300" distR="114300" simplePos="0" relativeHeight="251731968" behindDoc="0" locked="0" layoutInCell="1" allowOverlap="1">
            <wp:simplePos x="0" y="0"/>
            <wp:positionH relativeFrom="column">
              <wp:posOffset>1371600</wp:posOffset>
            </wp:positionH>
            <wp:positionV relativeFrom="paragraph">
              <wp:posOffset>271780</wp:posOffset>
            </wp:positionV>
            <wp:extent cx="1571625" cy="390525"/>
            <wp:effectExtent l="0" t="0" r="9525" b="952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t>当r＜l0/3且r0＜l0/3时，该式可近似简化为：</w:t>
      </w:r>
    </w:p>
    <w:p w14:paraId="04CED94C">
      <w:pPr>
        <w:ind w:firstLine="5472" w:firstLineChars="2400"/>
      </w:pPr>
      <w:r>
        <w:rPr>
          <w:spacing w:val="-6"/>
        </w:rPr>
        <w:t>……………………（</w:t>
      </w:r>
      <w:r>
        <w:rPr>
          <w:rFonts w:hint="eastAsia"/>
          <w:spacing w:val="-6"/>
        </w:rPr>
        <w:t>A</w:t>
      </w:r>
      <w:r>
        <w:rPr>
          <w:spacing w:val="-6"/>
        </w:rPr>
        <w:t>.</w:t>
      </w:r>
      <w:r>
        <w:t>16）</w:t>
      </w:r>
    </w:p>
    <w:p w14:paraId="0E72ECB0">
      <w:pPr>
        <w:spacing w:line="500" w:lineRule="exact"/>
        <w:ind w:firstLine="480"/>
      </w:pPr>
      <w:r>
        <w:t>即在近场区，有限长线声源可当作无限长线声源处理</w:t>
      </w:r>
      <w:r>
        <w:rPr>
          <w:rFonts w:hint="eastAsia"/>
        </w:rPr>
        <w:t>。</w:t>
      </w:r>
    </w:p>
    <w:p w14:paraId="69EED8A1">
      <w:pPr>
        <w:spacing w:line="500" w:lineRule="exact"/>
        <w:ind w:firstLine="480"/>
      </w:pPr>
      <w:r>
        <w:t>当l0/3＜r＜l0且l0/3＜r</w:t>
      </w:r>
      <w:r>
        <w:rPr>
          <w:vertAlign w:val="subscript"/>
        </w:rPr>
        <w:t>0</w:t>
      </w:r>
      <w:r>
        <w:t>＜l0时，该式可近似简化为：</w:t>
      </w:r>
    </w:p>
    <w:p w14:paraId="0AF97747">
      <w:pPr>
        <w:spacing w:line="500" w:lineRule="exact"/>
        <w:ind w:firstLine="480"/>
        <w:jc w:val="right"/>
      </w:pPr>
      <w:r>
        <w:drawing>
          <wp:anchor distT="0" distB="0" distL="114300" distR="114300" simplePos="0" relativeHeight="251732992" behindDoc="0" locked="0" layoutInCell="1" allowOverlap="1">
            <wp:simplePos x="0" y="0"/>
            <wp:positionH relativeFrom="column">
              <wp:posOffset>1485900</wp:posOffset>
            </wp:positionH>
            <wp:positionV relativeFrom="paragraph">
              <wp:posOffset>0</wp:posOffset>
            </wp:positionV>
            <wp:extent cx="1571625" cy="390525"/>
            <wp:effectExtent l="0" t="0" r="9525" b="95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t>……………………（</w:t>
      </w:r>
      <w:r>
        <w:rPr>
          <w:rFonts w:hint="eastAsia"/>
        </w:rPr>
        <w:t>A</w:t>
      </w:r>
      <w:r>
        <w:t>.17）</w:t>
      </w:r>
    </w:p>
    <w:p w14:paraId="1F6189A7">
      <w:pPr>
        <w:spacing w:line="500" w:lineRule="exact"/>
        <w:ind w:firstLine="480"/>
      </w:pPr>
      <w:r>
        <w:t>C、面声源的几何发散衰减</w:t>
      </w:r>
    </w:p>
    <w:p w14:paraId="7BEAA19B">
      <w:pPr>
        <w:spacing w:line="500" w:lineRule="exact"/>
        <w:ind w:firstLine="480"/>
      </w:pPr>
      <w:r>
        <w:t>一个大型机器设备的振动表面，车间透声的墙壁，均可以认为是面声源</w:t>
      </w:r>
      <w:r>
        <w:rPr>
          <w:rFonts w:hint="eastAsia"/>
        </w:rPr>
        <w:t>。</w:t>
      </w:r>
      <w:r>
        <w:t>如果已知面声源单位面积的声功率为W，各面积元噪声的位相是随机的，面声源可看作由无数点声源连续分布组合而成，其合成声级可按能量叠加法求出</w:t>
      </w:r>
      <w:r>
        <w:rPr>
          <w:rFonts w:hint="eastAsia"/>
        </w:rPr>
        <w:t>。</w:t>
      </w:r>
    </w:p>
    <w:p w14:paraId="7346C49F">
      <w:pPr>
        <w:spacing w:line="500" w:lineRule="exact"/>
        <w:ind w:firstLine="480"/>
      </w:pPr>
      <w:bookmarkStart w:id="168" w:name="_Toc2292"/>
      <w:bookmarkStart w:id="169" w:name="_Toc32354"/>
      <w:r>
        <w:rPr>
          <w:rFonts w:hint="eastAsia" w:cs="宋体"/>
        </w:rPr>
        <w:t>②</w:t>
      </w:r>
      <w:r>
        <w:t>空气吸收引起的衰减</w:t>
      </w:r>
      <w:r>
        <w:rPr>
          <w:rFonts w:hint="eastAsia"/>
        </w:rPr>
        <w:t>（</w:t>
      </w:r>
      <w:r>
        <w:t>Aatm</w:t>
      </w:r>
      <w:bookmarkEnd w:id="168"/>
      <w:bookmarkEnd w:id="169"/>
      <w:r>
        <w:rPr>
          <w:rFonts w:hint="eastAsia"/>
        </w:rPr>
        <w:t>）</w:t>
      </w:r>
    </w:p>
    <w:p w14:paraId="7CF1F7C7">
      <w:pPr>
        <w:spacing w:line="500" w:lineRule="exact"/>
        <w:ind w:firstLine="480"/>
      </w:pPr>
      <w:r>
        <w:t>空气吸收引起的衰减按下列公式计算：</w:t>
      </w:r>
    </w:p>
    <w:p w14:paraId="69BB7C69">
      <w:pPr>
        <w:spacing w:line="500" w:lineRule="exact"/>
        <w:ind w:firstLine="480"/>
      </w:pPr>
      <w:r>
        <w:drawing>
          <wp:anchor distT="0" distB="0" distL="114300" distR="114300" simplePos="0" relativeHeight="251734016" behindDoc="0" locked="0" layoutInCell="1" allowOverlap="1">
            <wp:simplePos x="0" y="0"/>
            <wp:positionH relativeFrom="column">
              <wp:posOffset>2133600</wp:posOffset>
            </wp:positionH>
            <wp:positionV relativeFrom="paragraph">
              <wp:posOffset>40640</wp:posOffset>
            </wp:positionV>
            <wp:extent cx="1019175" cy="390525"/>
            <wp:effectExtent l="0" t="0" r="9525" b="952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019175" cy="390525"/>
                    </a:xfrm>
                    <a:prstGeom prst="rect">
                      <a:avLst/>
                    </a:prstGeom>
                    <a:noFill/>
                    <a:ln>
                      <a:noFill/>
                    </a:ln>
                  </pic:spPr>
                </pic:pic>
              </a:graphicData>
            </a:graphic>
          </wp:anchor>
        </w:drawing>
      </w:r>
      <w:r>
        <w:t>………………………（</w:t>
      </w:r>
      <w:r>
        <w:rPr>
          <w:rFonts w:hint="eastAsia"/>
        </w:rPr>
        <w:t>A</w:t>
      </w:r>
      <w:r>
        <w:t>.18）</w:t>
      </w:r>
    </w:p>
    <w:p w14:paraId="58A0B05E">
      <w:pPr>
        <w:spacing w:line="500" w:lineRule="exact"/>
        <w:ind w:firstLine="480"/>
      </w:pPr>
      <w:r>
        <w:t>式中：</w:t>
      </w:r>
    </w:p>
    <w:p w14:paraId="279AF964">
      <w:pPr>
        <w:spacing w:line="500" w:lineRule="exact"/>
        <w:ind w:firstLine="480"/>
      </w:pPr>
      <w:r>
        <w:t>α为温度、湿度和声波频率的函数，预测计算中一般根据建设项目所处区域常年平均气温和湿度选择相应的空气吸收系数（见表5.2-</w:t>
      </w:r>
      <w:r>
        <w:rPr>
          <w:rFonts w:hint="eastAsia"/>
        </w:rPr>
        <w:t>18</w:t>
      </w:r>
      <w:r>
        <w:t>）</w:t>
      </w:r>
      <w:r>
        <w:rPr>
          <w:rFonts w:hint="eastAsia"/>
        </w:rPr>
        <w:t>。</w:t>
      </w:r>
    </w:p>
    <w:p w14:paraId="7F5E32BD">
      <w:pPr>
        <w:pStyle w:val="160"/>
        <w:ind w:firstLine="480"/>
        <w:rPr>
          <w:rFonts w:eastAsia="宋体"/>
          <w:b/>
          <w:bCs/>
        </w:rPr>
      </w:pPr>
      <w:r>
        <w:rPr>
          <w:rFonts w:eastAsia="宋体"/>
          <w:b/>
          <w:bCs/>
        </w:rPr>
        <w:t>表5.2-</w:t>
      </w:r>
      <w:r>
        <w:rPr>
          <w:rFonts w:hint="eastAsia" w:eastAsia="宋体"/>
          <w:b/>
          <w:bCs/>
        </w:rPr>
        <w:t>18</w:t>
      </w:r>
      <w:r>
        <w:rPr>
          <w:rFonts w:eastAsia="宋体"/>
          <w:b/>
          <w:bCs/>
        </w:rPr>
        <w:t>倍频带噪声的大气吸收衰减系数α</w:t>
      </w:r>
    </w:p>
    <w:tbl>
      <w:tblPr>
        <w:tblStyle w:val="39"/>
        <w:tblW w:w="49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52"/>
        <w:gridCol w:w="1127"/>
        <w:gridCol w:w="764"/>
        <w:gridCol w:w="803"/>
        <w:gridCol w:w="803"/>
        <w:gridCol w:w="803"/>
        <w:gridCol w:w="854"/>
        <w:gridCol w:w="854"/>
        <w:gridCol w:w="854"/>
        <w:gridCol w:w="806"/>
      </w:tblGrid>
      <w:tr w14:paraId="1E9BB7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restart"/>
            <w:tcBorders>
              <w:tl2br w:val="nil"/>
              <w:tr2bl w:val="nil"/>
            </w:tcBorders>
            <w:shd w:val="clear" w:color="auto" w:fill="auto"/>
            <w:vAlign w:val="center"/>
          </w:tcPr>
          <w:p w14:paraId="5BCD6C74">
            <w:pPr>
              <w:pStyle w:val="154"/>
              <w:spacing w:line="240" w:lineRule="auto"/>
              <w:ind w:firstLine="0" w:firstLineChars="0"/>
              <w:jc w:val="center"/>
              <w:rPr>
                <w:b w:val="0"/>
                <w:bCs w:val="0"/>
                <w:color w:val="auto"/>
                <w:szCs w:val="21"/>
              </w:rPr>
            </w:pPr>
            <w:r>
              <w:rPr>
                <w:b w:val="0"/>
                <w:bCs w:val="0"/>
                <w:color w:val="auto"/>
                <w:szCs w:val="21"/>
              </w:rPr>
              <w:t>温度</w:t>
            </w:r>
            <w:r>
              <w:rPr>
                <w:rFonts w:hint="eastAsia"/>
                <w:b w:val="0"/>
                <w:bCs w:val="0"/>
                <w:color w:val="auto"/>
                <w:szCs w:val="21"/>
              </w:rPr>
              <w:t>℃</w:t>
            </w:r>
          </w:p>
        </w:tc>
        <w:tc>
          <w:tcPr>
            <w:tcW w:w="661" w:type="pct"/>
            <w:vMerge w:val="restart"/>
            <w:tcBorders>
              <w:tl2br w:val="nil"/>
              <w:tr2bl w:val="nil"/>
            </w:tcBorders>
            <w:shd w:val="clear" w:color="auto" w:fill="auto"/>
            <w:vAlign w:val="center"/>
          </w:tcPr>
          <w:p w14:paraId="72C67847">
            <w:pPr>
              <w:pStyle w:val="154"/>
              <w:spacing w:line="240" w:lineRule="auto"/>
              <w:ind w:firstLine="0" w:firstLineChars="0"/>
              <w:jc w:val="center"/>
              <w:rPr>
                <w:b w:val="0"/>
                <w:bCs w:val="0"/>
                <w:color w:val="auto"/>
                <w:szCs w:val="21"/>
              </w:rPr>
            </w:pPr>
            <w:r>
              <w:rPr>
                <w:b w:val="0"/>
                <w:bCs w:val="0"/>
                <w:color w:val="auto"/>
                <w:szCs w:val="21"/>
              </w:rPr>
              <w:t>相对湿度%</w:t>
            </w:r>
          </w:p>
        </w:tc>
        <w:tc>
          <w:tcPr>
            <w:tcW w:w="3837" w:type="pct"/>
            <w:gridSpan w:val="8"/>
            <w:tcBorders>
              <w:tl2br w:val="nil"/>
              <w:tr2bl w:val="nil"/>
            </w:tcBorders>
            <w:shd w:val="clear" w:color="auto" w:fill="auto"/>
            <w:vAlign w:val="center"/>
          </w:tcPr>
          <w:p w14:paraId="43012957">
            <w:pPr>
              <w:pStyle w:val="154"/>
              <w:spacing w:line="240" w:lineRule="auto"/>
              <w:ind w:firstLine="0" w:firstLineChars="0"/>
              <w:jc w:val="center"/>
              <w:rPr>
                <w:b w:val="0"/>
                <w:bCs w:val="0"/>
                <w:color w:val="auto"/>
                <w:szCs w:val="21"/>
              </w:rPr>
            </w:pPr>
            <w:r>
              <w:rPr>
                <w:b w:val="0"/>
                <w:bCs w:val="0"/>
                <w:color w:val="auto"/>
                <w:szCs w:val="21"/>
              </w:rPr>
              <w:t>大气吸收衰减系数α，dB/km</w:t>
            </w:r>
          </w:p>
        </w:tc>
      </w:tr>
      <w:tr w14:paraId="75AC5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continue"/>
            <w:tcBorders>
              <w:tl2br w:val="nil"/>
              <w:tr2bl w:val="nil"/>
            </w:tcBorders>
            <w:shd w:val="clear" w:color="auto" w:fill="auto"/>
            <w:vAlign w:val="center"/>
          </w:tcPr>
          <w:p w14:paraId="56E1AC0E">
            <w:pPr>
              <w:pStyle w:val="154"/>
              <w:spacing w:line="240" w:lineRule="auto"/>
              <w:ind w:firstLine="0" w:firstLineChars="0"/>
              <w:jc w:val="center"/>
              <w:rPr>
                <w:b w:val="0"/>
                <w:bCs w:val="0"/>
                <w:color w:val="auto"/>
                <w:szCs w:val="21"/>
              </w:rPr>
            </w:pPr>
          </w:p>
        </w:tc>
        <w:tc>
          <w:tcPr>
            <w:tcW w:w="661" w:type="pct"/>
            <w:vMerge w:val="continue"/>
            <w:tcBorders>
              <w:tl2br w:val="nil"/>
              <w:tr2bl w:val="nil"/>
            </w:tcBorders>
            <w:shd w:val="clear" w:color="auto" w:fill="auto"/>
            <w:vAlign w:val="center"/>
          </w:tcPr>
          <w:p w14:paraId="2A9270E0">
            <w:pPr>
              <w:pStyle w:val="154"/>
              <w:spacing w:line="240" w:lineRule="auto"/>
              <w:ind w:firstLine="0" w:firstLineChars="0"/>
              <w:jc w:val="center"/>
              <w:rPr>
                <w:b w:val="0"/>
                <w:bCs w:val="0"/>
                <w:color w:val="auto"/>
                <w:szCs w:val="21"/>
              </w:rPr>
            </w:pPr>
          </w:p>
        </w:tc>
        <w:tc>
          <w:tcPr>
            <w:tcW w:w="3837" w:type="pct"/>
            <w:gridSpan w:val="8"/>
            <w:tcBorders>
              <w:tl2br w:val="nil"/>
              <w:tr2bl w:val="nil"/>
            </w:tcBorders>
            <w:shd w:val="clear" w:color="auto" w:fill="auto"/>
            <w:vAlign w:val="center"/>
          </w:tcPr>
          <w:p w14:paraId="4F010868">
            <w:pPr>
              <w:pStyle w:val="154"/>
              <w:spacing w:line="240" w:lineRule="auto"/>
              <w:ind w:firstLine="0" w:firstLineChars="0"/>
              <w:jc w:val="center"/>
              <w:rPr>
                <w:b w:val="0"/>
                <w:bCs w:val="0"/>
                <w:color w:val="auto"/>
                <w:szCs w:val="21"/>
              </w:rPr>
            </w:pPr>
            <w:r>
              <w:rPr>
                <w:b w:val="0"/>
                <w:bCs w:val="0"/>
                <w:color w:val="auto"/>
                <w:szCs w:val="21"/>
              </w:rPr>
              <w:t>倍频带中心频率Hz</w:t>
            </w:r>
          </w:p>
        </w:tc>
      </w:tr>
      <w:tr w14:paraId="73999C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continue"/>
            <w:tcBorders>
              <w:tl2br w:val="nil"/>
              <w:tr2bl w:val="nil"/>
            </w:tcBorders>
            <w:shd w:val="clear" w:color="auto" w:fill="auto"/>
            <w:vAlign w:val="center"/>
          </w:tcPr>
          <w:p w14:paraId="70C9B380">
            <w:pPr>
              <w:pStyle w:val="154"/>
              <w:spacing w:line="240" w:lineRule="auto"/>
              <w:ind w:firstLine="0" w:firstLineChars="0"/>
              <w:jc w:val="center"/>
              <w:rPr>
                <w:b w:val="0"/>
                <w:bCs w:val="0"/>
                <w:color w:val="auto"/>
                <w:szCs w:val="21"/>
              </w:rPr>
            </w:pPr>
          </w:p>
        </w:tc>
        <w:tc>
          <w:tcPr>
            <w:tcW w:w="661" w:type="pct"/>
            <w:vMerge w:val="continue"/>
            <w:tcBorders>
              <w:tl2br w:val="nil"/>
              <w:tr2bl w:val="nil"/>
            </w:tcBorders>
            <w:shd w:val="clear" w:color="auto" w:fill="auto"/>
            <w:vAlign w:val="center"/>
          </w:tcPr>
          <w:p w14:paraId="04F818EF">
            <w:pPr>
              <w:pStyle w:val="154"/>
              <w:spacing w:line="240" w:lineRule="auto"/>
              <w:ind w:firstLine="0" w:firstLineChars="0"/>
              <w:jc w:val="center"/>
              <w:rPr>
                <w:b w:val="0"/>
                <w:bCs w:val="0"/>
                <w:color w:val="auto"/>
                <w:szCs w:val="21"/>
              </w:rPr>
            </w:pPr>
          </w:p>
        </w:tc>
        <w:tc>
          <w:tcPr>
            <w:tcW w:w="448" w:type="pct"/>
            <w:tcBorders>
              <w:tl2br w:val="nil"/>
              <w:tr2bl w:val="nil"/>
            </w:tcBorders>
            <w:shd w:val="clear" w:color="auto" w:fill="auto"/>
            <w:vAlign w:val="center"/>
          </w:tcPr>
          <w:p w14:paraId="3CE13DCD">
            <w:pPr>
              <w:pStyle w:val="154"/>
              <w:spacing w:line="240" w:lineRule="auto"/>
              <w:ind w:firstLine="0" w:firstLineChars="0"/>
              <w:jc w:val="center"/>
              <w:rPr>
                <w:b w:val="0"/>
                <w:bCs w:val="0"/>
                <w:color w:val="auto"/>
                <w:szCs w:val="21"/>
              </w:rPr>
            </w:pPr>
            <w:r>
              <w:rPr>
                <w:b w:val="0"/>
                <w:bCs w:val="0"/>
                <w:color w:val="auto"/>
                <w:szCs w:val="21"/>
              </w:rPr>
              <w:t>63</w:t>
            </w:r>
          </w:p>
        </w:tc>
        <w:tc>
          <w:tcPr>
            <w:tcW w:w="471" w:type="pct"/>
            <w:tcBorders>
              <w:tl2br w:val="nil"/>
              <w:tr2bl w:val="nil"/>
            </w:tcBorders>
            <w:shd w:val="clear" w:color="auto" w:fill="auto"/>
            <w:vAlign w:val="center"/>
          </w:tcPr>
          <w:p w14:paraId="280CA50F">
            <w:pPr>
              <w:pStyle w:val="154"/>
              <w:spacing w:line="240" w:lineRule="auto"/>
              <w:ind w:firstLine="0" w:firstLineChars="0"/>
              <w:jc w:val="center"/>
              <w:rPr>
                <w:b w:val="0"/>
                <w:bCs w:val="0"/>
                <w:color w:val="auto"/>
                <w:szCs w:val="21"/>
              </w:rPr>
            </w:pPr>
            <w:r>
              <w:rPr>
                <w:b w:val="0"/>
                <w:bCs w:val="0"/>
                <w:color w:val="auto"/>
                <w:szCs w:val="21"/>
              </w:rPr>
              <w:t>125</w:t>
            </w:r>
          </w:p>
        </w:tc>
        <w:tc>
          <w:tcPr>
            <w:tcW w:w="471" w:type="pct"/>
            <w:tcBorders>
              <w:tl2br w:val="nil"/>
              <w:tr2bl w:val="nil"/>
            </w:tcBorders>
            <w:shd w:val="clear" w:color="auto" w:fill="auto"/>
            <w:vAlign w:val="center"/>
          </w:tcPr>
          <w:p w14:paraId="08250426">
            <w:pPr>
              <w:pStyle w:val="154"/>
              <w:spacing w:line="240" w:lineRule="auto"/>
              <w:ind w:firstLine="0" w:firstLineChars="0"/>
              <w:jc w:val="center"/>
              <w:rPr>
                <w:b w:val="0"/>
                <w:bCs w:val="0"/>
                <w:color w:val="auto"/>
                <w:szCs w:val="21"/>
              </w:rPr>
            </w:pPr>
            <w:r>
              <w:rPr>
                <w:b w:val="0"/>
                <w:bCs w:val="0"/>
                <w:color w:val="auto"/>
                <w:szCs w:val="21"/>
              </w:rPr>
              <w:t>250</w:t>
            </w:r>
          </w:p>
        </w:tc>
        <w:tc>
          <w:tcPr>
            <w:tcW w:w="471" w:type="pct"/>
            <w:tcBorders>
              <w:tl2br w:val="nil"/>
              <w:tr2bl w:val="nil"/>
            </w:tcBorders>
            <w:shd w:val="clear" w:color="auto" w:fill="auto"/>
            <w:vAlign w:val="center"/>
          </w:tcPr>
          <w:p w14:paraId="0F1CD52A">
            <w:pPr>
              <w:pStyle w:val="154"/>
              <w:spacing w:line="240" w:lineRule="auto"/>
              <w:ind w:firstLine="0" w:firstLineChars="0"/>
              <w:jc w:val="center"/>
              <w:rPr>
                <w:b w:val="0"/>
                <w:bCs w:val="0"/>
                <w:color w:val="auto"/>
                <w:szCs w:val="21"/>
              </w:rPr>
            </w:pPr>
            <w:r>
              <w:rPr>
                <w:b w:val="0"/>
                <w:bCs w:val="0"/>
                <w:color w:val="auto"/>
                <w:szCs w:val="21"/>
              </w:rPr>
              <w:t>500</w:t>
            </w:r>
          </w:p>
        </w:tc>
        <w:tc>
          <w:tcPr>
            <w:tcW w:w="501" w:type="pct"/>
            <w:tcBorders>
              <w:tl2br w:val="nil"/>
              <w:tr2bl w:val="nil"/>
            </w:tcBorders>
            <w:shd w:val="clear" w:color="auto" w:fill="auto"/>
            <w:vAlign w:val="center"/>
          </w:tcPr>
          <w:p w14:paraId="602A57F0">
            <w:pPr>
              <w:pStyle w:val="154"/>
              <w:spacing w:line="240" w:lineRule="auto"/>
              <w:ind w:firstLine="0" w:firstLineChars="0"/>
              <w:jc w:val="center"/>
              <w:rPr>
                <w:b w:val="0"/>
                <w:bCs w:val="0"/>
                <w:color w:val="auto"/>
                <w:szCs w:val="21"/>
              </w:rPr>
            </w:pPr>
            <w:r>
              <w:rPr>
                <w:b w:val="0"/>
                <w:bCs w:val="0"/>
                <w:color w:val="auto"/>
                <w:szCs w:val="21"/>
              </w:rPr>
              <w:t>1000</w:t>
            </w:r>
          </w:p>
        </w:tc>
        <w:tc>
          <w:tcPr>
            <w:tcW w:w="501" w:type="pct"/>
            <w:tcBorders>
              <w:tl2br w:val="nil"/>
              <w:tr2bl w:val="nil"/>
            </w:tcBorders>
            <w:shd w:val="clear" w:color="auto" w:fill="auto"/>
            <w:vAlign w:val="center"/>
          </w:tcPr>
          <w:p w14:paraId="537C8E6B">
            <w:pPr>
              <w:pStyle w:val="154"/>
              <w:spacing w:line="240" w:lineRule="auto"/>
              <w:ind w:firstLine="0" w:firstLineChars="0"/>
              <w:jc w:val="center"/>
              <w:rPr>
                <w:b w:val="0"/>
                <w:bCs w:val="0"/>
                <w:color w:val="auto"/>
                <w:szCs w:val="21"/>
              </w:rPr>
            </w:pPr>
            <w:r>
              <w:rPr>
                <w:b w:val="0"/>
                <w:bCs w:val="0"/>
                <w:color w:val="auto"/>
                <w:szCs w:val="21"/>
              </w:rPr>
              <w:t>2000</w:t>
            </w:r>
          </w:p>
        </w:tc>
        <w:tc>
          <w:tcPr>
            <w:tcW w:w="501" w:type="pct"/>
            <w:tcBorders>
              <w:tl2br w:val="nil"/>
              <w:tr2bl w:val="nil"/>
            </w:tcBorders>
            <w:shd w:val="clear" w:color="auto" w:fill="auto"/>
            <w:vAlign w:val="center"/>
          </w:tcPr>
          <w:p w14:paraId="6C707EDA">
            <w:pPr>
              <w:pStyle w:val="154"/>
              <w:spacing w:line="240" w:lineRule="auto"/>
              <w:ind w:firstLine="0" w:firstLineChars="0"/>
              <w:jc w:val="center"/>
              <w:rPr>
                <w:b w:val="0"/>
                <w:bCs w:val="0"/>
                <w:color w:val="auto"/>
                <w:szCs w:val="21"/>
              </w:rPr>
            </w:pPr>
            <w:r>
              <w:rPr>
                <w:b w:val="0"/>
                <w:bCs w:val="0"/>
                <w:color w:val="auto"/>
                <w:szCs w:val="21"/>
              </w:rPr>
              <w:t>4000</w:t>
            </w:r>
          </w:p>
        </w:tc>
        <w:tc>
          <w:tcPr>
            <w:tcW w:w="469" w:type="pct"/>
            <w:tcBorders>
              <w:tl2br w:val="nil"/>
              <w:tr2bl w:val="nil"/>
            </w:tcBorders>
            <w:shd w:val="clear" w:color="auto" w:fill="auto"/>
            <w:vAlign w:val="center"/>
          </w:tcPr>
          <w:p w14:paraId="32BF652F">
            <w:pPr>
              <w:pStyle w:val="154"/>
              <w:spacing w:line="240" w:lineRule="auto"/>
              <w:ind w:firstLine="0" w:firstLineChars="0"/>
              <w:jc w:val="center"/>
              <w:rPr>
                <w:b w:val="0"/>
                <w:bCs w:val="0"/>
                <w:color w:val="auto"/>
                <w:szCs w:val="21"/>
              </w:rPr>
            </w:pPr>
            <w:r>
              <w:rPr>
                <w:b w:val="0"/>
                <w:bCs w:val="0"/>
                <w:color w:val="auto"/>
                <w:szCs w:val="21"/>
              </w:rPr>
              <w:t>8000</w:t>
            </w:r>
          </w:p>
        </w:tc>
      </w:tr>
      <w:tr w14:paraId="217B0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672177C8">
            <w:pPr>
              <w:pStyle w:val="154"/>
              <w:spacing w:line="240" w:lineRule="auto"/>
              <w:ind w:firstLine="0" w:firstLineChars="0"/>
              <w:jc w:val="center"/>
              <w:rPr>
                <w:b w:val="0"/>
                <w:bCs w:val="0"/>
                <w:color w:val="auto"/>
                <w:szCs w:val="21"/>
              </w:rPr>
            </w:pPr>
            <w:r>
              <w:rPr>
                <w:b w:val="0"/>
                <w:bCs w:val="0"/>
                <w:color w:val="auto"/>
                <w:szCs w:val="21"/>
              </w:rPr>
              <w:t>10</w:t>
            </w:r>
          </w:p>
        </w:tc>
        <w:tc>
          <w:tcPr>
            <w:tcW w:w="661" w:type="pct"/>
            <w:tcBorders>
              <w:tl2br w:val="nil"/>
              <w:tr2bl w:val="nil"/>
            </w:tcBorders>
            <w:shd w:val="clear" w:color="auto" w:fill="auto"/>
            <w:vAlign w:val="center"/>
          </w:tcPr>
          <w:p w14:paraId="09FD11B2">
            <w:pPr>
              <w:pStyle w:val="154"/>
              <w:spacing w:line="240" w:lineRule="auto"/>
              <w:ind w:firstLine="0" w:firstLineChars="0"/>
              <w:jc w:val="center"/>
              <w:rPr>
                <w:b w:val="0"/>
                <w:bCs w:val="0"/>
                <w:color w:val="auto"/>
                <w:szCs w:val="21"/>
              </w:rPr>
            </w:pPr>
            <w:r>
              <w:rPr>
                <w:b w:val="0"/>
                <w:bCs w:val="0"/>
                <w:color w:val="auto"/>
                <w:szCs w:val="21"/>
              </w:rPr>
              <w:t>70</w:t>
            </w:r>
          </w:p>
        </w:tc>
        <w:tc>
          <w:tcPr>
            <w:tcW w:w="448" w:type="pct"/>
            <w:tcBorders>
              <w:tl2br w:val="nil"/>
              <w:tr2bl w:val="nil"/>
            </w:tcBorders>
            <w:shd w:val="clear" w:color="auto" w:fill="auto"/>
            <w:vAlign w:val="center"/>
          </w:tcPr>
          <w:p w14:paraId="4C9C8B91">
            <w:pPr>
              <w:pStyle w:val="154"/>
              <w:spacing w:line="240" w:lineRule="auto"/>
              <w:ind w:firstLine="0" w:firstLineChars="0"/>
              <w:jc w:val="center"/>
              <w:rPr>
                <w:b w:val="0"/>
                <w:bCs w:val="0"/>
                <w:color w:val="auto"/>
                <w:szCs w:val="21"/>
              </w:rPr>
            </w:pPr>
            <w:r>
              <w:rPr>
                <w:b w:val="0"/>
                <w:bCs w:val="0"/>
                <w:color w:val="auto"/>
                <w:szCs w:val="21"/>
              </w:rPr>
              <w:t>0.1</w:t>
            </w:r>
          </w:p>
        </w:tc>
        <w:tc>
          <w:tcPr>
            <w:tcW w:w="471" w:type="pct"/>
            <w:tcBorders>
              <w:tl2br w:val="nil"/>
              <w:tr2bl w:val="nil"/>
            </w:tcBorders>
            <w:shd w:val="clear" w:color="auto" w:fill="auto"/>
            <w:vAlign w:val="center"/>
          </w:tcPr>
          <w:p w14:paraId="2CA31278">
            <w:pPr>
              <w:pStyle w:val="154"/>
              <w:spacing w:line="240" w:lineRule="auto"/>
              <w:ind w:firstLine="0" w:firstLineChars="0"/>
              <w:jc w:val="center"/>
              <w:rPr>
                <w:b w:val="0"/>
                <w:bCs w:val="0"/>
                <w:color w:val="auto"/>
                <w:szCs w:val="21"/>
              </w:rPr>
            </w:pPr>
            <w:r>
              <w:rPr>
                <w:b w:val="0"/>
                <w:bCs w:val="0"/>
                <w:color w:val="auto"/>
                <w:szCs w:val="21"/>
              </w:rPr>
              <w:t>0.4</w:t>
            </w:r>
          </w:p>
        </w:tc>
        <w:tc>
          <w:tcPr>
            <w:tcW w:w="471" w:type="pct"/>
            <w:tcBorders>
              <w:tl2br w:val="nil"/>
              <w:tr2bl w:val="nil"/>
            </w:tcBorders>
            <w:shd w:val="clear" w:color="auto" w:fill="auto"/>
            <w:vAlign w:val="center"/>
          </w:tcPr>
          <w:p w14:paraId="07084270">
            <w:pPr>
              <w:pStyle w:val="154"/>
              <w:spacing w:line="240" w:lineRule="auto"/>
              <w:ind w:firstLine="0" w:firstLineChars="0"/>
              <w:jc w:val="center"/>
              <w:rPr>
                <w:b w:val="0"/>
                <w:bCs w:val="0"/>
                <w:color w:val="auto"/>
                <w:szCs w:val="21"/>
              </w:rPr>
            </w:pPr>
            <w:r>
              <w:rPr>
                <w:b w:val="0"/>
                <w:bCs w:val="0"/>
                <w:color w:val="auto"/>
                <w:szCs w:val="21"/>
              </w:rPr>
              <w:t>1.0</w:t>
            </w:r>
          </w:p>
        </w:tc>
        <w:tc>
          <w:tcPr>
            <w:tcW w:w="471" w:type="pct"/>
            <w:tcBorders>
              <w:tl2br w:val="nil"/>
              <w:tr2bl w:val="nil"/>
            </w:tcBorders>
            <w:shd w:val="clear" w:color="auto" w:fill="auto"/>
            <w:vAlign w:val="center"/>
          </w:tcPr>
          <w:p w14:paraId="62E9890B">
            <w:pPr>
              <w:pStyle w:val="154"/>
              <w:spacing w:line="240" w:lineRule="auto"/>
              <w:ind w:firstLine="0" w:firstLineChars="0"/>
              <w:jc w:val="center"/>
              <w:rPr>
                <w:b w:val="0"/>
                <w:bCs w:val="0"/>
                <w:color w:val="auto"/>
                <w:szCs w:val="21"/>
              </w:rPr>
            </w:pPr>
            <w:r>
              <w:rPr>
                <w:b w:val="0"/>
                <w:bCs w:val="0"/>
                <w:color w:val="auto"/>
                <w:szCs w:val="21"/>
              </w:rPr>
              <w:t>1.9</w:t>
            </w:r>
          </w:p>
        </w:tc>
        <w:tc>
          <w:tcPr>
            <w:tcW w:w="501" w:type="pct"/>
            <w:tcBorders>
              <w:tl2br w:val="nil"/>
              <w:tr2bl w:val="nil"/>
            </w:tcBorders>
            <w:shd w:val="clear" w:color="auto" w:fill="auto"/>
            <w:vAlign w:val="center"/>
          </w:tcPr>
          <w:p w14:paraId="343B5A57">
            <w:pPr>
              <w:pStyle w:val="154"/>
              <w:spacing w:line="240" w:lineRule="auto"/>
              <w:ind w:firstLine="0" w:firstLineChars="0"/>
              <w:jc w:val="center"/>
              <w:rPr>
                <w:b w:val="0"/>
                <w:bCs w:val="0"/>
                <w:color w:val="auto"/>
                <w:szCs w:val="21"/>
              </w:rPr>
            </w:pPr>
            <w:r>
              <w:rPr>
                <w:b w:val="0"/>
                <w:bCs w:val="0"/>
                <w:color w:val="auto"/>
                <w:szCs w:val="21"/>
              </w:rPr>
              <w:t>3.7</w:t>
            </w:r>
          </w:p>
        </w:tc>
        <w:tc>
          <w:tcPr>
            <w:tcW w:w="501" w:type="pct"/>
            <w:tcBorders>
              <w:tl2br w:val="nil"/>
              <w:tr2bl w:val="nil"/>
            </w:tcBorders>
            <w:shd w:val="clear" w:color="auto" w:fill="auto"/>
            <w:vAlign w:val="center"/>
          </w:tcPr>
          <w:p w14:paraId="6405924C">
            <w:pPr>
              <w:pStyle w:val="154"/>
              <w:spacing w:line="240" w:lineRule="auto"/>
              <w:ind w:firstLine="0" w:firstLineChars="0"/>
              <w:jc w:val="center"/>
              <w:rPr>
                <w:b w:val="0"/>
                <w:bCs w:val="0"/>
                <w:color w:val="auto"/>
                <w:szCs w:val="21"/>
              </w:rPr>
            </w:pPr>
            <w:r>
              <w:rPr>
                <w:b w:val="0"/>
                <w:bCs w:val="0"/>
                <w:color w:val="auto"/>
                <w:szCs w:val="21"/>
              </w:rPr>
              <w:t>9.7</w:t>
            </w:r>
          </w:p>
        </w:tc>
        <w:tc>
          <w:tcPr>
            <w:tcW w:w="501" w:type="pct"/>
            <w:tcBorders>
              <w:tl2br w:val="nil"/>
              <w:tr2bl w:val="nil"/>
            </w:tcBorders>
            <w:shd w:val="clear" w:color="auto" w:fill="auto"/>
            <w:vAlign w:val="center"/>
          </w:tcPr>
          <w:p w14:paraId="44CA4D85">
            <w:pPr>
              <w:pStyle w:val="154"/>
              <w:spacing w:line="240" w:lineRule="auto"/>
              <w:ind w:firstLine="0" w:firstLineChars="0"/>
              <w:jc w:val="center"/>
              <w:rPr>
                <w:b w:val="0"/>
                <w:bCs w:val="0"/>
                <w:color w:val="auto"/>
                <w:szCs w:val="21"/>
              </w:rPr>
            </w:pPr>
            <w:r>
              <w:rPr>
                <w:b w:val="0"/>
                <w:bCs w:val="0"/>
                <w:color w:val="auto"/>
                <w:szCs w:val="21"/>
              </w:rPr>
              <w:t>32.8</w:t>
            </w:r>
          </w:p>
        </w:tc>
        <w:tc>
          <w:tcPr>
            <w:tcW w:w="469" w:type="pct"/>
            <w:tcBorders>
              <w:tl2br w:val="nil"/>
              <w:tr2bl w:val="nil"/>
            </w:tcBorders>
            <w:shd w:val="clear" w:color="auto" w:fill="auto"/>
            <w:vAlign w:val="center"/>
          </w:tcPr>
          <w:p w14:paraId="200CADFA">
            <w:pPr>
              <w:pStyle w:val="154"/>
              <w:spacing w:line="240" w:lineRule="auto"/>
              <w:ind w:firstLine="0" w:firstLineChars="0"/>
              <w:jc w:val="center"/>
              <w:rPr>
                <w:b w:val="0"/>
                <w:bCs w:val="0"/>
                <w:color w:val="auto"/>
                <w:szCs w:val="21"/>
              </w:rPr>
            </w:pPr>
            <w:r>
              <w:rPr>
                <w:b w:val="0"/>
                <w:bCs w:val="0"/>
                <w:color w:val="auto"/>
                <w:szCs w:val="21"/>
              </w:rPr>
              <w:t>117.0</w:t>
            </w:r>
          </w:p>
        </w:tc>
      </w:tr>
      <w:tr w14:paraId="640B4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08E0D946">
            <w:pPr>
              <w:pStyle w:val="154"/>
              <w:spacing w:line="240" w:lineRule="auto"/>
              <w:ind w:firstLine="0" w:firstLineChars="0"/>
              <w:jc w:val="center"/>
              <w:rPr>
                <w:b w:val="0"/>
                <w:bCs w:val="0"/>
                <w:color w:val="auto"/>
                <w:szCs w:val="21"/>
              </w:rPr>
            </w:pPr>
            <w:r>
              <w:rPr>
                <w:b w:val="0"/>
                <w:bCs w:val="0"/>
                <w:color w:val="auto"/>
                <w:szCs w:val="21"/>
              </w:rPr>
              <w:t>20</w:t>
            </w:r>
          </w:p>
        </w:tc>
        <w:tc>
          <w:tcPr>
            <w:tcW w:w="661" w:type="pct"/>
            <w:tcBorders>
              <w:tl2br w:val="nil"/>
              <w:tr2bl w:val="nil"/>
            </w:tcBorders>
            <w:shd w:val="clear" w:color="auto" w:fill="auto"/>
            <w:vAlign w:val="center"/>
          </w:tcPr>
          <w:p w14:paraId="34FC0D79">
            <w:pPr>
              <w:pStyle w:val="154"/>
              <w:spacing w:line="240" w:lineRule="auto"/>
              <w:ind w:firstLine="0" w:firstLineChars="0"/>
              <w:jc w:val="center"/>
              <w:rPr>
                <w:b w:val="0"/>
                <w:bCs w:val="0"/>
                <w:color w:val="auto"/>
                <w:szCs w:val="21"/>
              </w:rPr>
            </w:pPr>
            <w:r>
              <w:rPr>
                <w:b w:val="0"/>
                <w:bCs w:val="0"/>
                <w:color w:val="auto"/>
                <w:szCs w:val="21"/>
              </w:rPr>
              <w:t>70</w:t>
            </w:r>
          </w:p>
        </w:tc>
        <w:tc>
          <w:tcPr>
            <w:tcW w:w="448" w:type="pct"/>
            <w:tcBorders>
              <w:tl2br w:val="nil"/>
              <w:tr2bl w:val="nil"/>
            </w:tcBorders>
            <w:shd w:val="clear" w:color="auto" w:fill="auto"/>
            <w:vAlign w:val="center"/>
          </w:tcPr>
          <w:p w14:paraId="449DB9E4">
            <w:pPr>
              <w:pStyle w:val="154"/>
              <w:spacing w:line="240" w:lineRule="auto"/>
              <w:ind w:firstLine="0" w:firstLineChars="0"/>
              <w:jc w:val="center"/>
              <w:rPr>
                <w:b w:val="0"/>
                <w:bCs w:val="0"/>
                <w:color w:val="auto"/>
                <w:szCs w:val="21"/>
              </w:rPr>
            </w:pPr>
            <w:r>
              <w:rPr>
                <w:b w:val="0"/>
                <w:bCs w:val="0"/>
                <w:color w:val="auto"/>
                <w:szCs w:val="21"/>
              </w:rPr>
              <w:t>0.1</w:t>
            </w:r>
          </w:p>
        </w:tc>
        <w:tc>
          <w:tcPr>
            <w:tcW w:w="471" w:type="pct"/>
            <w:tcBorders>
              <w:tl2br w:val="nil"/>
              <w:tr2bl w:val="nil"/>
            </w:tcBorders>
            <w:shd w:val="clear" w:color="auto" w:fill="auto"/>
            <w:vAlign w:val="center"/>
          </w:tcPr>
          <w:p w14:paraId="71F13EFC">
            <w:pPr>
              <w:pStyle w:val="154"/>
              <w:spacing w:line="240" w:lineRule="auto"/>
              <w:ind w:firstLine="0" w:firstLineChars="0"/>
              <w:jc w:val="center"/>
              <w:rPr>
                <w:b w:val="0"/>
                <w:bCs w:val="0"/>
                <w:color w:val="auto"/>
                <w:szCs w:val="21"/>
              </w:rPr>
            </w:pPr>
            <w:r>
              <w:rPr>
                <w:b w:val="0"/>
                <w:bCs w:val="0"/>
                <w:color w:val="auto"/>
                <w:szCs w:val="21"/>
              </w:rPr>
              <w:t>0.3</w:t>
            </w:r>
          </w:p>
        </w:tc>
        <w:tc>
          <w:tcPr>
            <w:tcW w:w="471" w:type="pct"/>
            <w:tcBorders>
              <w:tl2br w:val="nil"/>
              <w:tr2bl w:val="nil"/>
            </w:tcBorders>
            <w:shd w:val="clear" w:color="auto" w:fill="auto"/>
            <w:vAlign w:val="center"/>
          </w:tcPr>
          <w:p w14:paraId="4F0A3D9C">
            <w:pPr>
              <w:pStyle w:val="154"/>
              <w:spacing w:line="240" w:lineRule="auto"/>
              <w:ind w:firstLine="0" w:firstLineChars="0"/>
              <w:jc w:val="center"/>
              <w:rPr>
                <w:b w:val="0"/>
                <w:bCs w:val="0"/>
                <w:color w:val="auto"/>
                <w:szCs w:val="21"/>
              </w:rPr>
            </w:pPr>
            <w:r>
              <w:rPr>
                <w:b w:val="0"/>
                <w:bCs w:val="0"/>
                <w:color w:val="auto"/>
                <w:szCs w:val="21"/>
              </w:rPr>
              <w:t>1.1</w:t>
            </w:r>
          </w:p>
        </w:tc>
        <w:tc>
          <w:tcPr>
            <w:tcW w:w="471" w:type="pct"/>
            <w:tcBorders>
              <w:tl2br w:val="nil"/>
              <w:tr2bl w:val="nil"/>
            </w:tcBorders>
            <w:shd w:val="clear" w:color="auto" w:fill="auto"/>
            <w:vAlign w:val="center"/>
          </w:tcPr>
          <w:p w14:paraId="56EA7172">
            <w:pPr>
              <w:pStyle w:val="154"/>
              <w:spacing w:line="240" w:lineRule="auto"/>
              <w:ind w:firstLine="0" w:firstLineChars="0"/>
              <w:jc w:val="center"/>
              <w:rPr>
                <w:b w:val="0"/>
                <w:bCs w:val="0"/>
                <w:color w:val="auto"/>
                <w:szCs w:val="21"/>
              </w:rPr>
            </w:pPr>
            <w:r>
              <w:rPr>
                <w:b w:val="0"/>
                <w:bCs w:val="0"/>
                <w:color w:val="auto"/>
                <w:szCs w:val="21"/>
              </w:rPr>
              <w:t>2.8</w:t>
            </w:r>
          </w:p>
        </w:tc>
        <w:tc>
          <w:tcPr>
            <w:tcW w:w="501" w:type="pct"/>
            <w:tcBorders>
              <w:tl2br w:val="nil"/>
              <w:tr2bl w:val="nil"/>
            </w:tcBorders>
            <w:shd w:val="clear" w:color="auto" w:fill="auto"/>
            <w:vAlign w:val="center"/>
          </w:tcPr>
          <w:p w14:paraId="7B0F1234">
            <w:pPr>
              <w:pStyle w:val="154"/>
              <w:spacing w:line="240" w:lineRule="auto"/>
              <w:ind w:firstLine="0" w:firstLineChars="0"/>
              <w:jc w:val="center"/>
              <w:rPr>
                <w:b w:val="0"/>
                <w:bCs w:val="0"/>
                <w:color w:val="auto"/>
                <w:szCs w:val="21"/>
              </w:rPr>
            </w:pPr>
            <w:r>
              <w:rPr>
                <w:b w:val="0"/>
                <w:bCs w:val="0"/>
                <w:color w:val="auto"/>
                <w:szCs w:val="21"/>
              </w:rPr>
              <w:t>5.0</w:t>
            </w:r>
          </w:p>
        </w:tc>
        <w:tc>
          <w:tcPr>
            <w:tcW w:w="501" w:type="pct"/>
            <w:tcBorders>
              <w:tl2br w:val="nil"/>
              <w:tr2bl w:val="nil"/>
            </w:tcBorders>
            <w:shd w:val="clear" w:color="auto" w:fill="auto"/>
            <w:vAlign w:val="center"/>
          </w:tcPr>
          <w:p w14:paraId="0C3A5565">
            <w:pPr>
              <w:pStyle w:val="154"/>
              <w:spacing w:line="240" w:lineRule="auto"/>
              <w:ind w:firstLine="0" w:firstLineChars="0"/>
              <w:jc w:val="center"/>
              <w:rPr>
                <w:b w:val="0"/>
                <w:bCs w:val="0"/>
                <w:color w:val="auto"/>
                <w:szCs w:val="21"/>
              </w:rPr>
            </w:pPr>
            <w:r>
              <w:rPr>
                <w:b w:val="0"/>
                <w:bCs w:val="0"/>
                <w:color w:val="auto"/>
                <w:szCs w:val="21"/>
              </w:rPr>
              <w:t>9.0</w:t>
            </w:r>
          </w:p>
        </w:tc>
        <w:tc>
          <w:tcPr>
            <w:tcW w:w="501" w:type="pct"/>
            <w:tcBorders>
              <w:tl2br w:val="nil"/>
              <w:tr2bl w:val="nil"/>
            </w:tcBorders>
            <w:shd w:val="clear" w:color="auto" w:fill="auto"/>
            <w:vAlign w:val="center"/>
          </w:tcPr>
          <w:p w14:paraId="34EACAF3">
            <w:pPr>
              <w:pStyle w:val="154"/>
              <w:spacing w:line="240" w:lineRule="auto"/>
              <w:ind w:firstLine="0" w:firstLineChars="0"/>
              <w:jc w:val="center"/>
              <w:rPr>
                <w:b w:val="0"/>
                <w:bCs w:val="0"/>
                <w:color w:val="auto"/>
                <w:szCs w:val="21"/>
              </w:rPr>
            </w:pPr>
            <w:r>
              <w:rPr>
                <w:b w:val="0"/>
                <w:bCs w:val="0"/>
                <w:color w:val="auto"/>
                <w:szCs w:val="21"/>
              </w:rPr>
              <w:t>22.9</w:t>
            </w:r>
          </w:p>
        </w:tc>
        <w:tc>
          <w:tcPr>
            <w:tcW w:w="469" w:type="pct"/>
            <w:tcBorders>
              <w:tl2br w:val="nil"/>
              <w:tr2bl w:val="nil"/>
            </w:tcBorders>
            <w:shd w:val="clear" w:color="auto" w:fill="auto"/>
            <w:vAlign w:val="center"/>
          </w:tcPr>
          <w:p w14:paraId="2E789C27">
            <w:pPr>
              <w:pStyle w:val="154"/>
              <w:spacing w:line="240" w:lineRule="auto"/>
              <w:ind w:firstLine="0" w:firstLineChars="0"/>
              <w:jc w:val="center"/>
              <w:rPr>
                <w:b w:val="0"/>
                <w:bCs w:val="0"/>
                <w:color w:val="auto"/>
                <w:szCs w:val="21"/>
              </w:rPr>
            </w:pPr>
            <w:r>
              <w:rPr>
                <w:b w:val="0"/>
                <w:bCs w:val="0"/>
                <w:color w:val="auto"/>
                <w:szCs w:val="21"/>
              </w:rPr>
              <w:t>76.6</w:t>
            </w:r>
          </w:p>
        </w:tc>
      </w:tr>
      <w:tr w14:paraId="4D67BC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21001CF9">
            <w:pPr>
              <w:pStyle w:val="154"/>
              <w:spacing w:line="240" w:lineRule="auto"/>
              <w:ind w:firstLine="0" w:firstLineChars="0"/>
              <w:jc w:val="center"/>
              <w:rPr>
                <w:b w:val="0"/>
                <w:bCs w:val="0"/>
                <w:color w:val="auto"/>
                <w:szCs w:val="21"/>
              </w:rPr>
            </w:pPr>
            <w:r>
              <w:rPr>
                <w:b w:val="0"/>
                <w:bCs w:val="0"/>
                <w:color w:val="auto"/>
                <w:szCs w:val="21"/>
              </w:rPr>
              <w:t>30</w:t>
            </w:r>
          </w:p>
        </w:tc>
        <w:tc>
          <w:tcPr>
            <w:tcW w:w="661" w:type="pct"/>
            <w:tcBorders>
              <w:tl2br w:val="nil"/>
              <w:tr2bl w:val="nil"/>
            </w:tcBorders>
            <w:shd w:val="clear" w:color="auto" w:fill="auto"/>
            <w:vAlign w:val="center"/>
          </w:tcPr>
          <w:p w14:paraId="1C643F38">
            <w:pPr>
              <w:pStyle w:val="154"/>
              <w:spacing w:line="240" w:lineRule="auto"/>
              <w:ind w:firstLine="0" w:firstLineChars="0"/>
              <w:jc w:val="center"/>
              <w:rPr>
                <w:b w:val="0"/>
                <w:bCs w:val="0"/>
                <w:color w:val="auto"/>
                <w:szCs w:val="21"/>
              </w:rPr>
            </w:pPr>
            <w:r>
              <w:rPr>
                <w:b w:val="0"/>
                <w:bCs w:val="0"/>
                <w:color w:val="auto"/>
                <w:szCs w:val="21"/>
              </w:rPr>
              <w:t>70</w:t>
            </w:r>
          </w:p>
        </w:tc>
        <w:tc>
          <w:tcPr>
            <w:tcW w:w="448" w:type="pct"/>
            <w:tcBorders>
              <w:tl2br w:val="nil"/>
              <w:tr2bl w:val="nil"/>
            </w:tcBorders>
            <w:shd w:val="clear" w:color="auto" w:fill="auto"/>
            <w:vAlign w:val="center"/>
          </w:tcPr>
          <w:p w14:paraId="4CDA1B1D">
            <w:pPr>
              <w:pStyle w:val="154"/>
              <w:spacing w:line="240" w:lineRule="auto"/>
              <w:ind w:firstLine="0" w:firstLineChars="0"/>
              <w:jc w:val="center"/>
              <w:rPr>
                <w:b w:val="0"/>
                <w:bCs w:val="0"/>
                <w:color w:val="auto"/>
                <w:szCs w:val="21"/>
              </w:rPr>
            </w:pPr>
            <w:r>
              <w:rPr>
                <w:b w:val="0"/>
                <w:bCs w:val="0"/>
                <w:color w:val="auto"/>
                <w:szCs w:val="21"/>
              </w:rPr>
              <w:t>0.1</w:t>
            </w:r>
          </w:p>
        </w:tc>
        <w:tc>
          <w:tcPr>
            <w:tcW w:w="471" w:type="pct"/>
            <w:tcBorders>
              <w:tl2br w:val="nil"/>
              <w:tr2bl w:val="nil"/>
            </w:tcBorders>
            <w:shd w:val="clear" w:color="auto" w:fill="auto"/>
            <w:vAlign w:val="center"/>
          </w:tcPr>
          <w:p w14:paraId="664F0438">
            <w:pPr>
              <w:pStyle w:val="154"/>
              <w:spacing w:line="240" w:lineRule="auto"/>
              <w:ind w:firstLine="0" w:firstLineChars="0"/>
              <w:jc w:val="center"/>
              <w:rPr>
                <w:b w:val="0"/>
                <w:bCs w:val="0"/>
                <w:color w:val="auto"/>
                <w:szCs w:val="21"/>
              </w:rPr>
            </w:pPr>
            <w:r>
              <w:rPr>
                <w:b w:val="0"/>
                <w:bCs w:val="0"/>
                <w:color w:val="auto"/>
                <w:szCs w:val="21"/>
              </w:rPr>
              <w:t>0.3</w:t>
            </w:r>
          </w:p>
        </w:tc>
        <w:tc>
          <w:tcPr>
            <w:tcW w:w="471" w:type="pct"/>
            <w:tcBorders>
              <w:tl2br w:val="nil"/>
              <w:tr2bl w:val="nil"/>
            </w:tcBorders>
            <w:shd w:val="clear" w:color="auto" w:fill="auto"/>
            <w:vAlign w:val="center"/>
          </w:tcPr>
          <w:p w14:paraId="0061CCA3">
            <w:pPr>
              <w:pStyle w:val="154"/>
              <w:spacing w:line="240" w:lineRule="auto"/>
              <w:ind w:firstLine="0" w:firstLineChars="0"/>
              <w:jc w:val="center"/>
              <w:rPr>
                <w:b w:val="0"/>
                <w:bCs w:val="0"/>
                <w:color w:val="auto"/>
                <w:szCs w:val="21"/>
              </w:rPr>
            </w:pPr>
            <w:r>
              <w:rPr>
                <w:b w:val="0"/>
                <w:bCs w:val="0"/>
                <w:color w:val="auto"/>
                <w:szCs w:val="21"/>
              </w:rPr>
              <w:t>1.0</w:t>
            </w:r>
          </w:p>
        </w:tc>
        <w:tc>
          <w:tcPr>
            <w:tcW w:w="471" w:type="pct"/>
            <w:tcBorders>
              <w:tl2br w:val="nil"/>
              <w:tr2bl w:val="nil"/>
            </w:tcBorders>
            <w:shd w:val="clear" w:color="auto" w:fill="auto"/>
            <w:vAlign w:val="center"/>
          </w:tcPr>
          <w:p w14:paraId="42F43918">
            <w:pPr>
              <w:pStyle w:val="154"/>
              <w:spacing w:line="240" w:lineRule="auto"/>
              <w:ind w:firstLine="0" w:firstLineChars="0"/>
              <w:jc w:val="center"/>
              <w:rPr>
                <w:b w:val="0"/>
                <w:bCs w:val="0"/>
                <w:color w:val="auto"/>
                <w:szCs w:val="21"/>
              </w:rPr>
            </w:pPr>
            <w:r>
              <w:rPr>
                <w:b w:val="0"/>
                <w:bCs w:val="0"/>
                <w:color w:val="auto"/>
                <w:szCs w:val="21"/>
              </w:rPr>
              <w:t>3.1</w:t>
            </w:r>
          </w:p>
        </w:tc>
        <w:tc>
          <w:tcPr>
            <w:tcW w:w="501" w:type="pct"/>
            <w:tcBorders>
              <w:tl2br w:val="nil"/>
              <w:tr2bl w:val="nil"/>
            </w:tcBorders>
            <w:shd w:val="clear" w:color="auto" w:fill="auto"/>
            <w:vAlign w:val="center"/>
          </w:tcPr>
          <w:p w14:paraId="2E3F2A2F">
            <w:pPr>
              <w:pStyle w:val="154"/>
              <w:spacing w:line="240" w:lineRule="auto"/>
              <w:ind w:firstLine="0" w:firstLineChars="0"/>
              <w:jc w:val="center"/>
              <w:rPr>
                <w:b w:val="0"/>
                <w:bCs w:val="0"/>
                <w:color w:val="auto"/>
                <w:szCs w:val="21"/>
              </w:rPr>
            </w:pPr>
            <w:r>
              <w:rPr>
                <w:b w:val="0"/>
                <w:bCs w:val="0"/>
                <w:color w:val="auto"/>
                <w:szCs w:val="21"/>
              </w:rPr>
              <w:t>7.4</w:t>
            </w:r>
          </w:p>
        </w:tc>
        <w:tc>
          <w:tcPr>
            <w:tcW w:w="501" w:type="pct"/>
            <w:tcBorders>
              <w:tl2br w:val="nil"/>
              <w:tr2bl w:val="nil"/>
            </w:tcBorders>
            <w:shd w:val="clear" w:color="auto" w:fill="auto"/>
            <w:vAlign w:val="center"/>
          </w:tcPr>
          <w:p w14:paraId="4842147B">
            <w:pPr>
              <w:pStyle w:val="154"/>
              <w:spacing w:line="240" w:lineRule="auto"/>
              <w:ind w:firstLine="0" w:firstLineChars="0"/>
              <w:jc w:val="center"/>
              <w:rPr>
                <w:b w:val="0"/>
                <w:bCs w:val="0"/>
                <w:color w:val="auto"/>
                <w:szCs w:val="21"/>
              </w:rPr>
            </w:pPr>
            <w:r>
              <w:rPr>
                <w:b w:val="0"/>
                <w:bCs w:val="0"/>
                <w:color w:val="auto"/>
                <w:szCs w:val="21"/>
              </w:rPr>
              <w:t>12.7</w:t>
            </w:r>
          </w:p>
        </w:tc>
        <w:tc>
          <w:tcPr>
            <w:tcW w:w="501" w:type="pct"/>
            <w:tcBorders>
              <w:tl2br w:val="nil"/>
              <w:tr2bl w:val="nil"/>
            </w:tcBorders>
            <w:shd w:val="clear" w:color="auto" w:fill="auto"/>
            <w:vAlign w:val="center"/>
          </w:tcPr>
          <w:p w14:paraId="2A18907F">
            <w:pPr>
              <w:pStyle w:val="154"/>
              <w:spacing w:line="240" w:lineRule="auto"/>
              <w:ind w:firstLine="0" w:firstLineChars="0"/>
              <w:jc w:val="center"/>
              <w:rPr>
                <w:b w:val="0"/>
                <w:bCs w:val="0"/>
                <w:color w:val="auto"/>
                <w:szCs w:val="21"/>
              </w:rPr>
            </w:pPr>
            <w:r>
              <w:rPr>
                <w:b w:val="0"/>
                <w:bCs w:val="0"/>
                <w:color w:val="auto"/>
                <w:szCs w:val="21"/>
              </w:rPr>
              <w:t>23.1</w:t>
            </w:r>
          </w:p>
        </w:tc>
        <w:tc>
          <w:tcPr>
            <w:tcW w:w="469" w:type="pct"/>
            <w:tcBorders>
              <w:tl2br w:val="nil"/>
              <w:tr2bl w:val="nil"/>
            </w:tcBorders>
            <w:shd w:val="clear" w:color="auto" w:fill="auto"/>
            <w:vAlign w:val="center"/>
          </w:tcPr>
          <w:p w14:paraId="0B6C1B80">
            <w:pPr>
              <w:pStyle w:val="154"/>
              <w:spacing w:line="240" w:lineRule="auto"/>
              <w:ind w:firstLine="0" w:firstLineChars="0"/>
              <w:jc w:val="center"/>
              <w:rPr>
                <w:b w:val="0"/>
                <w:bCs w:val="0"/>
                <w:color w:val="auto"/>
                <w:szCs w:val="21"/>
              </w:rPr>
            </w:pPr>
            <w:r>
              <w:rPr>
                <w:b w:val="0"/>
                <w:bCs w:val="0"/>
                <w:color w:val="auto"/>
                <w:szCs w:val="21"/>
              </w:rPr>
              <w:t>59.3</w:t>
            </w:r>
          </w:p>
        </w:tc>
      </w:tr>
      <w:tr w14:paraId="219D3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1FAF44F7">
            <w:pPr>
              <w:pStyle w:val="154"/>
              <w:spacing w:line="240" w:lineRule="auto"/>
              <w:ind w:firstLine="0" w:firstLineChars="0"/>
              <w:jc w:val="center"/>
              <w:rPr>
                <w:b w:val="0"/>
                <w:bCs w:val="0"/>
                <w:color w:val="auto"/>
                <w:szCs w:val="21"/>
              </w:rPr>
            </w:pPr>
            <w:r>
              <w:rPr>
                <w:b w:val="0"/>
                <w:bCs w:val="0"/>
                <w:color w:val="auto"/>
                <w:szCs w:val="21"/>
              </w:rPr>
              <w:t>15</w:t>
            </w:r>
          </w:p>
        </w:tc>
        <w:tc>
          <w:tcPr>
            <w:tcW w:w="661" w:type="pct"/>
            <w:tcBorders>
              <w:tl2br w:val="nil"/>
              <w:tr2bl w:val="nil"/>
            </w:tcBorders>
            <w:shd w:val="clear" w:color="auto" w:fill="auto"/>
            <w:vAlign w:val="center"/>
          </w:tcPr>
          <w:p w14:paraId="21F588A8">
            <w:pPr>
              <w:pStyle w:val="154"/>
              <w:spacing w:line="240" w:lineRule="auto"/>
              <w:ind w:firstLine="0" w:firstLineChars="0"/>
              <w:jc w:val="center"/>
              <w:rPr>
                <w:b w:val="0"/>
                <w:bCs w:val="0"/>
                <w:color w:val="auto"/>
                <w:szCs w:val="21"/>
              </w:rPr>
            </w:pPr>
            <w:r>
              <w:rPr>
                <w:b w:val="0"/>
                <w:bCs w:val="0"/>
                <w:color w:val="auto"/>
                <w:szCs w:val="21"/>
              </w:rPr>
              <w:t>20</w:t>
            </w:r>
          </w:p>
        </w:tc>
        <w:tc>
          <w:tcPr>
            <w:tcW w:w="448" w:type="pct"/>
            <w:tcBorders>
              <w:tl2br w:val="nil"/>
              <w:tr2bl w:val="nil"/>
            </w:tcBorders>
            <w:shd w:val="clear" w:color="auto" w:fill="auto"/>
            <w:vAlign w:val="center"/>
          </w:tcPr>
          <w:p w14:paraId="63884F19">
            <w:pPr>
              <w:pStyle w:val="154"/>
              <w:spacing w:line="240" w:lineRule="auto"/>
              <w:ind w:firstLine="0" w:firstLineChars="0"/>
              <w:jc w:val="center"/>
              <w:rPr>
                <w:b w:val="0"/>
                <w:bCs w:val="0"/>
                <w:color w:val="auto"/>
                <w:szCs w:val="21"/>
              </w:rPr>
            </w:pPr>
            <w:r>
              <w:rPr>
                <w:b w:val="0"/>
                <w:bCs w:val="0"/>
                <w:color w:val="auto"/>
                <w:szCs w:val="21"/>
              </w:rPr>
              <w:t>0.3</w:t>
            </w:r>
          </w:p>
        </w:tc>
        <w:tc>
          <w:tcPr>
            <w:tcW w:w="471" w:type="pct"/>
            <w:tcBorders>
              <w:tl2br w:val="nil"/>
              <w:tr2bl w:val="nil"/>
            </w:tcBorders>
            <w:shd w:val="clear" w:color="auto" w:fill="auto"/>
            <w:vAlign w:val="center"/>
          </w:tcPr>
          <w:p w14:paraId="7F4F6984">
            <w:pPr>
              <w:pStyle w:val="154"/>
              <w:spacing w:line="240" w:lineRule="auto"/>
              <w:ind w:firstLine="0" w:firstLineChars="0"/>
              <w:jc w:val="center"/>
              <w:rPr>
                <w:b w:val="0"/>
                <w:bCs w:val="0"/>
                <w:color w:val="auto"/>
                <w:szCs w:val="21"/>
              </w:rPr>
            </w:pPr>
            <w:r>
              <w:rPr>
                <w:b w:val="0"/>
                <w:bCs w:val="0"/>
                <w:color w:val="auto"/>
                <w:szCs w:val="21"/>
              </w:rPr>
              <w:t>0.6</w:t>
            </w:r>
          </w:p>
        </w:tc>
        <w:tc>
          <w:tcPr>
            <w:tcW w:w="471" w:type="pct"/>
            <w:tcBorders>
              <w:tl2br w:val="nil"/>
              <w:tr2bl w:val="nil"/>
            </w:tcBorders>
            <w:shd w:val="clear" w:color="auto" w:fill="auto"/>
            <w:vAlign w:val="center"/>
          </w:tcPr>
          <w:p w14:paraId="248FDB53">
            <w:pPr>
              <w:pStyle w:val="154"/>
              <w:spacing w:line="240" w:lineRule="auto"/>
              <w:ind w:firstLine="0" w:firstLineChars="0"/>
              <w:jc w:val="center"/>
              <w:rPr>
                <w:b w:val="0"/>
                <w:bCs w:val="0"/>
                <w:color w:val="auto"/>
                <w:szCs w:val="21"/>
              </w:rPr>
            </w:pPr>
            <w:r>
              <w:rPr>
                <w:b w:val="0"/>
                <w:bCs w:val="0"/>
                <w:color w:val="auto"/>
                <w:szCs w:val="21"/>
              </w:rPr>
              <w:t>1.2</w:t>
            </w:r>
          </w:p>
        </w:tc>
        <w:tc>
          <w:tcPr>
            <w:tcW w:w="471" w:type="pct"/>
            <w:tcBorders>
              <w:tl2br w:val="nil"/>
              <w:tr2bl w:val="nil"/>
            </w:tcBorders>
            <w:shd w:val="clear" w:color="auto" w:fill="auto"/>
            <w:vAlign w:val="center"/>
          </w:tcPr>
          <w:p w14:paraId="3DDDC80F">
            <w:pPr>
              <w:pStyle w:val="154"/>
              <w:spacing w:line="240" w:lineRule="auto"/>
              <w:ind w:firstLine="0" w:firstLineChars="0"/>
              <w:jc w:val="center"/>
              <w:rPr>
                <w:b w:val="0"/>
                <w:bCs w:val="0"/>
                <w:color w:val="auto"/>
                <w:szCs w:val="21"/>
              </w:rPr>
            </w:pPr>
            <w:r>
              <w:rPr>
                <w:b w:val="0"/>
                <w:bCs w:val="0"/>
                <w:color w:val="auto"/>
                <w:szCs w:val="21"/>
              </w:rPr>
              <w:t>2.7</w:t>
            </w:r>
          </w:p>
        </w:tc>
        <w:tc>
          <w:tcPr>
            <w:tcW w:w="501" w:type="pct"/>
            <w:tcBorders>
              <w:tl2br w:val="nil"/>
              <w:tr2bl w:val="nil"/>
            </w:tcBorders>
            <w:shd w:val="clear" w:color="auto" w:fill="auto"/>
            <w:vAlign w:val="center"/>
          </w:tcPr>
          <w:p w14:paraId="0050B72D">
            <w:pPr>
              <w:pStyle w:val="154"/>
              <w:spacing w:line="240" w:lineRule="auto"/>
              <w:ind w:firstLine="0" w:firstLineChars="0"/>
              <w:jc w:val="center"/>
              <w:rPr>
                <w:b w:val="0"/>
                <w:bCs w:val="0"/>
                <w:color w:val="auto"/>
                <w:szCs w:val="21"/>
              </w:rPr>
            </w:pPr>
            <w:r>
              <w:rPr>
                <w:b w:val="0"/>
                <w:bCs w:val="0"/>
                <w:color w:val="auto"/>
                <w:szCs w:val="21"/>
              </w:rPr>
              <w:t>8.2</w:t>
            </w:r>
          </w:p>
        </w:tc>
        <w:tc>
          <w:tcPr>
            <w:tcW w:w="501" w:type="pct"/>
            <w:tcBorders>
              <w:tl2br w:val="nil"/>
              <w:tr2bl w:val="nil"/>
            </w:tcBorders>
            <w:shd w:val="clear" w:color="auto" w:fill="auto"/>
            <w:vAlign w:val="center"/>
          </w:tcPr>
          <w:p w14:paraId="338FF704">
            <w:pPr>
              <w:pStyle w:val="154"/>
              <w:spacing w:line="240" w:lineRule="auto"/>
              <w:ind w:firstLine="0" w:firstLineChars="0"/>
              <w:jc w:val="center"/>
              <w:rPr>
                <w:b w:val="0"/>
                <w:bCs w:val="0"/>
                <w:color w:val="auto"/>
                <w:szCs w:val="21"/>
              </w:rPr>
            </w:pPr>
            <w:r>
              <w:rPr>
                <w:b w:val="0"/>
                <w:bCs w:val="0"/>
                <w:color w:val="auto"/>
                <w:szCs w:val="21"/>
              </w:rPr>
              <w:t>28.2</w:t>
            </w:r>
          </w:p>
        </w:tc>
        <w:tc>
          <w:tcPr>
            <w:tcW w:w="501" w:type="pct"/>
            <w:tcBorders>
              <w:tl2br w:val="nil"/>
              <w:tr2bl w:val="nil"/>
            </w:tcBorders>
            <w:shd w:val="clear" w:color="auto" w:fill="auto"/>
            <w:vAlign w:val="center"/>
          </w:tcPr>
          <w:p w14:paraId="35041ABD">
            <w:pPr>
              <w:pStyle w:val="154"/>
              <w:spacing w:line="240" w:lineRule="auto"/>
              <w:ind w:firstLine="0" w:firstLineChars="0"/>
              <w:jc w:val="center"/>
              <w:rPr>
                <w:b w:val="0"/>
                <w:bCs w:val="0"/>
                <w:color w:val="auto"/>
                <w:szCs w:val="21"/>
              </w:rPr>
            </w:pPr>
            <w:r>
              <w:rPr>
                <w:b w:val="0"/>
                <w:bCs w:val="0"/>
                <w:color w:val="auto"/>
                <w:szCs w:val="21"/>
              </w:rPr>
              <w:t>28.8</w:t>
            </w:r>
          </w:p>
        </w:tc>
        <w:tc>
          <w:tcPr>
            <w:tcW w:w="469" w:type="pct"/>
            <w:tcBorders>
              <w:tl2br w:val="nil"/>
              <w:tr2bl w:val="nil"/>
            </w:tcBorders>
            <w:shd w:val="clear" w:color="auto" w:fill="auto"/>
            <w:vAlign w:val="center"/>
          </w:tcPr>
          <w:p w14:paraId="7982950E">
            <w:pPr>
              <w:pStyle w:val="154"/>
              <w:spacing w:line="240" w:lineRule="auto"/>
              <w:ind w:firstLine="0" w:firstLineChars="0"/>
              <w:jc w:val="center"/>
              <w:rPr>
                <w:b w:val="0"/>
                <w:bCs w:val="0"/>
                <w:color w:val="auto"/>
                <w:szCs w:val="21"/>
              </w:rPr>
            </w:pPr>
            <w:r>
              <w:rPr>
                <w:b w:val="0"/>
                <w:bCs w:val="0"/>
                <w:color w:val="auto"/>
                <w:szCs w:val="21"/>
              </w:rPr>
              <w:t>202.0</w:t>
            </w:r>
          </w:p>
        </w:tc>
      </w:tr>
      <w:tr w14:paraId="46C129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273F6127">
            <w:pPr>
              <w:pStyle w:val="154"/>
              <w:spacing w:line="240" w:lineRule="auto"/>
              <w:ind w:firstLine="0" w:firstLineChars="0"/>
              <w:jc w:val="center"/>
              <w:rPr>
                <w:b w:val="0"/>
                <w:bCs w:val="0"/>
                <w:color w:val="auto"/>
                <w:szCs w:val="21"/>
              </w:rPr>
            </w:pPr>
            <w:r>
              <w:rPr>
                <w:b w:val="0"/>
                <w:bCs w:val="0"/>
                <w:color w:val="auto"/>
                <w:szCs w:val="21"/>
              </w:rPr>
              <w:t>15</w:t>
            </w:r>
          </w:p>
        </w:tc>
        <w:tc>
          <w:tcPr>
            <w:tcW w:w="661" w:type="pct"/>
            <w:tcBorders>
              <w:tl2br w:val="nil"/>
              <w:tr2bl w:val="nil"/>
            </w:tcBorders>
            <w:shd w:val="clear" w:color="auto" w:fill="auto"/>
            <w:vAlign w:val="center"/>
          </w:tcPr>
          <w:p w14:paraId="457EDA8D">
            <w:pPr>
              <w:pStyle w:val="154"/>
              <w:spacing w:line="240" w:lineRule="auto"/>
              <w:ind w:firstLine="0" w:firstLineChars="0"/>
              <w:jc w:val="center"/>
              <w:rPr>
                <w:b w:val="0"/>
                <w:bCs w:val="0"/>
                <w:color w:val="auto"/>
                <w:szCs w:val="21"/>
              </w:rPr>
            </w:pPr>
            <w:r>
              <w:rPr>
                <w:b w:val="0"/>
                <w:bCs w:val="0"/>
                <w:color w:val="auto"/>
                <w:szCs w:val="21"/>
              </w:rPr>
              <w:t>50</w:t>
            </w:r>
          </w:p>
        </w:tc>
        <w:tc>
          <w:tcPr>
            <w:tcW w:w="448" w:type="pct"/>
            <w:tcBorders>
              <w:tl2br w:val="nil"/>
              <w:tr2bl w:val="nil"/>
            </w:tcBorders>
            <w:shd w:val="clear" w:color="auto" w:fill="auto"/>
            <w:vAlign w:val="center"/>
          </w:tcPr>
          <w:p w14:paraId="2E9334B5">
            <w:pPr>
              <w:pStyle w:val="154"/>
              <w:spacing w:line="240" w:lineRule="auto"/>
              <w:ind w:firstLine="0" w:firstLineChars="0"/>
              <w:jc w:val="center"/>
              <w:rPr>
                <w:b w:val="0"/>
                <w:bCs w:val="0"/>
                <w:color w:val="auto"/>
                <w:szCs w:val="21"/>
              </w:rPr>
            </w:pPr>
            <w:r>
              <w:rPr>
                <w:b w:val="0"/>
                <w:bCs w:val="0"/>
                <w:color w:val="auto"/>
                <w:szCs w:val="21"/>
              </w:rPr>
              <w:t>0.1</w:t>
            </w:r>
          </w:p>
        </w:tc>
        <w:tc>
          <w:tcPr>
            <w:tcW w:w="471" w:type="pct"/>
            <w:tcBorders>
              <w:tl2br w:val="nil"/>
              <w:tr2bl w:val="nil"/>
            </w:tcBorders>
            <w:shd w:val="clear" w:color="auto" w:fill="auto"/>
            <w:vAlign w:val="center"/>
          </w:tcPr>
          <w:p w14:paraId="6059C34B">
            <w:pPr>
              <w:pStyle w:val="154"/>
              <w:spacing w:line="240" w:lineRule="auto"/>
              <w:ind w:firstLine="0" w:firstLineChars="0"/>
              <w:jc w:val="center"/>
              <w:rPr>
                <w:b w:val="0"/>
                <w:bCs w:val="0"/>
                <w:color w:val="auto"/>
                <w:szCs w:val="21"/>
              </w:rPr>
            </w:pPr>
            <w:r>
              <w:rPr>
                <w:b w:val="0"/>
                <w:bCs w:val="0"/>
                <w:color w:val="auto"/>
                <w:szCs w:val="21"/>
              </w:rPr>
              <w:t>0.5</w:t>
            </w:r>
          </w:p>
        </w:tc>
        <w:tc>
          <w:tcPr>
            <w:tcW w:w="471" w:type="pct"/>
            <w:tcBorders>
              <w:tl2br w:val="nil"/>
              <w:tr2bl w:val="nil"/>
            </w:tcBorders>
            <w:shd w:val="clear" w:color="auto" w:fill="auto"/>
            <w:vAlign w:val="center"/>
          </w:tcPr>
          <w:p w14:paraId="6EA5EF48">
            <w:pPr>
              <w:pStyle w:val="154"/>
              <w:spacing w:line="240" w:lineRule="auto"/>
              <w:ind w:firstLine="0" w:firstLineChars="0"/>
              <w:jc w:val="center"/>
              <w:rPr>
                <w:b w:val="0"/>
                <w:bCs w:val="0"/>
                <w:color w:val="auto"/>
                <w:szCs w:val="21"/>
              </w:rPr>
            </w:pPr>
            <w:r>
              <w:rPr>
                <w:b w:val="0"/>
                <w:bCs w:val="0"/>
                <w:color w:val="auto"/>
                <w:szCs w:val="21"/>
              </w:rPr>
              <w:t>1.2</w:t>
            </w:r>
          </w:p>
        </w:tc>
        <w:tc>
          <w:tcPr>
            <w:tcW w:w="471" w:type="pct"/>
            <w:tcBorders>
              <w:tl2br w:val="nil"/>
              <w:tr2bl w:val="nil"/>
            </w:tcBorders>
            <w:shd w:val="clear" w:color="auto" w:fill="auto"/>
            <w:vAlign w:val="center"/>
          </w:tcPr>
          <w:p w14:paraId="6ED99198">
            <w:pPr>
              <w:pStyle w:val="154"/>
              <w:spacing w:line="240" w:lineRule="auto"/>
              <w:ind w:firstLine="0" w:firstLineChars="0"/>
              <w:jc w:val="center"/>
              <w:rPr>
                <w:b w:val="0"/>
                <w:bCs w:val="0"/>
                <w:color w:val="auto"/>
                <w:szCs w:val="21"/>
              </w:rPr>
            </w:pPr>
            <w:r>
              <w:rPr>
                <w:b w:val="0"/>
                <w:bCs w:val="0"/>
                <w:color w:val="auto"/>
                <w:szCs w:val="21"/>
              </w:rPr>
              <w:t>2.2</w:t>
            </w:r>
          </w:p>
        </w:tc>
        <w:tc>
          <w:tcPr>
            <w:tcW w:w="501" w:type="pct"/>
            <w:tcBorders>
              <w:tl2br w:val="nil"/>
              <w:tr2bl w:val="nil"/>
            </w:tcBorders>
            <w:shd w:val="clear" w:color="auto" w:fill="auto"/>
            <w:vAlign w:val="center"/>
          </w:tcPr>
          <w:p w14:paraId="2BB3588D">
            <w:pPr>
              <w:pStyle w:val="154"/>
              <w:spacing w:line="240" w:lineRule="auto"/>
              <w:ind w:firstLine="0" w:firstLineChars="0"/>
              <w:jc w:val="center"/>
              <w:rPr>
                <w:b w:val="0"/>
                <w:bCs w:val="0"/>
                <w:color w:val="auto"/>
                <w:szCs w:val="21"/>
              </w:rPr>
            </w:pPr>
            <w:r>
              <w:rPr>
                <w:b w:val="0"/>
                <w:bCs w:val="0"/>
                <w:color w:val="auto"/>
                <w:szCs w:val="21"/>
              </w:rPr>
              <w:t>4.2</w:t>
            </w:r>
          </w:p>
        </w:tc>
        <w:tc>
          <w:tcPr>
            <w:tcW w:w="501" w:type="pct"/>
            <w:tcBorders>
              <w:tl2br w:val="nil"/>
              <w:tr2bl w:val="nil"/>
            </w:tcBorders>
            <w:shd w:val="clear" w:color="auto" w:fill="auto"/>
            <w:vAlign w:val="center"/>
          </w:tcPr>
          <w:p w14:paraId="1A58D518">
            <w:pPr>
              <w:pStyle w:val="154"/>
              <w:spacing w:line="240" w:lineRule="auto"/>
              <w:ind w:firstLine="0" w:firstLineChars="0"/>
              <w:jc w:val="center"/>
              <w:rPr>
                <w:b w:val="0"/>
                <w:bCs w:val="0"/>
                <w:color w:val="auto"/>
                <w:szCs w:val="21"/>
              </w:rPr>
            </w:pPr>
            <w:r>
              <w:rPr>
                <w:b w:val="0"/>
                <w:bCs w:val="0"/>
                <w:color w:val="auto"/>
                <w:szCs w:val="21"/>
              </w:rPr>
              <w:t>10.8</w:t>
            </w:r>
          </w:p>
        </w:tc>
        <w:tc>
          <w:tcPr>
            <w:tcW w:w="501" w:type="pct"/>
            <w:tcBorders>
              <w:tl2br w:val="nil"/>
              <w:tr2bl w:val="nil"/>
            </w:tcBorders>
            <w:shd w:val="clear" w:color="auto" w:fill="auto"/>
            <w:vAlign w:val="center"/>
          </w:tcPr>
          <w:p w14:paraId="5CF3B237">
            <w:pPr>
              <w:pStyle w:val="154"/>
              <w:spacing w:line="240" w:lineRule="auto"/>
              <w:ind w:firstLine="0" w:firstLineChars="0"/>
              <w:jc w:val="center"/>
              <w:rPr>
                <w:b w:val="0"/>
                <w:bCs w:val="0"/>
                <w:color w:val="auto"/>
                <w:szCs w:val="21"/>
              </w:rPr>
            </w:pPr>
            <w:r>
              <w:rPr>
                <w:b w:val="0"/>
                <w:bCs w:val="0"/>
                <w:color w:val="auto"/>
                <w:szCs w:val="21"/>
              </w:rPr>
              <w:t>36.2</w:t>
            </w:r>
          </w:p>
        </w:tc>
        <w:tc>
          <w:tcPr>
            <w:tcW w:w="469" w:type="pct"/>
            <w:tcBorders>
              <w:tl2br w:val="nil"/>
              <w:tr2bl w:val="nil"/>
            </w:tcBorders>
            <w:shd w:val="clear" w:color="auto" w:fill="auto"/>
            <w:vAlign w:val="center"/>
          </w:tcPr>
          <w:p w14:paraId="0C08C02D">
            <w:pPr>
              <w:pStyle w:val="154"/>
              <w:spacing w:line="240" w:lineRule="auto"/>
              <w:ind w:firstLine="0" w:firstLineChars="0"/>
              <w:jc w:val="center"/>
              <w:rPr>
                <w:b w:val="0"/>
                <w:bCs w:val="0"/>
                <w:color w:val="auto"/>
                <w:szCs w:val="21"/>
              </w:rPr>
            </w:pPr>
            <w:r>
              <w:rPr>
                <w:b w:val="0"/>
                <w:bCs w:val="0"/>
                <w:color w:val="auto"/>
                <w:szCs w:val="21"/>
              </w:rPr>
              <w:t>129.0</w:t>
            </w:r>
          </w:p>
        </w:tc>
      </w:tr>
      <w:tr w14:paraId="13D08E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7B6DAB29">
            <w:pPr>
              <w:pStyle w:val="154"/>
              <w:spacing w:line="240" w:lineRule="auto"/>
              <w:ind w:firstLine="0" w:firstLineChars="0"/>
              <w:jc w:val="center"/>
              <w:rPr>
                <w:b w:val="0"/>
                <w:bCs w:val="0"/>
                <w:color w:val="auto"/>
                <w:szCs w:val="21"/>
              </w:rPr>
            </w:pPr>
            <w:r>
              <w:rPr>
                <w:b w:val="0"/>
                <w:bCs w:val="0"/>
                <w:color w:val="auto"/>
                <w:szCs w:val="21"/>
              </w:rPr>
              <w:t>15</w:t>
            </w:r>
          </w:p>
        </w:tc>
        <w:tc>
          <w:tcPr>
            <w:tcW w:w="661" w:type="pct"/>
            <w:tcBorders>
              <w:tl2br w:val="nil"/>
              <w:tr2bl w:val="nil"/>
            </w:tcBorders>
            <w:shd w:val="clear" w:color="auto" w:fill="auto"/>
            <w:vAlign w:val="center"/>
          </w:tcPr>
          <w:p w14:paraId="394C303E">
            <w:pPr>
              <w:pStyle w:val="154"/>
              <w:spacing w:line="240" w:lineRule="auto"/>
              <w:ind w:firstLine="0" w:firstLineChars="0"/>
              <w:jc w:val="center"/>
              <w:rPr>
                <w:b w:val="0"/>
                <w:bCs w:val="0"/>
                <w:color w:val="auto"/>
                <w:szCs w:val="21"/>
              </w:rPr>
            </w:pPr>
            <w:r>
              <w:rPr>
                <w:b w:val="0"/>
                <w:bCs w:val="0"/>
                <w:color w:val="auto"/>
                <w:szCs w:val="21"/>
              </w:rPr>
              <w:t>80</w:t>
            </w:r>
          </w:p>
        </w:tc>
        <w:tc>
          <w:tcPr>
            <w:tcW w:w="448" w:type="pct"/>
            <w:tcBorders>
              <w:tl2br w:val="nil"/>
              <w:tr2bl w:val="nil"/>
            </w:tcBorders>
            <w:shd w:val="clear" w:color="auto" w:fill="auto"/>
            <w:vAlign w:val="center"/>
          </w:tcPr>
          <w:p w14:paraId="3AE3872D">
            <w:pPr>
              <w:pStyle w:val="154"/>
              <w:spacing w:line="240" w:lineRule="auto"/>
              <w:ind w:firstLine="0" w:firstLineChars="0"/>
              <w:jc w:val="center"/>
              <w:rPr>
                <w:b w:val="0"/>
                <w:bCs w:val="0"/>
                <w:color w:val="auto"/>
                <w:szCs w:val="21"/>
              </w:rPr>
            </w:pPr>
            <w:r>
              <w:rPr>
                <w:b w:val="0"/>
                <w:bCs w:val="0"/>
                <w:color w:val="auto"/>
                <w:szCs w:val="21"/>
              </w:rPr>
              <w:t>0.1</w:t>
            </w:r>
          </w:p>
        </w:tc>
        <w:tc>
          <w:tcPr>
            <w:tcW w:w="471" w:type="pct"/>
            <w:tcBorders>
              <w:tl2br w:val="nil"/>
              <w:tr2bl w:val="nil"/>
            </w:tcBorders>
            <w:shd w:val="clear" w:color="auto" w:fill="auto"/>
            <w:vAlign w:val="center"/>
          </w:tcPr>
          <w:p w14:paraId="45C59C38">
            <w:pPr>
              <w:pStyle w:val="154"/>
              <w:spacing w:line="240" w:lineRule="auto"/>
              <w:ind w:firstLine="0" w:firstLineChars="0"/>
              <w:jc w:val="center"/>
              <w:rPr>
                <w:b w:val="0"/>
                <w:bCs w:val="0"/>
                <w:color w:val="auto"/>
                <w:szCs w:val="21"/>
              </w:rPr>
            </w:pPr>
            <w:r>
              <w:rPr>
                <w:b w:val="0"/>
                <w:bCs w:val="0"/>
                <w:color w:val="auto"/>
                <w:szCs w:val="21"/>
              </w:rPr>
              <w:t>0.3</w:t>
            </w:r>
          </w:p>
        </w:tc>
        <w:tc>
          <w:tcPr>
            <w:tcW w:w="471" w:type="pct"/>
            <w:tcBorders>
              <w:tl2br w:val="nil"/>
              <w:tr2bl w:val="nil"/>
            </w:tcBorders>
            <w:shd w:val="clear" w:color="auto" w:fill="auto"/>
            <w:vAlign w:val="center"/>
          </w:tcPr>
          <w:p w14:paraId="4906E623">
            <w:pPr>
              <w:pStyle w:val="154"/>
              <w:spacing w:line="240" w:lineRule="auto"/>
              <w:ind w:firstLine="0" w:firstLineChars="0"/>
              <w:jc w:val="center"/>
              <w:rPr>
                <w:b w:val="0"/>
                <w:bCs w:val="0"/>
                <w:color w:val="auto"/>
                <w:szCs w:val="21"/>
              </w:rPr>
            </w:pPr>
            <w:r>
              <w:rPr>
                <w:b w:val="0"/>
                <w:bCs w:val="0"/>
                <w:color w:val="auto"/>
                <w:szCs w:val="21"/>
              </w:rPr>
              <w:t>1.1</w:t>
            </w:r>
          </w:p>
        </w:tc>
        <w:tc>
          <w:tcPr>
            <w:tcW w:w="471" w:type="pct"/>
            <w:tcBorders>
              <w:tl2br w:val="nil"/>
              <w:tr2bl w:val="nil"/>
            </w:tcBorders>
            <w:shd w:val="clear" w:color="auto" w:fill="auto"/>
            <w:vAlign w:val="center"/>
          </w:tcPr>
          <w:p w14:paraId="28B7A5BB">
            <w:pPr>
              <w:pStyle w:val="154"/>
              <w:spacing w:line="240" w:lineRule="auto"/>
              <w:ind w:firstLine="0" w:firstLineChars="0"/>
              <w:jc w:val="center"/>
              <w:rPr>
                <w:b w:val="0"/>
                <w:bCs w:val="0"/>
                <w:color w:val="auto"/>
                <w:szCs w:val="21"/>
              </w:rPr>
            </w:pPr>
            <w:r>
              <w:rPr>
                <w:b w:val="0"/>
                <w:bCs w:val="0"/>
                <w:color w:val="auto"/>
                <w:szCs w:val="21"/>
              </w:rPr>
              <w:t>2.4</w:t>
            </w:r>
          </w:p>
        </w:tc>
        <w:tc>
          <w:tcPr>
            <w:tcW w:w="501" w:type="pct"/>
            <w:tcBorders>
              <w:tl2br w:val="nil"/>
              <w:tr2bl w:val="nil"/>
            </w:tcBorders>
            <w:shd w:val="clear" w:color="auto" w:fill="auto"/>
            <w:vAlign w:val="center"/>
          </w:tcPr>
          <w:p w14:paraId="285DC8AF">
            <w:pPr>
              <w:pStyle w:val="154"/>
              <w:spacing w:line="240" w:lineRule="auto"/>
              <w:ind w:firstLine="0" w:firstLineChars="0"/>
              <w:jc w:val="center"/>
              <w:rPr>
                <w:b w:val="0"/>
                <w:bCs w:val="0"/>
                <w:color w:val="auto"/>
                <w:szCs w:val="21"/>
              </w:rPr>
            </w:pPr>
            <w:r>
              <w:rPr>
                <w:b w:val="0"/>
                <w:bCs w:val="0"/>
                <w:color w:val="auto"/>
                <w:szCs w:val="21"/>
              </w:rPr>
              <w:t>4.1</w:t>
            </w:r>
          </w:p>
        </w:tc>
        <w:tc>
          <w:tcPr>
            <w:tcW w:w="501" w:type="pct"/>
            <w:tcBorders>
              <w:tl2br w:val="nil"/>
              <w:tr2bl w:val="nil"/>
            </w:tcBorders>
            <w:shd w:val="clear" w:color="auto" w:fill="auto"/>
            <w:vAlign w:val="center"/>
          </w:tcPr>
          <w:p w14:paraId="30E89B92">
            <w:pPr>
              <w:pStyle w:val="154"/>
              <w:spacing w:line="240" w:lineRule="auto"/>
              <w:ind w:firstLine="0" w:firstLineChars="0"/>
              <w:jc w:val="center"/>
              <w:rPr>
                <w:b w:val="0"/>
                <w:bCs w:val="0"/>
                <w:color w:val="auto"/>
                <w:szCs w:val="21"/>
              </w:rPr>
            </w:pPr>
            <w:r>
              <w:rPr>
                <w:b w:val="0"/>
                <w:bCs w:val="0"/>
                <w:color w:val="auto"/>
                <w:szCs w:val="21"/>
              </w:rPr>
              <w:t>8.3</w:t>
            </w:r>
          </w:p>
        </w:tc>
        <w:tc>
          <w:tcPr>
            <w:tcW w:w="501" w:type="pct"/>
            <w:tcBorders>
              <w:tl2br w:val="nil"/>
              <w:tr2bl w:val="nil"/>
            </w:tcBorders>
            <w:shd w:val="clear" w:color="auto" w:fill="auto"/>
            <w:vAlign w:val="center"/>
          </w:tcPr>
          <w:p w14:paraId="66A4FA24">
            <w:pPr>
              <w:pStyle w:val="154"/>
              <w:spacing w:line="240" w:lineRule="auto"/>
              <w:ind w:firstLine="0" w:firstLineChars="0"/>
              <w:jc w:val="center"/>
              <w:rPr>
                <w:b w:val="0"/>
                <w:bCs w:val="0"/>
                <w:color w:val="auto"/>
                <w:szCs w:val="21"/>
              </w:rPr>
            </w:pPr>
            <w:r>
              <w:rPr>
                <w:b w:val="0"/>
                <w:bCs w:val="0"/>
                <w:color w:val="auto"/>
                <w:szCs w:val="21"/>
              </w:rPr>
              <w:t>23.7</w:t>
            </w:r>
          </w:p>
        </w:tc>
        <w:tc>
          <w:tcPr>
            <w:tcW w:w="469" w:type="pct"/>
            <w:tcBorders>
              <w:tl2br w:val="nil"/>
              <w:tr2bl w:val="nil"/>
            </w:tcBorders>
            <w:shd w:val="clear" w:color="auto" w:fill="auto"/>
            <w:vAlign w:val="center"/>
          </w:tcPr>
          <w:p w14:paraId="621D2991">
            <w:pPr>
              <w:pStyle w:val="154"/>
              <w:spacing w:line="240" w:lineRule="auto"/>
              <w:ind w:firstLine="0" w:firstLineChars="0"/>
              <w:jc w:val="center"/>
              <w:rPr>
                <w:b w:val="0"/>
                <w:bCs w:val="0"/>
                <w:color w:val="auto"/>
                <w:szCs w:val="21"/>
              </w:rPr>
            </w:pPr>
            <w:r>
              <w:rPr>
                <w:b w:val="0"/>
                <w:bCs w:val="0"/>
                <w:color w:val="auto"/>
                <w:szCs w:val="21"/>
              </w:rPr>
              <w:t>82.8</w:t>
            </w:r>
          </w:p>
        </w:tc>
      </w:tr>
    </w:tbl>
    <w:p w14:paraId="42F76A6A">
      <w:pPr>
        <w:spacing w:line="500" w:lineRule="exact"/>
        <w:ind w:firstLine="480"/>
      </w:pPr>
      <w:r>
        <w:rPr>
          <w:rFonts w:hint="eastAsia" w:cs="宋体"/>
        </w:rPr>
        <w:t>③</w:t>
      </w:r>
      <w:r>
        <w:t>地面效应衰减</w:t>
      </w:r>
      <w:r>
        <w:rPr>
          <w:rFonts w:hint="eastAsia"/>
        </w:rPr>
        <w:t>（</w:t>
      </w:r>
      <w:r>
        <w:t>Agr</w:t>
      </w:r>
      <w:r>
        <w:rPr>
          <w:rFonts w:hint="eastAsia"/>
        </w:rPr>
        <w:t>）</w:t>
      </w:r>
    </w:p>
    <w:p w14:paraId="28BA3AE7">
      <w:pPr>
        <w:spacing w:line="500" w:lineRule="exact"/>
        <w:ind w:firstLine="480"/>
      </w:pPr>
      <w:r>
        <w:t>地面类型可分为：</w:t>
      </w:r>
    </w:p>
    <w:p w14:paraId="0B7273F5">
      <w:pPr>
        <w:spacing w:line="500" w:lineRule="exact"/>
        <w:ind w:firstLine="480"/>
      </w:pPr>
      <w:r>
        <w:t>A、坚实地面，包括铺筑过的路面、水面、冰面以及夯实地面</w:t>
      </w:r>
      <w:r>
        <w:rPr>
          <w:rFonts w:hint="eastAsia"/>
        </w:rPr>
        <w:t>。</w:t>
      </w:r>
    </w:p>
    <w:p w14:paraId="40D72EC8">
      <w:pPr>
        <w:spacing w:line="500" w:lineRule="exact"/>
        <w:ind w:firstLine="480"/>
      </w:pPr>
      <w:r>
        <w:t>B、疏松地面，包括被草或其他植物覆盖的地面，以及农田等适合于植物生长的地面</w:t>
      </w:r>
      <w:r>
        <w:rPr>
          <w:rFonts w:hint="eastAsia"/>
        </w:rPr>
        <w:t>。</w:t>
      </w:r>
    </w:p>
    <w:p w14:paraId="1A2A9204">
      <w:pPr>
        <w:spacing w:line="500" w:lineRule="exact"/>
        <w:ind w:firstLine="480"/>
      </w:pPr>
      <w:r>
        <w:t>C、混合地面，由坚实地面和疏松地面组成</w:t>
      </w:r>
      <w:r>
        <w:rPr>
          <w:rFonts w:hint="eastAsia"/>
        </w:rPr>
        <w:t>。</w:t>
      </w:r>
    </w:p>
    <w:p w14:paraId="6E305162">
      <w:pPr>
        <w:spacing w:line="500" w:lineRule="exact"/>
        <w:ind w:firstLine="480"/>
      </w:pPr>
      <w:r>
        <w:t>声波越过疏松地面传播时，或大部分为疏松地面的混合地面，在预测点仅计算A声级前提下，地面效应引起的倍频带衰减可用下列公式计算</w:t>
      </w:r>
      <w:r>
        <w:rPr>
          <w:rFonts w:hint="eastAsia"/>
        </w:rPr>
        <w:t>。</w:t>
      </w:r>
    </w:p>
    <w:p w14:paraId="4EAF03B4">
      <w:pPr>
        <w:spacing w:line="500" w:lineRule="exact"/>
        <w:ind w:firstLine="480"/>
      </w:pPr>
      <w:r>
        <w:drawing>
          <wp:anchor distT="0" distB="0" distL="114300" distR="114300" simplePos="0" relativeHeight="251736064" behindDoc="0" locked="0" layoutInCell="1" allowOverlap="1">
            <wp:simplePos x="0" y="0"/>
            <wp:positionH relativeFrom="column">
              <wp:posOffset>1345565</wp:posOffset>
            </wp:positionH>
            <wp:positionV relativeFrom="paragraph">
              <wp:posOffset>34925</wp:posOffset>
            </wp:positionV>
            <wp:extent cx="1914525" cy="428625"/>
            <wp:effectExtent l="0" t="0" r="9525" b="9525"/>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14525" cy="428625"/>
                    </a:xfrm>
                    <a:prstGeom prst="rect">
                      <a:avLst/>
                    </a:prstGeom>
                    <a:noFill/>
                    <a:ln>
                      <a:noFill/>
                    </a:ln>
                  </pic:spPr>
                </pic:pic>
              </a:graphicData>
            </a:graphic>
          </wp:anchor>
        </w:drawing>
      </w:r>
    </w:p>
    <w:p w14:paraId="2B2DE7D5">
      <w:pPr>
        <w:spacing w:line="500" w:lineRule="exact"/>
        <w:ind w:firstLine="480"/>
        <w:jc w:val="right"/>
      </w:pPr>
      <w:bookmarkStart w:id="170" w:name="_Toc2094"/>
      <w:bookmarkStart w:id="171" w:name="_Toc1070"/>
      <w:r>
        <w:t>……………………（</w:t>
      </w:r>
      <w:r>
        <w:rPr>
          <w:rFonts w:hint="eastAsia"/>
        </w:rPr>
        <w:t>A</w:t>
      </w:r>
      <w:r>
        <w:t>.19）</w:t>
      </w:r>
      <w:bookmarkEnd w:id="170"/>
      <w:bookmarkEnd w:id="171"/>
    </w:p>
    <w:p w14:paraId="1B23AF3F">
      <w:pPr>
        <w:spacing w:line="500" w:lineRule="exact"/>
        <w:ind w:firstLine="480"/>
      </w:pPr>
      <w:r>
        <w:t>式中：</w:t>
      </w:r>
    </w:p>
    <w:p w14:paraId="4306C7B2">
      <w:pPr>
        <w:spacing w:line="500" w:lineRule="exact"/>
        <w:ind w:firstLine="480"/>
      </w:pPr>
      <w:r>
        <w:t>r--声源到预测点的距离，m；</w:t>
      </w:r>
    </w:p>
    <w:p w14:paraId="7627E043">
      <w:pPr>
        <w:spacing w:line="500" w:lineRule="exact"/>
        <w:ind w:firstLine="480"/>
      </w:pPr>
      <w:r>
        <w:t>hm--传播路径的平均离地高度，m；hm=F/r；F：面积，m2；r，m；</w:t>
      </w:r>
    </w:p>
    <w:p w14:paraId="72D35A0E">
      <w:pPr>
        <w:spacing w:line="500" w:lineRule="exact"/>
        <w:ind w:firstLine="480"/>
      </w:pPr>
      <w:r>
        <w:t>若A</w:t>
      </w:r>
      <w:r>
        <w:rPr>
          <w:vertAlign w:val="subscript"/>
        </w:rPr>
        <w:t>gr</w:t>
      </w:r>
      <w:r>
        <w:t>计算出负值，则A</w:t>
      </w:r>
      <w:r>
        <w:rPr>
          <w:vertAlign w:val="subscript"/>
        </w:rPr>
        <w:t>gr</w:t>
      </w:r>
      <w:r>
        <w:t>可用</w:t>
      </w:r>
      <w:r>
        <w:rPr>
          <w:rFonts w:hint="eastAsia"/>
        </w:rPr>
        <w:t>”</w:t>
      </w:r>
      <w:r>
        <w:t>0</w:t>
      </w:r>
      <w:r>
        <w:rPr>
          <w:rFonts w:hint="eastAsia"/>
        </w:rPr>
        <w:t>”</w:t>
      </w:r>
      <w:r>
        <w:t>代替</w:t>
      </w:r>
      <w:r>
        <w:rPr>
          <w:rFonts w:hint="eastAsia"/>
        </w:rPr>
        <w:t>。</w:t>
      </w:r>
    </w:p>
    <w:p w14:paraId="3132C4B2">
      <w:pPr>
        <w:spacing w:line="500" w:lineRule="exact"/>
        <w:ind w:firstLine="480"/>
      </w:pPr>
      <w:r>
        <w:t>其他情况可参照GB/T17247.2进行计算</w:t>
      </w:r>
      <w:r>
        <w:rPr>
          <w:rFonts w:hint="eastAsia"/>
        </w:rPr>
        <w:t>。</w:t>
      </w:r>
    </w:p>
    <w:p w14:paraId="03B0B304">
      <w:pPr>
        <w:spacing w:line="500" w:lineRule="exact"/>
        <w:ind w:firstLine="480"/>
      </w:pPr>
      <w:r>
        <w:rPr>
          <w:rFonts w:hint="eastAsia" w:cs="宋体"/>
        </w:rPr>
        <w:t>④</w:t>
      </w:r>
      <w:r>
        <w:t>屏障引起的衰减</w:t>
      </w:r>
      <w:r>
        <w:rPr>
          <w:rFonts w:hint="eastAsia"/>
        </w:rPr>
        <w:t>（</w:t>
      </w:r>
      <w:r>
        <w:t>A</w:t>
      </w:r>
      <w:r>
        <w:rPr>
          <w:vertAlign w:val="subscript"/>
        </w:rPr>
        <w:t>bar</w:t>
      </w:r>
      <w:r>
        <w:rPr>
          <w:rFonts w:hint="eastAsia"/>
        </w:rPr>
        <w:t>）</w:t>
      </w:r>
    </w:p>
    <w:p w14:paraId="2CD04578">
      <w:pPr>
        <w:spacing w:line="500" w:lineRule="exact"/>
        <w:ind w:firstLine="480"/>
      </w:pPr>
      <w:r>
        <w:t>位于声源和预测点之间的实体障碍物，如围墙、建筑物、土坡或地堑等起声屏障作用，从而引起声能量的较大衰减</w:t>
      </w:r>
      <w:r>
        <w:rPr>
          <w:rFonts w:hint="eastAsia"/>
        </w:rPr>
        <w:t>。</w:t>
      </w:r>
      <w:r>
        <w:t>在环境影响评价中，可将各种形式的屏障简化为具有一定高度的薄屏障</w:t>
      </w:r>
      <w:r>
        <w:rPr>
          <w:rFonts w:hint="eastAsia"/>
        </w:rPr>
        <w:t>。</w:t>
      </w:r>
    </w:p>
    <w:p w14:paraId="4D05DC18">
      <w:pPr>
        <w:spacing w:line="500" w:lineRule="exact"/>
        <w:ind w:firstLine="480"/>
      </w:pPr>
      <w:r>
        <w:t>S、O、P三点在同一平面内且垂直于地面</w:t>
      </w:r>
      <w:r>
        <w:rPr>
          <w:rFonts w:hint="eastAsia"/>
        </w:rPr>
        <w:t>。</w:t>
      </w:r>
    </w:p>
    <w:p w14:paraId="74D953D7">
      <w:pPr>
        <w:spacing w:line="500" w:lineRule="exact"/>
        <w:ind w:firstLine="480"/>
      </w:pPr>
      <w:r>
        <w:t>定义δ=SO＋OP－SP为声程差，N=2δ/λ为菲涅尔数，其中λ为声波波长</w:t>
      </w:r>
      <w:r>
        <w:rPr>
          <w:rFonts w:hint="eastAsia"/>
        </w:rPr>
        <w:t>。</w:t>
      </w:r>
    </w:p>
    <w:p w14:paraId="5072581D">
      <w:pPr>
        <w:spacing w:line="500" w:lineRule="exact"/>
        <w:ind w:firstLine="480"/>
      </w:pPr>
      <w:r>
        <w:t>在噪声预测中，声屏障插入损失的计算方法应需要根据实际情况作简化处理</w:t>
      </w:r>
      <w:r>
        <w:rPr>
          <w:rFonts w:hint="eastAsia"/>
        </w:rPr>
        <w:t>。</w:t>
      </w:r>
    </w:p>
    <w:p w14:paraId="4DAB37DC">
      <w:pPr>
        <w:spacing w:line="500" w:lineRule="exact"/>
        <w:ind w:firstLine="480"/>
      </w:pPr>
      <w:bookmarkStart w:id="172" w:name="_Toc20959"/>
      <w:bookmarkStart w:id="173" w:name="_Toc26353"/>
      <w:r>
        <w:t>A、有限长薄屏障在点声源声场中引起的衰减计算</w:t>
      </w:r>
      <w:bookmarkEnd w:id="172"/>
      <w:bookmarkEnd w:id="173"/>
    </w:p>
    <w:p w14:paraId="3C8ADF45">
      <w:pPr>
        <w:spacing w:line="500" w:lineRule="exact"/>
        <w:ind w:firstLine="480"/>
      </w:pPr>
      <w:r>
        <w:t>首先计算三个传播途径的声程差δ1、δ2、δ3和相应的菲涅尔数N1、N2、N3；声屏障引起的衰减公式为：</w:t>
      </w:r>
    </w:p>
    <w:p w14:paraId="36A42692">
      <w:pPr>
        <w:spacing w:line="500" w:lineRule="exact"/>
        <w:ind w:firstLine="480"/>
        <w:jc w:val="right"/>
      </w:pPr>
      <w:r>
        <w:pict>
          <v:shape id="Picture 4366" o:spid="_x0000_s2074" o:spt="75" type="#_x0000_t75" style="position:absolute;left:0pt;margin-left:117pt;margin-top:-4.8pt;height:37.5pt;width:197.25pt;z-index:251739136;mso-width-relative:page;mso-height-relative:page;" o:ole="t" fillcolor="#000005" filled="f" o:preferrelative="t" stroked="f" coordsize="21600,21600">
            <v:path/>
            <v:fill on="f" focussize="0,0"/>
            <v:stroke on="f" joinstyle="miter"/>
            <v:imagedata r:id="rId83" o:title=""/>
            <o:lock v:ext="edit" aspectratio="t"/>
          </v:shape>
          <o:OLEObject Type="Embed" ProgID="Equation.3" ShapeID="Picture 4366" DrawAspect="Content" ObjectID="_1468075737" r:id="rId82">
            <o:LockedField>false</o:LockedField>
          </o:OLEObject>
        </w:pict>
      </w:r>
      <w:r>
        <w:t>………（</w:t>
      </w:r>
      <w:r>
        <w:rPr>
          <w:rFonts w:hint="eastAsia"/>
        </w:rPr>
        <w:t>A</w:t>
      </w:r>
      <w:r>
        <w:t>.20）</w:t>
      </w:r>
    </w:p>
    <w:p w14:paraId="526873F9">
      <w:pPr>
        <w:spacing w:line="500" w:lineRule="exact"/>
        <w:ind w:firstLine="480"/>
      </w:pPr>
      <w:bookmarkStart w:id="174" w:name="_Toc14662"/>
      <w:bookmarkStart w:id="175" w:name="_Toc16443"/>
      <w:r>
        <w:t>B、双绕射计算</w:t>
      </w:r>
      <w:bookmarkEnd w:id="174"/>
      <w:bookmarkEnd w:id="175"/>
    </w:p>
    <w:p w14:paraId="0C35F57F">
      <w:pPr>
        <w:spacing w:line="500" w:lineRule="exact"/>
        <w:ind w:firstLine="480"/>
      </w:pPr>
      <w:r>
        <w:t>对于双绕射情景，可由下列公式计算绕射声与直达声之间的声程差δ：</w:t>
      </w:r>
    </w:p>
    <w:p w14:paraId="0D17BB0B">
      <w:pPr>
        <w:spacing w:line="500" w:lineRule="exact"/>
        <w:ind w:firstLine="480"/>
        <w:jc w:val="right"/>
      </w:pPr>
      <w:r>
        <w:drawing>
          <wp:anchor distT="0" distB="0" distL="114300" distR="114300" simplePos="0" relativeHeight="251735040" behindDoc="0" locked="0" layoutInCell="1" allowOverlap="1">
            <wp:simplePos x="0" y="0"/>
            <wp:positionH relativeFrom="column">
              <wp:posOffset>2051685</wp:posOffset>
            </wp:positionH>
            <wp:positionV relativeFrom="paragraph">
              <wp:posOffset>100965</wp:posOffset>
            </wp:positionV>
            <wp:extent cx="1819275" cy="314325"/>
            <wp:effectExtent l="0" t="0" r="9525" b="952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819275" cy="314325"/>
                    </a:xfrm>
                    <a:prstGeom prst="rect">
                      <a:avLst/>
                    </a:prstGeom>
                    <a:noFill/>
                    <a:ln>
                      <a:noFill/>
                    </a:ln>
                  </pic:spPr>
                </pic:pic>
              </a:graphicData>
            </a:graphic>
          </wp:anchor>
        </w:drawing>
      </w:r>
      <w:r>
        <w:t>………（</w:t>
      </w:r>
      <w:r>
        <w:rPr>
          <w:rFonts w:hint="eastAsia"/>
        </w:rPr>
        <w:t>A</w:t>
      </w:r>
      <w:r>
        <w:t>.21）</w:t>
      </w:r>
    </w:p>
    <w:p w14:paraId="626F476C">
      <w:pPr>
        <w:spacing w:line="500" w:lineRule="exact"/>
        <w:ind w:firstLine="480"/>
      </w:pPr>
      <w:r>
        <w:t>式中：</w:t>
      </w:r>
    </w:p>
    <w:p w14:paraId="6213DD70">
      <w:pPr>
        <w:spacing w:line="500" w:lineRule="exact"/>
        <w:ind w:firstLine="991" w:firstLineChars="413"/>
      </w:pPr>
      <w:r>
        <w:t>a--声源和接收点之间的距离在平行于屏障上边界的投影长度，m</w:t>
      </w:r>
      <w:r>
        <w:rPr>
          <w:rFonts w:hint="eastAsia"/>
        </w:rPr>
        <w:t>。</w:t>
      </w:r>
    </w:p>
    <w:p w14:paraId="2F22FE69">
      <w:pPr>
        <w:spacing w:line="500" w:lineRule="exact"/>
        <w:ind w:firstLine="991" w:firstLineChars="413"/>
      </w:pPr>
      <w:r>
        <w:t>d</w:t>
      </w:r>
      <w:r>
        <w:rPr>
          <w:vertAlign w:val="subscript"/>
        </w:rPr>
        <w:t>ss</w:t>
      </w:r>
      <w:r>
        <w:t>--声源到第一绕射边的距离，m</w:t>
      </w:r>
      <w:r>
        <w:rPr>
          <w:rFonts w:hint="eastAsia"/>
        </w:rPr>
        <w:t>。</w:t>
      </w:r>
    </w:p>
    <w:p w14:paraId="6C86CB1F">
      <w:pPr>
        <w:spacing w:line="500" w:lineRule="exact"/>
        <w:ind w:firstLine="991" w:firstLineChars="413"/>
      </w:pPr>
      <w:r>
        <w:t>d</w:t>
      </w:r>
      <w:r>
        <w:rPr>
          <w:vertAlign w:val="subscript"/>
        </w:rPr>
        <w:t>sr</w:t>
      </w:r>
      <w:r>
        <w:t>--（第二）绕射边到接收点的距离，m</w:t>
      </w:r>
      <w:r>
        <w:rPr>
          <w:rFonts w:hint="eastAsia"/>
        </w:rPr>
        <w:t>。</w:t>
      </w:r>
    </w:p>
    <w:p w14:paraId="0A2B6152">
      <w:pPr>
        <w:spacing w:line="500" w:lineRule="exact"/>
        <w:ind w:firstLine="991" w:firstLineChars="413"/>
      </w:pPr>
      <w:r>
        <w:t>e--在双绕射情况下两个绕射边界之间的距离，m</w:t>
      </w:r>
      <w:r>
        <w:rPr>
          <w:rFonts w:hint="eastAsia"/>
        </w:rPr>
        <w:t>。</w:t>
      </w:r>
    </w:p>
    <w:p w14:paraId="3D414069">
      <w:pPr>
        <w:spacing w:line="500" w:lineRule="exact"/>
        <w:ind w:firstLine="480"/>
      </w:pPr>
      <w:r>
        <w:t>屏障衰减A</w:t>
      </w:r>
      <w:r>
        <w:rPr>
          <w:vertAlign w:val="subscript"/>
        </w:rPr>
        <w:t>bar</w:t>
      </w:r>
      <w:r>
        <w:t>（相当于GB/T17247.2中的DZ）参照GB/T17247.2进行计算</w:t>
      </w:r>
      <w:r>
        <w:rPr>
          <w:rFonts w:hint="eastAsia"/>
        </w:rPr>
        <w:t>。</w:t>
      </w:r>
    </w:p>
    <w:p w14:paraId="0B50C9C6">
      <w:pPr>
        <w:spacing w:line="500" w:lineRule="exact"/>
        <w:ind w:firstLine="480"/>
      </w:pPr>
      <w:r>
        <w:t>在任何频带上，屏障衰减A</w:t>
      </w:r>
      <w:r>
        <w:rPr>
          <w:vertAlign w:val="subscript"/>
        </w:rPr>
        <w:t>bar</w:t>
      </w:r>
      <w:r>
        <w:t>在单绕射（即薄屏障）情况，衰减最大取20dB；屏障衰减A</w:t>
      </w:r>
      <w:r>
        <w:rPr>
          <w:vertAlign w:val="subscript"/>
        </w:rPr>
        <w:t>bar</w:t>
      </w:r>
      <w:r>
        <w:t>在双绕射（即厚屏障）情况，衰减最大取25dB</w:t>
      </w:r>
      <w:r>
        <w:rPr>
          <w:rFonts w:hint="eastAsia"/>
        </w:rPr>
        <w:t>。</w:t>
      </w:r>
    </w:p>
    <w:p w14:paraId="35596B4D">
      <w:pPr>
        <w:spacing w:line="500" w:lineRule="exact"/>
        <w:ind w:firstLine="480"/>
      </w:pPr>
      <w:r>
        <w:t>计算了屏障衰减后，不再考虑地面效应衰减</w:t>
      </w:r>
      <w:r>
        <w:rPr>
          <w:rFonts w:hint="eastAsia"/>
        </w:rPr>
        <w:t>。</w:t>
      </w:r>
    </w:p>
    <w:p w14:paraId="42762F8E">
      <w:pPr>
        <w:spacing w:line="500" w:lineRule="exact"/>
        <w:ind w:firstLine="480"/>
      </w:pPr>
      <w:r>
        <w:t>3、防治措施</w:t>
      </w:r>
    </w:p>
    <w:p w14:paraId="4B0B3879">
      <w:pPr>
        <w:spacing w:line="500" w:lineRule="exact"/>
        <w:ind w:firstLine="480"/>
      </w:pPr>
      <w:r>
        <w:t>（1）在设备选型上，应引进质量过关、通过质量认定的低噪声生产设备，主要设备要标明噪声的标准值，使其噪声控制在80-85dB（A）以下；</w:t>
      </w:r>
    </w:p>
    <w:p w14:paraId="0882444A">
      <w:pPr>
        <w:spacing w:line="500" w:lineRule="exact"/>
        <w:ind w:firstLine="480"/>
      </w:pPr>
      <w:r>
        <w:t>（2）新增设施基础加减振装置，以控制设备振动噪声；</w:t>
      </w:r>
    </w:p>
    <w:p w14:paraId="0882858E">
      <w:pPr>
        <w:spacing w:line="500" w:lineRule="exact"/>
        <w:ind w:firstLine="480"/>
      </w:pPr>
      <w:r>
        <w:t>（3）养殖中心内合理布局，使高噪声机泵远离厂界</w:t>
      </w:r>
      <w:r>
        <w:rPr>
          <w:rFonts w:hint="eastAsia"/>
        </w:rPr>
        <w:t>。</w:t>
      </w:r>
    </w:p>
    <w:p w14:paraId="124A54AE">
      <w:pPr>
        <w:spacing w:line="500" w:lineRule="exact"/>
        <w:ind w:firstLine="480"/>
      </w:pPr>
      <w:r>
        <w:t>4、预测结果及结论</w:t>
      </w:r>
    </w:p>
    <w:p w14:paraId="489F649D">
      <w:pPr>
        <w:spacing w:line="500" w:lineRule="exact"/>
        <w:ind w:firstLine="480"/>
      </w:pPr>
      <w:r>
        <w:t>（1）预测结果</w:t>
      </w:r>
    </w:p>
    <w:p w14:paraId="25E3A6DD">
      <w:pPr>
        <w:spacing w:line="500" w:lineRule="exact"/>
        <w:ind w:firstLine="504"/>
        <w:rPr>
          <w:spacing w:val="6"/>
        </w:rPr>
      </w:pPr>
      <w:r>
        <w:rPr>
          <w:spacing w:val="6"/>
        </w:rPr>
        <w:t>在采取防治措施情况下，</w:t>
      </w:r>
      <w:r>
        <w:rPr>
          <w:rFonts w:hint="eastAsia"/>
          <w:spacing w:val="6"/>
        </w:rPr>
        <w:t>本项目运营期间</w:t>
      </w:r>
      <w:r>
        <w:rPr>
          <w:spacing w:val="6"/>
        </w:rPr>
        <w:t>噪声</w:t>
      </w:r>
      <w:r>
        <w:rPr>
          <w:rFonts w:hint="eastAsia"/>
          <w:spacing w:val="6"/>
        </w:rPr>
        <w:t>对</w:t>
      </w:r>
      <w:r>
        <w:rPr>
          <w:spacing w:val="6"/>
        </w:rPr>
        <w:t>厂界噪声贡献</w:t>
      </w:r>
      <w:r>
        <w:rPr>
          <w:rFonts w:hint="eastAsia"/>
          <w:spacing w:val="6"/>
        </w:rPr>
        <w:t>值按有限线声源公式附录A</w:t>
      </w:r>
      <w:r>
        <w:rPr>
          <w:spacing w:val="6"/>
        </w:rPr>
        <w:t>.14</w:t>
      </w:r>
      <w:r>
        <w:rPr>
          <w:rFonts w:hint="eastAsia"/>
          <w:spacing w:val="6"/>
        </w:rPr>
        <w:t>计算：</w:t>
      </w:r>
    </w:p>
    <w:p w14:paraId="29853F3C">
      <w:pPr>
        <w:spacing w:line="240" w:lineRule="auto"/>
        <w:ind w:firstLine="480"/>
        <w:rPr>
          <w:spacing w:val="6"/>
        </w:rPr>
      </w:pPr>
      <w:r>
        <w:drawing>
          <wp:inline distT="0" distB="0" distL="0" distR="0">
            <wp:extent cx="4836160" cy="468630"/>
            <wp:effectExtent l="0" t="0" r="254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5"/>
                    <a:stretch>
                      <a:fillRect/>
                    </a:stretch>
                  </pic:blipFill>
                  <pic:spPr>
                    <a:xfrm>
                      <a:off x="0" y="0"/>
                      <a:ext cx="4904681" cy="475352"/>
                    </a:xfrm>
                    <a:prstGeom prst="rect">
                      <a:avLst/>
                    </a:prstGeom>
                  </pic:spPr>
                </pic:pic>
              </a:graphicData>
            </a:graphic>
          </wp:inline>
        </w:drawing>
      </w:r>
    </w:p>
    <w:p w14:paraId="77D79731">
      <w:pPr>
        <w:spacing w:line="500" w:lineRule="exact"/>
        <w:ind w:firstLine="504"/>
        <w:rPr>
          <w:spacing w:val="6"/>
        </w:rPr>
      </w:pPr>
      <w:r>
        <w:rPr>
          <w:rFonts w:hint="eastAsia"/>
          <w:spacing w:val="6"/>
        </w:rPr>
        <w:t>计算结果</w:t>
      </w:r>
      <w:r>
        <w:rPr>
          <w:spacing w:val="6"/>
        </w:rPr>
        <w:t>见表5.2-</w:t>
      </w:r>
      <w:r>
        <w:rPr>
          <w:rFonts w:hint="eastAsia"/>
          <w:spacing w:val="6"/>
        </w:rPr>
        <w:t>19。</w:t>
      </w:r>
    </w:p>
    <w:p w14:paraId="24D02E0F">
      <w:pPr>
        <w:pStyle w:val="160"/>
        <w:ind w:firstLine="480"/>
        <w:rPr>
          <w:rFonts w:eastAsia="宋体"/>
          <w:b/>
          <w:bCs/>
        </w:rPr>
      </w:pPr>
      <w:r>
        <w:rPr>
          <w:rFonts w:eastAsia="宋体"/>
          <w:b/>
          <w:bCs/>
        </w:rPr>
        <w:t>表5.2-</w:t>
      </w:r>
      <w:r>
        <w:rPr>
          <w:rFonts w:hint="eastAsia" w:eastAsia="宋体"/>
          <w:b/>
          <w:bCs/>
        </w:rPr>
        <w:t>19运营期</w:t>
      </w:r>
      <w:r>
        <w:rPr>
          <w:rFonts w:eastAsia="宋体"/>
          <w:b/>
          <w:bCs/>
        </w:rPr>
        <w:t>厂界噪声预测值[dB</w:t>
      </w:r>
      <w:r>
        <w:rPr>
          <w:rFonts w:hint="eastAsia" w:eastAsia="宋体"/>
          <w:b/>
          <w:bCs/>
        </w:rPr>
        <w:t>（</w:t>
      </w:r>
      <w:r>
        <w:rPr>
          <w:rFonts w:eastAsia="宋体"/>
          <w:b/>
          <w:bCs/>
        </w:rPr>
        <w:t>A</w:t>
      </w:r>
      <w:r>
        <w:rPr>
          <w:rFonts w:hint="eastAsia" w:eastAsia="宋体"/>
          <w:b/>
          <w:bCs/>
        </w:rPr>
        <w:t>）</w:t>
      </w:r>
      <w:r>
        <w:rPr>
          <w:rFonts w:eastAsia="宋体"/>
          <w:b/>
          <w:bCs/>
        </w:rPr>
        <w:t>]</w:t>
      </w:r>
    </w:p>
    <w:tbl>
      <w:tblPr>
        <w:tblStyle w:val="3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033"/>
        <w:gridCol w:w="1147"/>
        <w:gridCol w:w="1164"/>
        <w:gridCol w:w="1459"/>
        <w:gridCol w:w="1600"/>
        <w:gridCol w:w="2119"/>
      </w:tblGrid>
      <w:tr w14:paraId="694BD6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5" w:hRule="atLeast"/>
          <w:jc w:val="center"/>
        </w:trPr>
        <w:tc>
          <w:tcPr>
            <w:tcW w:w="606" w:type="pct"/>
            <w:tcBorders>
              <w:tl2br w:val="nil"/>
              <w:tr2bl w:val="nil"/>
            </w:tcBorders>
            <w:shd w:val="clear" w:color="auto" w:fill="auto"/>
            <w:vAlign w:val="center"/>
          </w:tcPr>
          <w:p w14:paraId="6183C7A5">
            <w:pPr>
              <w:pStyle w:val="154"/>
              <w:spacing w:line="240" w:lineRule="auto"/>
              <w:ind w:firstLine="0" w:firstLineChars="0"/>
              <w:jc w:val="center"/>
              <w:rPr>
                <w:b w:val="0"/>
                <w:bCs w:val="0"/>
                <w:color w:val="auto"/>
                <w:szCs w:val="21"/>
              </w:rPr>
            </w:pPr>
            <w:r>
              <w:rPr>
                <w:b w:val="0"/>
                <w:bCs w:val="0"/>
                <w:color w:val="auto"/>
                <w:szCs w:val="21"/>
              </w:rPr>
              <w:t>序号</w:t>
            </w:r>
          </w:p>
        </w:tc>
        <w:tc>
          <w:tcPr>
            <w:tcW w:w="673" w:type="pct"/>
            <w:tcBorders>
              <w:tl2br w:val="nil"/>
              <w:tr2bl w:val="nil"/>
            </w:tcBorders>
            <w:shd w:val="clear" w:color="auto" w:fill="auto"/>
            <w:vAlign w:val="center"/>
          </w:tcPr>
          <w:p w14:paraId="178EE8C0">
            <w:pPr>
              <w:pStyle w:val="154"/>
              <w:spacing w:line="240" w:lineRule="auto"/>
              <w:ind w:firstLine="0" w:firstLineChars="0"/>
              <w:jc w:val="center"/>
              <w:rPr>
                <w:b w:val="0"/>
                <w:bCs w:val="0"/>
                <w:color w:val="auto"/>
                <w:szCs w:val="21"/>
              </w:rPr>
            </w:pPr>
            <w:r>
              <w:rPr>
                <w:b w:val="0"/>
                <w:bCs w:val="0"/>
                <w:color w:val="auto"/>
                <w:szCs w:val="21"/>
              </w:rPr>
              <w:t>时段</w:t>
            </w:r>
          </w:p>
        </w:tc>
        <w:tc>
          <w:tcPr>
            <w:tcW w:w="683" w:type="pct"/>
            <w:tcBorders>
              <w:tl2br w:val="nil"/>
              <w:tr2bl w:val="nil"/>
            </w:tcBorders>
            <w:vAlign w:val="center"/>
          </w:tcPr>
          <w:p w14:paraId="6083BF20">
            <w:pPr>
              <w:pStyle w:val="154"/>
              <w:spacing w:line="240" w:lineRule="auto"/>
              <w:ind w:firstLine="0" w:firstLineChars="0"/>
              <w:jc w:val="center"/>
              <w:rPr>
                <w:b w:val="0"/>
                <w:bCs w:val="0"/>
                <w:color w:val="auto"/>
                <w:szCs w:val="21"/>
              </w:rPr>
            </w:pPr>
            <w:r>
              <w:rPr>
                <w:rFonts w:hint="eastAsia"/>
                <w:b w:val="0"/>
                <w:bCs w:val="0"/>
                <w:color w:val="auto"/>
                <w:szCs w:val="21"/>
              </w:rPr>
              <w:t>源强</w:t>
            </w:r>
          </w:p>
        </w:tc>
        <w:tc>
          <w:tcPr>
            <w:tcW w:w="856" w:type="pct"/>
            <w:tcBorders>
              <w:tl2br w:val="nil"/>
              <w:tr2bl w:val="nil"/>
            </w:tcBorders>
            <w:vAlign w:val="center"/>
          </w:tcPr>
          <w:p w14:paraId="3948235D">
            <w:pPr>
              <w:pStyle w:val="154"/>
              <w:spacing w:line="240" w:lineRule="auto"/>
              <w:ind w:firstLine="0" w:firstLineChars="0"/>
              <w:jc w:val="center"/>
              <w:rPr>
                <w:b w:val="0"/>
                <w:bCs w:val="0"/>
                <w:color w:val="auto"/>
                <w:szCs w:val="21"/>
              </w:rPr>
            </w:pPr>
            <w:r>
              <w:rPr>
                <w:rFonts w:hint="eastAsia"/>
                <w:b w:val="0"/>
                <w:bCs w:val="0"/>
                <w:color w:val="auto"/>
                <w:szCs w:val="21"/>
              </w:rPr>
              <w:t>l</w:t>
            </w:r>
            <w:r>
              <w:rPr>
                <w:b w:val="0"/>
                <w:bCs w:val="0"/>
                <w:color w:val="auto"/>
                <w:szCs w:val="21"/>
                <w:vertAlign w:val="subscript"/>
              </w:rPr>
              <w:t>0</w:t>
            </w:r>
          </w:p>
        </w:tc>
        <w:tc>
          <w:tcPr>
            <w:tcW w:w="939" w:type="pct"/>
            <w:tcBorders>
              <w:tl2br w:val="nil"/>
              <w:tr2bl w:val="nil"/>
            </w:tcBorders>
            <w:vAlign w:val="center"/>
          </w:tcPr>
          <w:p w14:paraId="1F81807A">
            <w:pPr>
              <w:pStyle w:val="154"/>
              <w:spacing w:line="240" w:lineRule="auto"/>
              <w:ind w:firstLine="0" w:firstLineChars="0"/>
              <w:jc w:val="center"/>
              <w:rPr>
                <w:b w:val="0"/>
                <w:bCs w:val="0"/>
                <w:color w:val="auto"/>
                <w:szCs w:val="21"/>
              </w:rPr>
            </w:pPr>
            <w:r>
              <w:rPr>
                <w:rFonts w:hint="eastAsia"/>
                <w:b w:val="0"/>
                <w:bCs w:val="0"/>
                <w:color w:val="auto"/>
                <w:szCs w:val="21"/>
              </w:rPr>
              <w:t>距离（</w:t>
            </w:r>
            <w:r>
              <w:rPr>
                <w:b w:val="0"/>
                <w:bCs w:val="0"/>
                <w:color w:val="auto"/>
                <w:szCs w:val="21"/>
              </w:rPr>
              <w:t>r</w:t>
            </w:r>
            <w:r>
              <w:rPr>
                <w:rFonts w:hint="eastAsia"/>
                <w:b w:val="0"/>
                <w:bCs w:val="0"/>
                <w:color w:val="auto"/>
                <w:szCs w:val="21"/>
              </w:rPr>
              <w:t>）</w:t>
            </w:r>
          </w:p>
        </w:tc>
        <w:tc>
          <w:tcPr>
            <w:tcW w:w="1243" w:type="pct"/>
            <w:tcBorders>
              <w:tl2br w:val="nil"/>
              <w:tr2bl w:val="nil"/>
            </w:tcBorders>
            <w:shd w:val="clear" w:color="auto" w:fill="auto"/>
            <w:vAlign w:val="center"/>
          </w:tcPr>
          <w:p w14:paraId="462A8C0E">
            <w:pPr>
              <w:pStyle w:val="154"/>
              <w:spacing w:line="240" w:lineRule="auto"/>
              <w:ind w:firstLine="0" w:firstLineChars="0"/>
              <w:jc w:val="center"/>
              <w:rPr>
                <w:b w:val="0"/>
                <w:bCs w:val="0"/>
                <w:color w:val="auto"/>
                <w:szCs w:val="21"/>
              </w:rPr>
            </w:pPr>
            <w:r>
              <w:rPr>
                <w:b w:val="0"/>
                <w:bCs w:val="0"/>
                <w:color w:val="auto"/>
                <w:szCs w:val="21"/>
              </w:rPr>
              <w:t>贡献值</w:t>
            </w:r>
          </w:p>
        </w:tc>
      </w:tr>
      <w:tr w14:paraId="4BE189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1D791E52">
            <w:pPr>
              <w:pStyle w:val="154"/>
              <w:spacing w:line="240" w:lineRule="auto"/>
              <w:ind w:firstLine="0" w:firstLineChars="0"/>
              <w:jc w:val="center"/>
              <w:rPr>
                <w:b w:val="0"/>
                <w:bCs w:val="0"/>
                <w:color w:val="auto"/>
                <w:szCs w:val="21"/>
              </w:rPr>
            </w:pPr>
            <w:r>
              <w:rPr>
                <w:rFonts w:hint="eastAsia"/>
                <w:b w:val="0"/>
                <w:bCs w:val="0"/>
                <w:color w:val="auto"/>
                <w:szCs w:val="21"/>
              </w:rPr>
              <w:t>北厂界</w:t>
            </w:r>
          </w:p>
        </w:tc>
        <w:tc>
          <w:tcPr>
            <w:tcW w:w="673" w:type="pct"/>
            <w:tcBorders>
              <w:tl2br w:val="nil"/>
              <w:tr2bl w:val="nil"/>
            </w:tcBorders>
            <w:shd w:val="clear" w:color="auto" w:fill="auto"/>
            <w:vAlign w:val="center"/>
          </w:tcPr>
          <w:p w14:paraId="4A8D0296">
            <w:pPr>
              <w:pStyle w:val="154"/>
              <w:spacing w:line="240" w:lineRule="auto"/>
              <w:ind w:firstLine="0" w:firstLineChars="0"/>
              <w:jc w:val="center"/>
              <w:rPr>
                <w:b w:val="0"/>
                <w:bCs w:val="0"/>
                <w:color w:val="auto"/>
                <w:szCs w:val="21"/>
              </w:rPr>
            </w:pPr>
            <w:r>
              <w:rPr>
                <w:b w:val="0"/>
                <w:bCs w:val="0"/>
                <w:color w:val="auto"/>
                <w:szCs w:val="21"/>
              </w:rPr>
              <w:t>昼</w:t>
            </w:r>
            <w:r>
              <w:rPr>
                <w:rFonts w:hint="eastAsia"/>
                <w:b w:val="0"/>
                <w:bCs w:val="0"/>
                <w:color w:val="auto"/>
                <w:szCs w:val="21"/>
              </w:rPr>
              <w:t>、夜</w:t>
            </w:r>
          </w:p>
        </w:tc>
        <w:tc>
          <w:tcPr>
            <w:tcW w:w="683" w:type="pct"/>
            <w:tcBorders>
              <w:tl2br w:val="nil"/>
              <w:tr2bl w:val="nil"/>
            </w:tcBorders>
            <w:vAlign w:val="center"/>
          </w:tcPr>
          <w:p w14:paraId="1EA90352">
            <w:pPr>
              <w:pStyle w:val="154"/>
              <w:spacing w:line="240" w:lineRule="auto"/>
              <w:ind w:firstLine="0" w:firstLineChars="0"/>
              <w:jc w:val="center"/>
              <w:rPr>
                <w:b w:val="0"/>
                <w:bCs w:val="0"/>
                <w:color w:val="auto"/>
                <w:szCs w:val="21"/>
              </w:rPr>
            </w:pPr>
            <w:r>
              <w:rPr>
                <w:rFonts w:hint="eastAsia"/>
                <w:b w:val="0"/>
                <w:bCs w:val="0"/>
                <w:color w:val="auto"/>
                <w:szCs w:val="21"/>
              </w:rPr>
              <w:t>60</w:t>
            </w:r>
          </w:p>
        </w:tc>
        <w:tc>
          <w:tcPr>
            <w:tcW w:w="856" w:type="pct"/>
            <w:tcBorders>
              <w:tl2br w:val="nil"/>
              <w:tr2bl w:val="nil"/>
            </w:tcBorders>
            <w:vAlign w:val="center"/>
          </w:tcPr>
          <w:p w14:paraId="54F11790">
            <w:pPr>
              <w:pStyle w:val="154"/>
              <w:spacing w:line="240" w:lineRule="auto"/>
              <w:ind w:firstLine="0" w:firstLineChars="0"/>
              <w:jc w:val="center"/>
              <w:rPr>
                <w:b w:val="0"/>
                <w:bCs w:val="0"/>
                <w:color w:val="auto"/>
                <w:szCs w:val="21"/>
              </w:rPr>
            </w:pPr>
            <w:r>
              <w:rPr>
                <w:rFonts w:hint="eastAsia"/>
                <w:b w:val="0"/>
                <w:bCs w:val="0"/>
                <w:color w:val="auto"/>
                <w:szCs w:val="21"/>
              </w:rPr>
              <w:t>5</w:t>
            </w:r>
            <w:r>
              <w:rPr>
                <w:b w:val="0"/>
                <w:bCs w:val="0"/>
                <w:color w:val="auto"/>
                <w:szCs w:val="21"/>
              </w:rPr>
              <w:t>0</w:t>
            </w:r>
          </w:p>
        </w:tc>
        <w:tc>
          <w:tcPr>
            <w:tcW w:w="939" w:type="pct"/>
            <w:tcBorders>
              <w:tl2br w:val="nil"/>
              <w:tr2bl w:val="nil"/>
            </w:tcBorders>
            <w:vAlign w:val="center"/>
          </w:tcPr>
          <w:p w14:paraId="4021C0AF">
            <w:pPr>
              <w:pStyle w:val="154"/>
              <w:spacing w:line="240" w:lineRule="auto"/>
              <w:ind w:firstLine="0" w:firstLineChars="0"/>
              <w:jc w:val="center"/>
              <w:rPr>
                <w:b w:val="0"/>
                <w:bCs w:val="0"/>
                <w:color w:val="auto"/>
                <w:szCs w:val="21"/>
              </w:rPr>
            </w:pPr>
            <w:r>
              <w:rPr>
                <w:b w:val="0"/>
                <w:bCs w:val="0"/>
                <w:color w:val="auto"/>
                <w:szCs w:val="21"/>
              </w:rPr>
              <w:t>10</w:t>
            </w:r>
          </w:p>
        </w:tc>
        <w:tc>
          <w:tcPr>
            <w:tcW w:w="1243" w:type="pct"/>
            <w:tcBorders>
              <w:tl2br w:val="nil"/>
              <w:tr2bl w:val="nil"/>
            </w:tcBorders>
            <w:shd w:val="clear" w:color="auto" w:fill="auto"/>
            <w:vAlign w:val="center"/>
          </w:tcPr>
          <w:p w14:paraId="69E9DD74">
            <w:pPr>
              <w:pStyle w:val="154"/>
              <w:spacing w:line="240" w:lineRule="auto"/>
              <w:ind w:firstLine="0" w:firstLineChars="0"/>
              <w:jc w:val="center"/>
              <w:rPr>
                <w:b w:val="0"/>
                <w:bCs w:val="0"/>
                <w:color w:val="auto"/>
                <w:szCs w:val="21"/>
              </w:rPr>
            </w:pPr>
            <w:r>
              <w:rPr>
                <w:b w:val="0"/>
                <w:bCs w:val="0"/>
                <w:color w:val="auto"/>
                <w:szCs w:val="21"/>
              </w:rPr>
              <w:t>54.54</w:t>
            </w:r>
          </w:p>
        </w:tc>
      </w:tr>
      <w:tr w14:paraId="6AF47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26723A73">
            <w:pPr>
              <w:pStyle w:val="154"/>
              <w:spacing w:line="240" w:lineRule="auto"/>
              <w:ind w:firstLine="0" w:firstLineChars="0"/>
              <w:jc w:val="center"/>
              <w:rPr>
                <w:b w:val="0"/>
                <w:bCs w:val="0"/>
                <w:color w:val="auto"/>
                <w:szCs w:val="21"/>
              </w:rPr>
            </w:pPr>
            <w:r>
              <w:rPr>
                <w:rFonts w:hint="eastAsia"/>
                <w:b w:val="0"/>
                <w:bCs w:val="0"/>
                <w:color w:val="auto"/>
                <w:szCs w:val="21"/>
              </w:rPr>
              <w:t>西厂界</w:t>
            </w:r>
          </w:p>
        </w:tc>
        <w:tc>
          <w:tcPr>
            <w:tcW w:w="673" w:type="pct"/>
            <w:tcBorders>
              <w:tl2br w:val="nil"/>
              <w:tr2bl w:val="nil"/>
            </w:tcBorders>
            <w:shd w:val="clear" w:color="auto" w:fill="auto"/>
            <w:vAlign w:val="center"/>
          </w:tcPr>
          <w:p w14:paraId="073927D8">
            <w:pPr>
              <w:pStyle w:val="154"/>
              <w:spacing w:line="240" w:lineRule="auto"/>
              <w:ind w:firstLine="0" w:firstLineChars="0"/>
              <w:jc w:val="center"/>
              <w:rPr>
                <w:b w:val="0"/>
                <w:bCs w:val="0"/>
                <w:color w:val="auto"/>
                <w:szCs w:val="21"/>
              </w:rPr>
            </w:pPr>
            <w:r>
              <w:rPr>
                <w:b w:val="0"/>
                <w:bCs w:val="0"/>
                <w:color w:val="auto"/>
                <w:szCs w:val="21"/>
              </w:rPr>
              <w:t>昼</w:t>
            </w:r>
            <w:r>
              <w:rPr>
                <w:rFonts w:hint="eastAsia"/>
                <w:b w:val="0"/>
                <w:bCs w:val="0"/>
                <w:color w:val="auto"/>
                <w:szCs w:val="21"/>
              </w:rPr>
              <w:t>、夜</w:t>
            </w:r>
          </w:p>
        </w:tc>
        <w:tc>
          <w:tcPr>
            <w:tcW w:w="683" w:type="pct"/>
            <w:tcBorders>
              <w:tl2br w:val="nil"/>
              <w:tr2bl w:val="nil"/>
            </w:tcBorders>
            <w:vAlign w:val="center"/>
          </w:tcPr>
          <w:p w14:paraId="36BA49AF">
            <w:pPr>
              <w:pStyle w:val="154"/>
              <w:spacing w:line="240" w:lineRule="auto"/>
              <w:ind w:firstLine="0" w:firstLineChars="0"/>
              <w:jc w:val="center"/>
              <w:rPr>
                <w:b w:val="0"/>
                <w:bCs w:val="0"/>
                <w:color w:val="auto"/>
                <w:szCs w:val="21"/>
              </w:rPr>
            </w:pPr>
            <w:r>
              <w:rPr>
                <w:rFonts w:hint="eastAsia"/>
                <w:b w:val="0"/>
                <w:bCs w:val="0"/>
                <w:color w:val="auto"/>
                <w:szCs w:val="21"/>
              </w:rPr>
              <w:t>60</w:t>
            </w:r>
          </w:p>
        </w:tc>
        <w:tc>
          <w:tcPr>
            <w:tcW w:w="856" w:type="pct"/>
            <w:tcBorders>
              <w:tl2br w:val="nil"/>
              <w:tr2bl w:val="nil"/>
            </w:tcBorders>
            <w:vAlign w:val="center"/>
          </w:tcPr>
          <w:p w14:paraId="23A98B9A">
            <w:pPr>
              <w:pStyle w:val="154"/>
              <w:spacing w:line="240" w:lineRule="auto"/>
              <w:ind w:firstLine="0" w:firstLineChars="0"/>
              <w:jc w:val="center"/>
              <w:rPr>
                <w:b w:val="0"/>
                <w:bCs w:val="0"/>
                <w:color w:val="auto"/>
                <w:szCs w:val="21"/>
              </w:rPr>
            </w:pPr>
            <w:r>
              <w:rPr>
                <w:b w:val="0"/>
                <w:bCs w:val="0"/>
                <w:color w:val="auto"/>
                <w:szCs w:val="21"/>
              </w:rPr>
              <w:t>240</w:t>
            </w:r>
          </w:p>
        </w:tc>
        <w:tc>
          <w:tcPr>
            <w:tcW w:w="939" w:type="pct"/>
            <w:tcBorders>
              <w:tl2br w:val="nil"/>
              <w:tr2bl w:val="nil"/>
            </w:tcBorders>
            <w:vAlign w:val="center"/>
          </w:tcPr>
          <w:p w14:paraId="3A5D624C">
            <w:pPr>
              <w:pStyle w:val="154"/>
              <w:spacing w:line="240" w:lineRule="auto"/>
              <w:ind w:firstLine="0" w:firstLineChars="0"/>
              <w:jc w:val="center"/>
              <w:rPr>
                <w:b w:val="0"/>
                <w:bCs w:val="0"/>
                <w:color w:val="auto"/>
                <w:szCs w:val="21"/>
              </w:rPr>
            </w:pPr>
            <w:r>
              <w:rPr>
                <w:b w:val="0"/>
                <w:bCs w:val="0"/>
                <w:color w:val="auto"/>
                <w:szCs w:val="21"/>
              </w:rPr>
              <w:t>20</w:t>
            </w:r>
          </w:p>
        </w:tc>
        <w:tc>
          <w:tcPr>
            <w:tcW w:w="1243" w:type="pct"/>
            <w:tcBorders>
              <w:tl2br w:val="nil"/>
              <w:tr2bl w:val="nil"/>
            </w:tcBorders>
            <w:shd w:val="clear" w:color="auto" w:fill="auto"/>
            <w:vAlign w:val="center"/>
          </w:tcPr>
          <w:p w14:paraId="2B90BECC">
            <w:pPr>
              <w:pStyle w:val="154"/>
              <w:spacing w:line="240" w:lineRule="auto"/>
              <w:ind w:firstLine="0" w:firstLineChars="0"/>
              <w:jc w:val="center"/>
              <w:rPr>
                <w:b w:val="0"/>
                <w:bCs w:val="0"/>
                <w:color w:val="auto"/>
                <w:szCs w:val="21"/>
              </w:rPr>
            </w:pPr>
            <w:r>
              <w:rPr>
                <w:b w:val="0"/>
                <w:bCs w:val="0"/>
                <w:color w:val="auto"/>
                <w:szCs w:val="21"/>
              </w:rPr>
              <w:t>53.05</w:t>
            </w:r>
          </w:p>
        </w:tc>
      </w:tr>
      <w:tr w14:paraId="0E82F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3EEC8724">
            <w:pPr>
              <w:pStyle w:val="154"/>
              <w:spacing w:line="240" w:lineRule="auto"/>
              <w:ind w:firstLine="0" w:firstLineChars="0"/>
              <w:jc w:val="center"/>
              <w:rPr>
                <w:b w:val="0"/>
                <w:bCs w:val="0"/>
                <w:color w:val="auto"/>
                <w:szCs w:val="21"/>
              </w:rPr>
            </w:pPr>
            <w:r>
              <w:rPr>
                <w:rFonts w:hint="eastAsia"/>
                <w:b w:val="0"/>
                <w:bCs w:val="0"/>
                <w:color w:val="auto"/>
                <w:szCs w:val="21"/>
              </w:rPr>
              <w:t>南厂界</w:t>
            </w:r>
          </w:p>
        </w:tc>
        <w:tc>
          <w:tcPr>
            <w:tcW w:w="673" w:type="pct"/>
            <w:tcBorders>
              <w:tl2br w:val="nil"/>
              <w:tr2bl w:val="nil"/>
            </w:tcBorders>
            <w:shd w:val="clear" w:color="auto" w:fill="auto"/>
            <w:vAlign w:val="center"/>
          </w:tcPr>
          <w:p w14:paraId="13093624">
            <w:pPr>
              <w:pStyle w:val="154"/>
              <w:spacing w:line="240" w:lineRule="auto"/>
              <w:ind w:firstLine="0" w:firstLineChars="0"/>
              <w:jc w:val="center"/>
              <w:rPr>
                <w:b w:val="0"/>
                <w:bCs w:val="0"/>
                <w:color w:val="auto"/>
                <w:szCs w:val="21"/>
              </w:rPr>
            </w:pPr>
            <w:r>
              <w:rPr>
                <w:b w:val="0"/>
                <w:bCs w:val="0"/>
                <w:color w:val="auto"/>
                <w:szCs w:val="21"/>
              </w:rPr>
              <w:t>昼</w:t>
            </w:r>
            <w:r>
              <w:rPr>
                <w:rFonts w:hint="eastAsia"/>
                <w:b w:val="0"/>
                <w:bCs w:val="0"/>
                <w:color w:val="auto"/>
                <w:szCs w:val="21"/>
              </w:rPr>
              <w:t>、夜</w:t>
            </w:r>
          </w:p>
        </w:tc>
        <w:tc>
          <w:tcPr>
            <w:tcW w:w="683" w:type="pct"/>
            <w:tcBorders>
              <w:tl2br w:val="nil"/>
              <w:tr2bl w:val="nil"/>
            </w:tcBorders>
            <w:vAlign w:val="center"/>
          </w:tcPr>
          <w:p w14:paraId="636EB02F">
            <w:pPr>
              <w:pStyle w:val="154"/>
              <w:spacing w:line="240" w:lineRule="auto"/>
              <w:ind w:firstLine="0" w:firstLineChars="0"/>
              <w:jc w:val="center"/>
              <w:rPr>
                <w:b w:val="0"/>
                <w:bCs w:val="0"/>
                <w:color w:val="auto"/>
                <w:szCs w:val="21"/>
              </w:rPr>
            </w:pPr>
            <w:r>
              <w:rPr>
                <w:rFonts w:hint="eastAsia"/>
                <w:b w:val="0"/>
                <w:bCs w:val="0"/>
                <w:color w:val="auto"/>
                <w:szCs w:val="21"/>
              </w:rPr>
              <w:t>60</w:t>
            </w:r>
          </w:p>
        </w:tc>
        <w:tc>
          <w:tcPr>
            <w:tcW w:w="856" w:type="pct"/>
            <w:tcBorders>
              <w:tl2br w:val="nil"/>
              <w:tr2bl w:val="nil"/>
            </w:tcBorders>
            <w:vAlign w:val="center"/>
          </w:tcPr>
          <w:p w14:paraId="2869E241">
            <w:pPr>
              <w:pStyle w:val="154"/>
              <w:spacing w:line="240" w:lineRule="auto"/>
              <w:ind w:firstLine="0" w:firstLineChars="0"/>
              <w:jc w:val="center"/>
              <w:rPr>
                <w:b w:val="0"/>
                <w:bCs w:val="0"/>
                <w:color w:val="auto"/>
                <w:szCs w:val="21"/>
              </w:rPr>
            </w:pPr>
            <w:r>
              <w:rPr>
                <w:rFonts w:hint="eastAsia"/>
                <w:b w:val="0"/>
                <w:bCs w:val="0"/>
                <w:color w:val="auto"/>
                <w:szCs w:val="21"/>
              </w:rPr>
              <w:t>5</w:t>
            </w:r>
            <w:r>
              <w:rPr>
                <w:b w:val="0"/>
                <w:bCs w:val="0"/>
                <w:color w:val="auto"/>
                <w:szCs w:val="21"/>
              </w:rPr>
              <w:t>0</w:t>
            </w:r>
          </w:p>
        </w:tc>
        <w:tc>
          <w:tcPr>
            <w:tcW w:w="939" w:type="pct"/>
            <w:tcBorders>
              <w:tl2br w:val="nil"/>
              <w:tr2bl w:val="nil"/>
            </w:tcBorders>
            <w:vAlign w:val="center"/>
          </w:tcPr>
          <w:p w14:paraId="01198FAA">
            <w:pPr>
              <w:pStyle w:val="154"/>
              <w:spacing w:line="240" w:lineRule="auto"/>
              <w:ind w:firstLine="0" w:firstLineChars="0"/>
              <w:jc w:val="center"/>
              <w:rPr>
                <w:b w:val="0"/>
                <w:bCs w:val="0"/>
                <w:color w:val="auto"/>
                <w:szCs w:val="21"/>
              </w:rPr>
            </w:pPr>
            <w:r>
              <w:rPr>
                <w:b w:val="0"/>
                <w:bCs w:val="0"/>
                <w:color w:val="auto"/>
                <w:szCs w:val="21"/>
              </w:rPr>
              <w:t>120</w:t>
            </w:r>
          </w:p>
        </w:tc>
        <w:tc>
          <w:tcPr>
            <w:tcW w:w="1243" w:type="pct"/>
            <w:tcBorders>
              <w:tl2br w:val="nil"/>
              <w:tr2bl w:val="nil"/>
            </w:tcBorders>
            <w:shd w:val="clear" w:color="auto" w:fill="auto"/>
            <w:vAlign w:val="center"/>
          </w:tcPr>
          <w:p w14:paraId="4CA91B23">
            <w:pPr>
              <w:pStyle w:val="154"/>
              <w:spacing w:line="240" w:lineRule="auto"/>
              <w:ind w:firstLine="0" w:firstLineChars="0"/>
              <w:jc w:val="center"/>
              <w:rPr>
                <w:b w:val="0"/>
                <w:bCs w:val="0"/>
                <w:color w:val="auto"/>
                <w:szCs w:val="21"/>
              </w:rPr>
            </w:pPr>
            <w:r>
              <w:rPr>
                <w:b w:val="0"/>
                <w:bCs w:val="0"/>
                <w:color w:val="auto"/>
                <w:szCs w:val="21"/>
              </w:rPr>
              <w:t>36.92</w:t>
            </w:r>
          </w:p>
        </w:tc>
      </w:tr>
      <w:tr w14:paraId="67363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517B12E2">
            <w:pPr>
              <w:pStyle w:val="154"/>
              <w:spacing w:line="240" w:lineRule="auto"/>
              <w:ind w:firstLine="0" w:firstLineChars="0"/>
              <w:jc w:val="center"/>
              <w:rPr>
                <w:b w:val="0"/>
                <w:bCs w:val="0"/>
                <w:color w:val="auto"/>
                <w:szCs w:val="21"/>
              </w:rPr>
            </w:pPr>
            <w:r>
              <w:rPr>
                <w:rFonts w:hint="eastAsia"/>
                <w:b w:val="0"/>
                <w:bCs w:val="0"/>
                <w:color w:val="auto"/>
                <w:szCs w:val="21"/>
              </w:rPr>
              <w:t>东厂界</w:t>
            </w:r>
          </w:p>
        </w:tc>
        <w:tc>
          <w:tcPr>
            <w:tcW w:w="673" w:type="pct"/>
            <w:tcBorders>
              <w:tl2br w:val="nil"/>
              <w:tr2bl w:val="nil"/>
            </w:tcBorders>
            <w:shd w:val="clear" w:color="auto" w:fill="auto"/>
            <w:vAlign w:val="center"/>
          </w:tcPr>
          <w:p w14:paraId="79903B32">
            <w:pPr>
              <w:pStyle w:val="154"/>
              <w:spacing w:line="240" w:lineRule="auto"/>
              <w:ind w:firstLine="0" w:firstLineChars="0"/>
              <w:jc w:val="center"/>
              <w:rPr>
                <w:b w:val="0"/>
                <w:bCs w:val="0"/>
                <w:color w:val="auto"/>
                <w:szCs w:val="21"/>
              </w:rPr>
            </w:pPr>
            <w:r>
              <w:rPr>
                <w:b w:val="0"/>
                <w:bCs w:val="0"/>
                <w:color w:val="auto"/>
                <w:szCs w:val="21"/>
              </w:rPr>
              <w:t>昼</w:t>
            </w:r>
            <w:r>
              <w:rPr>
                <w:rFonts w:hint="eastAsia"/>
                <w:b w:val="0"/>
                <w:bCs w:val="0"/>
                <w:color w:val="auto"/>
                <w:szCs w:val="21"/>
              </w:rPr>
              <w:t>、夜</w:t>
            </w:r>
          </w:p>
        </w:tc>
        <w:tc>
          <w:tcPr>
            <w:tcW w:w="683" w:type="pct"/>
            <w:tcBorders>
              <w:tl2br w:val="nil"/>
              <w:tr2bl w:val="nil"/>
            </w:tcBorders>
            <w:vAlign w:val="center"/>
          </w:tcPr>
          <w:p w14:paraId="2D3BD7DD">
            <w:pPr>
              <w:pStyle w:val="154"/>
              <w:spacing w:line="240" w:lineRule="auto"/>
              <w:ind w:firstLine="0" w:firstLineChars="0"/>
              <w:jc w:val="center"/>
              <w:rPr>
                <w:b w:val="0"/>
                <w:bCs w:val="0"/>
                <w:color w:val="auto"/>
                <w:szCs w:val="21"/>
              </w:rPr>
            </w:pPr>
            <w:r>
              <w:rPr>
                <w:rFonts w:hint="eastAsia"/>
                <w:b w:val="0"/>
                <w:bCs w:val="0"/>
                <w:color w:val="auto"/>
                <w:szCs w:val="21"/>
              </w:rPr>
              <w:t>60</w:t>
            </w:r>
          </w:p>
        </w:tc>
        <w:tc>
          <w:tcPr>
            <w:tcW w:w="856" w:type="pct"/>
            <w:tcBorders>
              <w:tl2br w:val="nil"/>
              <w:tr2bl w:val="nil"/>
            </w:tcBorders>
            <w:vAlign w:val="center"/>
          </w:tcPr>
          <w:p w14:paraId="6BD505EF">
            <w:pPr>
              <w:pStyle w:val="154"/>
              <w:spacing w:line="240" w:lineRule="auto"/>
              <w:ind w:firstLine="0" w:firstLineChars="0"/>
              <w:jc w:val="center"/>
              <w:rPr>
                <w:b w:val="0"/>
                <w:bCs w:val="0"/>
                <w:color w:val="auto"/>
                <w:szCs w:val="21"/>
              </w:rPr>
            </w:pPr>
            <w:r>
              <w:rPr>
                <w:rFonts w:hint="eastAsia"/>
                <w:b w:val="0"/>
                <w:bCs w:val="0"/>
                <w:color w:val="auto"/>
                <w:szCs w:val="21"/>
              </w:rPr>
              <w:t>2</w:t>
            </w:r>
            <w:r>
              <w:rPr>
                <w:b w:val="0"/>
                <w:bCs w:val="0"/>
                <w:color w:val="auto"/>
                <w:szCs w:val="21"/>
              </w:rPr>
              <w:t>40</w:t>
            </w:r>
          </w:p>
        </w:tc>
        <w:tc>
          <w:tcPr>
            <w:tcW w:w="939" w:type="pct"/>
            <w:tcBorders>
              <w:tl2br w:val="nil"/>
              <w:tr2bl w:val="nil"/>
            </w:tcBorders>
            <w:vAlign w:val="center"/>
          </w:tcPr>
          <w:p w14:paraId="66519B0E">
            <w:pPr>
              <w:pStyle w:val="154"/>
              <w:spacing w:line="240" w:lineRule="auto"/>
              <w:ind w:firstLine="0" w:firstLineChars="0"/>
              <w:jc w:val="center"/>
              <w:rPr>
                <w:b w:val="0"/>
                <w:bCs w:val="0"/>
                <w:color w:val="auto"/>
                <w:szCs w:val="21"/>
              </w:rPr>
            </w:pPr>
            <w:r>
              <w:rPr>
                <w:b w:val="0"/>
                <w:bCs w:val="0"/>
                <w:color w:val="auto"/>
                <w:szCs w:val="21"/>
              </w:rPr>
              <w:t>10</w:t>
            </w:r>
          </w:p>
        </w:tc>
        <w:tc>
          <w:tcPr>
            <w:tcW w:w="1243" w:type="pct"/>
            <w:tcBorders>
              <w:tl2br w:val="nil"/>
              <w:tr2bl w:val="nil"/>
            </w:tcBorders>
            <w:shd w:val="clear" w:color="auto" w:fill="auto"/>
            <w:vAlign w:val="center"/>
          </w:tcPr>
          <w:p w14:paraId="63B66464">
            <w:pPr>
              <w:pStyle w:val="154"/>
              <w:spacing w:line="240" w:lineRule="auto"/>
              <w:ind w:firstLine="0" w:firstLineChars="0"/>
              <w:jc w:val="center"/>
              <w:rPr>
                <w:b w:val="0"/>
                <w:bCs w:val="0"/>
                <w:color w:val="auto"/>
                <w:szCs w:val="21"/>
              </w:rPr>
            </w:pPr>
            <w:r>
              <w:rPr>
                <w:b w:val="0"/>
                <w:bCs w:val="0"/>
                <w:color w:val="auto"/>
                <w:szCs w:val="21"/>
              </w:rPr>
              <w:t>54.91</w:t>
            </w:r>
          </w:p>
        </w:tc>
      </w:tr>
    </w:tbl>
    <w:p w14:paraId="25F38EAA">
      <w:pPr>
        <w:spacing w:line="500" w:lineRule="exact"/>
        <w:ind w:firstLine="504"/>
        <w:rPr>
          <w:spacing w:val="6"/>
        </w:rPr>
      </w:pPr>
      <w:r>
        <w:rPr>
          <w:rFonts w:hint="eastAsia"/>
          <w:spacing w:val="6"/>
        </w:rPr>
        <w:t>施工期厂界噪声预测值按点声源半自由场A</w:t>
      </w:r>
      <w:r>
        <w:rPr>
          <w:spacing w:val="6"/>
        </w:rPr>
        <w:t>.9</w:t>
      </w:r>
      <w:r>
        <w:rPr>
          <w:rFonts w:hint="eastAsia"/>
          <w:spacing w:val="6"/>
        </w:rPr>
        <w:t>计算：</w:t>
      </w:r>
    </w:p>
    <w:p w14:paraId="0BB4CA81">
      <w:pPr>
        <w:spacing w:line="240" w:lineRule="auto"/>
        <w:ind w:firstLine="480"/>
        <w:jc w:val="center"/>
        <w:rPr>
          <w:spacing w:val="6"/>
        </w:rPr>
      </w:pPr>
      <w:r>
        <w:rPr>
          <w:spacing w:val="6"/>
        </w:rPr>
        <w:drawing>
          <wp:inline distT="0" distB="0" distL="0" distR="0">
            <wp:extent cx="3573145" cy="354965"/>
            <wp:effectExtent l="0" t="0" r="825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3716380" cy="369132"/>
                    </a:xfrm>
                    <a:prstGeom prst="rect">
                      <a:avLst/>
                    </a:prstGeom>
                  </pic:spPr>
                </pic:pic>
              </a:graphicData>
            </a:graphic>
          </wp:inline>
        </w:drawing>
      </w:r>
    </w:p>
    <w:p w14:paraId="31C979ED">
      <w:pPr>
        <w:spacing w:line="500" w:lineRule="exact"/>
        <w:ind w:firstLine="504"/>
      </w:pPr>
      <w:r>
        <w:rPr>
          <w:rFonts w:hint="eastAsia"/>
          <w:spacing w:val="6"/>
        </w:rPr>
        <w:t>见表5</w:t>
      </w:r>
      <w:r>
        <w:rPr>
          <w:spacing w:val="6"/>
        </w:rPr>
        <w:t>.2-</w:t>
      </w:r>
      <w:r>
        <w:rPr>
          <w:rFonts w:hint="eastAsia"/>
          <w:spacing w:val="6"/>
        </w:rPr>
        <w:t>20。</w:t>
      </w:r>
    </w:p>
    <w:p w14:paraId="19574261">
      <w:pPr>
        <w:pStyle w:val="160"/>
        <w:ind w:firstLine="480"/>
        <w:rPr>
          <w:rFonts w:eastAsia="宋体"/>
          <w:b/>
          <w:bCs/>
        </w:rPr>
      </w:pPr>
      <w:r>
        <w:rPr>
          <w:rFonts w:eastAsia="宋体"/>
          <w:b/>
          <w:bCs/>
        </w:rPr>
        <w:t>表5.2-</w:t>
      </w:r>
      <w:r>
        <w:rPr>
          <w:rFonts w:hint="eastAsia" w:eastAsia="宋体"/>
          <w:b/>
          <w:bCs/>
        </w:rPr>
        <w:t>20施工期</w:t>
      </w:r>
      <w:r>
        <w:rPr>
          <w:rFonts w:eastAsia="宋体"/>
          <w:b/>
          <w:bCs/>
        </w:rPr>
        <w:t>厂界噪声预测值[dB</w:t>
      </w:r>
      <w:r>
        <w:rPr>
          <w:rFonts w:hint="eastAsia" w:eastAsia="宋体"/>
          <w:b/>
          <w:bCs/>
        </w:rPr>
        <w:t>（</w:t>
      </w:r>
      <w:r>
        <w:rPr>
          <w:rFonts w:eastAsia="宋体"/>
          <w:b/>
          <w:bCs/>
        </w:rPr>
        <w:t>A</w:t>
      </w:r>
      <w:r>
        <w:rPr>
          <w:rFonts w:hint="eastAsia" w:eastAsia="宋体"/>
          <w:b/>
          <w:bCs/>
        </w:rPr>
        <w:t>）</w:t>
      </w:r>
      <w:r>
        <w:rPr>
          <w:rFonts w:eastAsia="宋体"/>
          <w:b/>
          <w:bCs/>
        </w:rPr>
        <w:t>]</w:t>
      </w:r>
    </w:p>
    <w:tbl>
      <w:tblPr>
        <w:tblStyle w:val="3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69"/>
        <w:gridCol w:w="2240"/>
        <w:gridCol w:w="1704"/>
        <w:gridCol w:w="1704"/>
        <w:gridCol w:w="1705"/>
      </w:tblGrid>
      <w:tr w14:paraId="2E833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5" w:hRule="atLeast"/>
          <w:jc w:val="center"/>
        </w:trPr>
        <w:tc>
          <w:tcPr>
            <w:tcW w:w="686" w:type="pct"/>
            <w:tcBorders>
              <w:tl2br w:val="nil"/>
              <w:tr2bl w:val="nil"/>
            </w:tcBorders>
            <w:shd w:val="clear" w:color="auto" w:fill="auto"/>
            <w:vAlign w:val="center"/>
          </w:tcPr>
          <w:p w14:paraId="439A4F71">
            <w:pPr>
              <w:pStyle w:val="154"/>
              <w:spacing w:line="240" w:lineRule="auto"/>
              <w:ind w:firstLine="0" w:firstLineChars="0"/>
              <w:jc w:val="center"/>
              <w:rPr>
                <w:b w:val="0"/>
                <w:bCs w:val="0"/>
                <w:color w:val="auto"/>
                <w:szCs w:val="21"/>
              </w:rPr>
            </w:pPr>
            <w:r>
              <w:rPr>
                <w:b w:val="0"/>
                <w:bCs w:val="0"/>
                <w:color w:val="auto"/>
                <w:szCs w:val="21"/>
              </w:rPr>
              <w:t>序号</w:t>
            </w:r>
          </w:p>
        </w:tc>
        <w:tc>
          <w:tcPr>
            <w:tcW w:w="1314" w:type="pct"/>
            <w:tcBorders>
              <w:tl2br w:val="nil"/>
              <w:tr2bl w:val="nil"/>
            </w:tcBorders>
            <w:shd w:val="clear" w:color="auto" w:fill="auto"/>
            <w:vAlign w:val="center"/>
          </w:tcPr>
          <w:p w14:paraId="11E6717A">
            <w:pPr>
              <w:pStyle w:val="154"/>
              <w:spacing w:line="240" w:lineRule="auto"/>
              <w:ind w:firstLine="0" w:firstLineChars="0"/>
              <w:jc w:val="center"/>
              <w:rPr>
                <w:b w:val="0"/>
                <w:bCs w:val="0"/>
                <w:color w:val="auto"/>
                <w:szCs w:val="21"/>
              </w:rPr>
            </w:pPr>
            <w:r>
              <w:rPr>
                <w:b w:val="0"/>
                <w:bCs w:val="0"/>
                <w:color w:val="auto"/>
                <w:szCs w:val="21"/>
              </w:rPr>
              <w:t>时段</w:t>
            </w:r>
          </w:p>
        </w:tc>
        <w:tc>
          <w:tcPr>
            <w:tcW w:w="1000" w:type="pct"/>
            <w:tcBorders>
              <w:tl2br w:val="nil"/>
              <w:tr2bl w:val="nil"/>
            </w:tcBorders>
            <w:vAlign w:val="center"/>
          </w:tcPr>
          <w:p w14:paraId="509C1D7A">
            <w:pPr>
              <w:pStyle w:val="154"/>
              <w:spacing w:line="240" w:lineRule="auto"/>
              <w:ind w:firstLine="0" w:firstLineChars="0"/>
              <w:jc w:val="center"/>
              <w:rPr>
                <w:b w:val="0"/>
                <w:bCs w:val="0"/>
                <w:color w:val="auto"/>
                <w:szCs w:val="21"/>
              </w:rPr>
            </w:pPr>
            <w:r>
              <w:rPr>
                <w:rFonts w:hint="eastAsia"/>
                <w:b w:val="0"/>
                <w:bCs w:val="0"/>
                <w:color w:val="auto"/>
                <w:szCs w:val="21"/>
              </w:rPr>
              <w:t>源强</w:t>
            </w:r>
          </w:p>
        </w:tc>
        <w:tc>
          <w:tcPr>
            <w:tcW w:w="1000" w:type="pct"/>
            <w:tcBorders>
              <w:tl2br w:val="nil"/>
              <w:tr2bl w:val="nil"/>
            </w:tcBorders>
            <w:vAlign w:val="center"/>
          </w:tcPr>
          <w:p w14:paraId="1023A817">
            <w:pPr>
              <w:pStyle w:val="154"/>
              <w:spacing w:line="240" w:lineRule="auto"/>
              <w:ind w:firstLine="0" w:firstLineChars="0"/>
              <w:jc w:val="center"/>
              <w:rPr>
                <w:b w:val="0"/>
                <w:bCs w:val="0"/>
                <w:color w:val="auto"/>
                <w:szCs w:val="21"/>
              </w:rPr>
            </w:pPr>
            <w:r>
              <w:rPr>
                <w:rFonts w:hint="eastAsia"/>
                <w:b w:val="0"/>
                <w:bCs w:val="0"/>
                <w:color w:val="auto"/>
                <w:szCs w:val="21"/>
              </w:rPr>
              <w:t>距离</w:t>
            </w:r>
          </w:p>
        </w:tc>
        <w:tc>
          <w:tcPr>
            <w:tcW w:w="1000" w:type="pct"/>
            <w:tcBorders>
              <w:tl2br w:val="nil"/>
              <w:tr2bl w:val="nil"/>
            </w:tcBorders>
            <w:shd w:val="clear" w:color="auto" w:fill="auto"/>
            <w:vAlign w:val="center"/>
          </w:tcPr>
          <w:p w14:paraId="42F43ADE">
            <w:pPr>
              <w:pStyle w:val="154"/>
              <w:spacing w:line="240" w:lineRule="auto"/>
              <w:ind w:firstLine="0" w:firstLineChars="0"/>
              <w:jc w:val="center"/>
              <w:rPr>
                <w:b w:val="0"/>
                <w:bCs w:val="0"/>
                <w:color w:val="auto"/>
                <w:szCs w:val="21"/>
              </w:rPr>
            </w:pPr>
            <w:r>
              <w:rPr>
                <w:b w:val="0"/>
                <w:bCs w:val="0"/>
                <w:color w:val="auto"/>
                <w:szCs w:val="21"/>
              </w:rPr>
              <w:t>贡献值</w:t>
            </w:r>
          </w:p>
        </w:tc>
      </w:tr>
      <w:tr w14:paraId="44DCD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7C29C316">
            <w:pPr>
              <w:pStyle w:val="154"/>
              <w:spacing w:line="240" w:lineRule="auto"/>
              <w:ind w:firstLine="0" w:firstLineChars="0"/>
              <w:jc w:val="center"/>
              <w:rPr>
                <w:b w:val="0"/>
                <w:bCs w:val="0"/>
                <w:color w:val="auto"/>
                <w:szCs w:val="21"/>
              </w:rPr>
            </w:pPr>
            <w:r>
              <w:rPr>
                <w:rFonts w:hint="eastAsia"/>
                <w:b w:val="0"/>
                <w:bCs w:val="0"/>
                <w:color w:val="auto"/>
                <w:szCs w:val="21"/>
              </w:rPr>
              <w:t>北厂界</w:t>
            </w:r>
          </w:p>
        </w:tc>
        <w:tc>
          <w:tcPr>
            <w:tcW w:w="1314" w:type="pct"/>
            <w:tcBorders>
              <w:tl2br w:val="nil"/>
              <w:tr2bl w:val="nil"/>
            </w:tcBorders>
            <w:shd w:val="clear" w:color="auto" w:fill="auto"/>
            <w:vAlign w:val="center"/>
          </w:tcPr>
          <w:p w14:paraId="692E0C0A">
            <w:pPr>
              <w:pStyle w:val="154"/>
              <w:spacing w:line="240" w:lineRule="auto"/>
              <w:ind w:firstLine="0" w:firstLineChars="0"/>
              <w:jc w:val="center"/>
              <w:rPr>
                <w:b w:val="0"/>
                <w:bCs w:val="0"/>
                <w:color w:val="auto"/>
                <w:szCs w:val="21"/>
              </w:rPr>
            </w:pPr>
            <w:r>
              <w:rPr>
                <w:b w:val="0"/>
                <w:bCs w:val="0"/>
                <w:color w:val="auto"/>
                <w:szCs w:val="21"/>
              </w:rPr>
              <w:t>昼</w:t>
            </w:r>
          </w:p>
        </w:tc>
        <w:tc>
          <w:tcPr>
            <w:tcW w:w="1000" w:type="pct"/>
            <w:tcBorders>
              <w:tl2br w:val="nil"/>
              <w:tr2bl w:val="nil"/>
            </w:tcBorders>
          </w:tcPr>
          <w:p w14:paraId="2690CEF3">
            <w:pPr>
              <w:pStyle w:val="154"/>
              <w:spacing w:line="240" w:lineRule="auto"/>
              <w:ind w:firstLine="0" w:firstLineChars="0"/>
              <w:jc w:val="center"/>
              <w:rPr>
                <w:b w:val="0"/>
                <w:bCs w:val="0"/>
                <w:color w:val="auto"/>
                <w:szCs w:val="21"/>
              </w:rPr>
            </w:pPr>
            <w:r>
              <w:rPr>
                <w:rFonts w:hint="eastAsia"/>
                <w:b w:val="0"/>
                <w:bCs w:val="0"/>
                <w:color w:val="auto"/>
                <w:szCs w:val="21"/>
              </w:rPr>
              <w:t>7</w:t>
            </w:r>
            <w:r>
              <w:rPr>
                <w:b w:val="0"/>
                <w:bCs w:val="0"/>
                <w:color w:val="auto"/>
                <w:szCs w:val="21"/>
              </w:rPr>
              <w:t>0</w:t>
            </w:r>
          </w:p>
        </w:tc>
        <w:tc>
          <w:tcPr>
            <w:tcW w:w="1000" w:type="pct"/>
            <w:tcBorders>
              <w:tl2br w:val="nil"/>
              <w:tr2bl w:val="nil"/>
            </w:tcBorders>
          </w:tcPr>
          <w:p w14:paraId="1C6008A9">
            <w:pPr>
              <w:pStyle w:val="154"/>
              <w:spacing w:line="240" w:lineRule="auto"/>
              <w:ind w:firstLine="0" w:firstLineChars="0"/>
              <w:jc w:val="center"/>
              <w:rPr>
                <w:b w:val="0"/>
                <w:bCs w:val="0"/>
                <w:color w:val="auto"/>
                <w:szCs w:val="21"/>
              </w:rPr>
            </w:pPr>
            <w:r>
              <w:rPr>
                <w:b w:val="0"/>
                <w:bCs w:val="0"/>
                <w:color w:val="auto"/>
                <w:szCs w:val="21"/>
              </w:rPr>
              <w:t>35</w:t>
            </w:r>
          </w:p>
        </w:tc>
        <w:tc>
          <w:tcPr>
            <w:tcW w:w="1000" w:type="pct"/>
            <w:tcBorders>
              <w:tl2br w:val="nil"/>
              <w:tr2bl w:val="nil"/>
            </w:tcBorders>
            <w:shd w:val="clear" w:color="auto" w:fill="auto"/>
          </w:tcPr>
          <w:p w14:paraId="2B3900B4">
            <w:pPr>
              <w:pStyle w:val="154"/>
              <w:spacing w:line="240" w:lineRule="auto"/>
              <w:ind w:firstLine="0" w:firstLineChars="0"/>
              <w:jc w:val="center"/>
              <w:rPr>
                <w:b w:val="0"/>
                <w:bCs w:val="0"/>
                <w:color w:val="auto"/>
                <w:szCs w:val="21"/>
              </w:rPr>
            </w:pPr>
            <w:r>
              <w:rPr>
                <w:rFonts w:hint="eastAsia"/>
                <w:b w:val="0"/>
                <w:bCs w:val="0"/>
                <w:color w:val="auto"/>
                <w:szCs w:val="21"/>
              </w:rPr>
              <w:t>3</w:t>
            </w:r>
            <w:r>
              <w:rPr>
                <w:b w:val="0"/>
                <w:bCs w:val="0"/>
                <w:color w:val="auto"/>
                <w:szCs w:val="21"/>
              </w:rPr>
              <w:t>1.12</w:t>
            </w:r>
          </w:p>
        </w:tc>
      </w:tr>
      <w:tr w14:paraId="66655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66BA2EF1">
            <w:pPr>
              <w:pStyle w:val="154"/>
              <w:spacing w:line="240" w:lineRule="auto"/>
              <w:ind w:firstLine="0" w:firstLineChars="0"/>
              <w:jc w:val="center"/>
              <w:rPr>
                <w:b w:val="0"/>
                <w:bCs w:val="0"/>
                <w:color w:val="auto"/>
                <w:szCs w:val="21"/>
              </w:rPr>
            </w:pPr>
            <w:r>
              <w:rPr>
                <w:rFonts w:hint="eastAsia"/>
                <w:b w:val="0"/>
                <w:bCs w:val="0"/>
                <w:color w:val="auto"/>
                <w:szCs w:val="21"/>
              </w:rPr>
              <w:t>西厂界</w:t>
            </w:r>
          </w:p>
        </w:tc>
        <w:tc>
          <w:tcPr>
            <w:tcW w:w="1314" w:type="pct"/>
            <w:tcBorders>
              <w:tl2br w:val="nil"/>
              <w:tr2bl w:val="nil"/>
            </w:tcBorders>
            <w:shd w:val="clear" w:color="auto" w:fill="auto"/>
            <w:vAlign w:val="center"/>
          </w:tcPr>
          <w:p w14:paraId="0FA7AE38">
            <w:pPr>
              <w:pStyle w:val="154"/>
              <w:spacing w:line="240" w:lineRule="auto"/>
              <w:ind w:firstLine="0" w:firstLineChars="0"/>
              <w:jc w:val="center"/>
              <w:rPr>
                <w:b w:val="0"/>
                <w:bCs w:val="0"/>
                <w:color w:val="auto"/>
                <w:szCs w:val="21"/>
              </w:rPr>
            </w:pPr>
            <w:r>
              <w:rPr>
                <w:b w:val="0"/>
                <w:bCs w:val="0"/>
                <w:color w:val="auto"/>
                <w:szCs w:val="21"/>
              </w:rPr>
              <w:t>昼</w:t>
            </w:r>
          </w:p>
        </w:tc>
        <w:tc>
          <w:tcPr>
            <w:tcW w:w="1000" w:type="pct"/>
            <w:tcBorders>
              <w:tl2br w:val="nil"/>
              <w:tr2bl w:val="nil"/>
            </w:tcBorders>
          </w:tcPr>
          <w:p w14:paraId="2ED34594">
            <w:pPr>
              <w:pStyle w:val="154"/>
              <w:spacing w:line="240" w:lineRule="auto"/>
              <w:ind w:firstLine="0" w:firstLineChars="0"/>
              <w:jc w:val="center"/>
              <w:rPr>
                <w:b w:val="0"/>
                <w:bCs w:val="0"/>
                <w:color w:val="auto"/>
                <w:szCs w:val="21"/>
              </w:rPr>
            </w:pPr>
            <w:r>
              <w:rPr>
                <w:rFonts w:hint="eastAsia"/>
                <w:b w:val="0"/>
                <w:bCs w:val="0"/>
                <w:color w:val="auto"/>
                <w:szCs w:val="21"/>
              </w:rPr>
              <w:t>7</w:t>
            </w:r>
            <w:r>
              <w:rPr>
                <w:b w:val="0"/>
                <w:bCs w:val="0"/>
                <w:color w:val="auto"/>
                <w:szCs w:val="21"/>
              </w:rPr>
              <w:t>0</w:t>
            </w:r>
          </w:p>
        </w:tc>
        <w:tc>
          <w:tcPr>
            <w:tcW w:w="1000" w:type="pct"/>
            <w:tcBorders>
              <w:tl2br w:val="nil"/>
              <w:tr2bl w:val="nil"/>
            </w:tcBorders>
          </w:tcPr>
          <w:p w14:paraId="7A21112F">
            <w:pPr>
              <w:pStyle w:val="154"/>
              <w:spacing w:line="240" w:lineRule="auto"/>
              <w:ind w:firstLine="0" w:firstLineChars="0"/>
              <w:jc w:val="center"/>
              <w:rPr>
                <w:b w:val="0"/>
                <w:bCs w:val="0"/>
                <w:color w:val="auto"/>
                <w:szCs w:val="21"/>
              </w:rPr>
            </w:pPr>
            <w:r>
              <w:rPr>
                <w:b w:val="0"/>
                <w:bCs w:val="0"/>
                <w:color w:val="auto"/>
                <w:szCs w:val="21"/>
              </w:rPr>
              <w:t>25</w:t>
            </w:r>
          </w:p>
        </w:tc>
        <w:tc>
          <w:tcPr>
            <w:tcW w:w="1000" w:type="pct"/>
            <w:tcBorders>
              <w:tl2br w:val="nil"/>
              <w:tr2bl w:val="nil"/>
            </w:tcBorders>
            <w:shd w:val="clear" w:color="auto" w:fill="auto"/>
          </w:tcPr>
          <w:p w14:paraId="619D30C8">
            <w:pPr>
              <w:pStyle w:val="154"/>
              <w:spacing w:line="240" w:lineRule="auto"/>
              <w:ind w:firstLine="0" w:firstLineChars="0"/>
              <w:jc w:val="center"/>
              <w:rPr>
                <w:b w:val="0"/>
                <w:bCs w:val="0"/>
                <w:color w:val="auto"/>
                <w:szCs w:val="21"/>
              </w:rPr>
            </w:pPr>
            <w:r>
              <w:rPr>
                <w:rFonts w:hint="eastAsia"/>
                <w:b w:val="0"/>
                <w:bCs w:val="0"/>
                <w:color w:val="auto"/>
                <w:szCs w:val="21"/>
              </w:rPr>
              <w:t>3</w:t>
            </w:r>
            <w:r>
              <w:rPr>
                <w:b w:val="0"/>
                <w:bCs w:val="0"/>
                <w:color w:val="auto"/>
                <w:szCs w:val="21"/>
              </w:rPr>
              <w:t>4.04</w:t>
            </w:r>
          </w:p>
        </w:tc>
      </w:tr>
      <w:tr w14:paraId="0BA8E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594CAA6C">
            <w:pPr>
              <w:pStyle w:val="154"/>
              <w:spacing w:line="240" w:lineRule="auto"/>
              <w:ind w:firstLine="0" w:firstLineChars="0"/>
              <w:jc w:val="center"/>
              <w:rPr>
                <w:b w:val="0"/>
                <w:bCs w:val="0"/>
                <w:color w:val="auto"/>
                <w:szCs w:val="21"/>
              </w:rPr>
            </w:pPr>
            <w:r>
              <w:rPr>
                <w:rFonts w:hint="eastAsia"/>
                <w:b w:val="0"/>
                <w:bCs w:val="0"/>
                <w:color w:val="auto"/>
                <w:szCs w:val="21"/>
              </w:rPr>
              <w:t>南厂界</w:t>
            </w:r>
          </w:p>
        </w:tc>
        <w:tc>
          <w:tcPr>
            <w:tcW w:w="1314" w:type="pct"/>
            <w:tcBorders>
              <w:tl2br w:val="nil"/>
              <w:tr2bl w:val="nil"/>
            </w:tcBorders>
            <w:shd w:val="clear" w:color="auto" w:fill="auto"/>
            <w:vAlign w:val="center"/>
          </w:tcPr>
          <w:p w14:paraId="6D32E299">
            <w:pPr>
              <w:pStyle w:val="154"/>
              <w:spacing w:line="240" w:lineRule="auto"/>
              <w:ind w:firstLine="0" w:firstLineChars="0"/>
              <w:jc w:val="center"/>
              <w:rPr>
                <w:b w:val="0"/>
                <w:bCs w:val="0"/>
                <w:color w:val="auto"/>
                <w:szCs w:val="21"/>
              </w:rPr>
            </w:pPr>
            <w:r>
              <w:rPr>
                <w:b w:val="0"/>
                <w:bCs w:val="0"/>
                <w:color w:val="auto"/>
                <w:szCs w:val="21"/>
              </w:rPr>
              <w:t>昼</w:t>
            </w:r>
          </w:p>
        </w:tc>
        <w:tc>
          <w:tcPr>
            <w:tcW w:w="1000" w:type="pct"/>
            <w:tcBorders>
              <w:tl2br w:val="nil"/>
              <w:tr2bl w:val="nil"/>
            </w:tcBorders>
          </w:tcPr>
          <w:p w14:paraId="542C00F7">
            <w:pPr>
              <w:pStyle w:val="154"/>
              <w:spacing w:line="240" w:lineRule="auto"/>
              <w:ind w:firstLine="0" w:firstLineChars="0"/>
              <w:jc w:val="center"/>
              <w:rPr>
                <w:b w:val="0"/>
                <w:bCs w:val="0"/>
                <w:color w:val="auto"/>
                <w:szCs w:val="21"/>
              </w:rPr>
            </w:pPr>
            <w:r>
              <w:rPr>
                <w:rFonts w:hint="eastAsia"/>
                <w:b w:val="0"/>
                <w:bCs w:val="0"/>
                <w:color w:val="auto"/>
                <w:szCs w:val="21"/>
              </w:rPr>
              <w:t>7</w:t>
            </w:r>
            <w:r>
              <w:rPr>
                <w:b w:val="0"/>
                <w:bCs w:val="0"/>
                <w:color w:val="auto"/>
                <w:szCs w:val="21"/>
              </w:rPr>
              <w:t>0</w:t>
            </w:r>
          </w:p>
        </w:tc>
        <w:tc>
          <w:tcPr>
            <w:tcW w:w="1000" w:type="pct"/>
            <w:tcBorders>
              <w:tl2br w:val="nil"/>
              <w:tr2bl w:val="nil"/>
            </w:tcBorders>
          </w:tcPr>
          <w:p w14:paraId="372DE776">
            <w:pPr>
              <w:pStyle w:val="154"/>
              <w:spacing w:line="240" w:lineRule="auto"/>
              <w:ind w:firstLine="0" w:firstLineChars="0"/>
              <w:jc w:val="center"/>
              <w:rPr>
                <w:b w:val="0"/>
                <w:bCs w:val="0"/>
                <w:color w:val="auto"/>
                <w:szCs w:val="21"/>
              </w:rPr>
            </w:pPr>
            <w:r>
              <w:rPr>
                <w:b w:val="0"/>
                <w:bCs w:val="0"/>
                <w:color w:val="auto"/>
                <w:szCs w:val="21"/>
              </w:rPr>
              <w:t>35</w:t>
            </w:r>
          </w:p>
        </w:tc>
        <w:tc>
          <w:tcPr>
            <w:tcW w:w="1000" w:type="pct"/>
            <w:tcBorders>
              <w:tl2br w:val="nil"/>
              <w:tr2bl w:val="nil"/>
            </w:tcBorders>
            <w:shd w:val="clear" w:color="auto" w:fill="auto"/>
          </w:tcPr>
          <w:p w14:paraId="77156AA3">
            <w:pPr>
              <w:pStyle w:val="154"/>
              <w:spacing w:line="240" w:lineRule="auto"/>
              <w:ind w:firstLine="0" w:firstLineChars="0"/>
              <w:jc w:val="center"/>
              <w:rPr>
                <w:b w:val="0"/>
                <w:bCs w:val="0"/>
                <w:color w:val="auto"/>
                <w:szCs w:val="21"/>
              </w:rPr>
            </w:pPr>
            <w:r>
              <w:rPr>
                <w:rFonts w:hint="eastAsia"/>
                <w:b w:val="0"/>
                <w:bCs w:val="0"/>
                <w:color w:val="auto"/>
                <w:szCs w:val="21"/>
              </w:rPr>
              <w:t>3</w:t>
            </w:r>
            <w:r>
              <w:rPr>
                <w:b w:val="0"/>
                <w:bCs w:val="0"/>
                <w:color w:val="auto"/>
                <w:szCs w:val="21"/>
              </w:rPr>
              <w:t>1.12</w:t>
            </w:r>
          </w:p>
        </w:tc>
      </w:tr>
      <w:tr w14:paraId="62E5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69DBFA4A">
            <w:pPr>
              <w:pStyle w:val="154"/>
              <w:spacing w:line="240" w:lineRule="auto"/>
              <w:ind w:firstLine="0" w:firstLineChars="0"/>
              <w:jc w:val="center"/>
              <w:rPr>
                <w:b w:val="0"/>
                <w:bCs w:val="0"/>
                <w:color w:val="auto"/>
                <w:szCs w:val="21"/>
              </w:rPr>
            </w:pPr>
            <w:r>
              <w:rPr>
                <w:rFonts w:hint="eastAsia"/>
                <w:b w:val="0"/>
                <w:bCs w:val="0"/>
                <w:color w:val="auto"/>
                <w:szCs w:val="21"/>
              </w:rPr>
              <w:t>东厂界</w:t>
            </w:r>
          </w:p>
        </w:tc>
        <w:tc>
          <w:tcPr>
            <w:tcW w:w="1314" w:type="pct"/>
            <w:tcBorders>
              <w:tl2br w:val="nil"/>
              <w:tr2bl w:val="nil"/>
            </w:tcBorders>
            <w:shd w:val="clear" w:color="auto" w:fill="auto"/>
            <w:vAlign w:val="center"/>
          </w:tcPr>
          <w:p w14:paraId="371DDD79">
            <w:pPr>
              <w:pStyle w:val="154"/>
              <w:spacing w:line="240" w:lineRule="auto"/>
              <w:ind w:firstLine="0" w:firstLineChars="0"/>
              <w:jc w:val="center"/>
              <w:rPr>
                <w:b w:val="0"/>
                <w:bCs w:val="0"/>
                <w:color w:val="auto"/>
                <w:szCs w:val="21"/>
              </w:rPr>
            </w:pPr>
            <w:r>
              <w:rPr>
                <w:b w:val="0"/>
                <w:bCs w:val="0"/>
                <w:color w:val="auto"/>
                <w:szCs w:val="21"/>
              </w:rPr>
              <w:t>昼</w:t>
            </w:r>
          </w:p>
        </w:tc>
        <w:tc>
          <w:tcPr>
            <w:tcW w:w="1000" w:type="pct"/>
            <w:tcBorders>
              <w:tl2br w:val="nil"/>
              <w:tr2bl w:val="nil"/>
            </w:tcBorders>
          </w:tcPr>
          <w:p w14:paraId="0FC636B6">
            <w:pPr>
              <w:pStyle w:val="154"/>
              <w:spacing w:line="240" w:lineRule="auto"/>
              <w:ind w:firstLine="0" w:firstLineChars="0"/>
              <w:jc w:val="center"/>
              <w:rPr>
                <w:b w:val="0"/>
                <w:bCs w:val="0"/>
                <w:color w:val="auto"/>
                <w:szCs w:val="21"/>
              </w:rPr>
            </w:pPr>
            <w:r>
              <w:rPr>
                <w:rFonts w:hint="eastAsia"/>
                <w:b w:val="0"/>
                <w:bCs w:val="0"/>
                <w:color w:val="auto"/>
                <w:szCs w:val="21"/>
              </w:rPr>
              <w:t>7</w:t>
            </w:r>
            <w:r>
              <w:rPr>
                <w:b w:val="0"/>
                <w:bCs w:val="0"/>
                <w:color w:val="auto"/>
                <w:szCs w:val="21"/>
              </w:rPr>
              <w:t>0</w:t>
            </w:r>
          </w:p>
        </w:tc>
        <w:tc>
          <w:tcPr>
            <w:tcW w:w="1000" w:type="pct"/>
            <w:tcBorders>
              <w:tl2br w:val="nil"/>
              <w:tr2bl w:val="nil"/>
            </w:tcBorders>
          </w:tcPr>
          <w:p w14:paraId="422DB018">
            <w:pPr>
              <w:pStyle w:val="154"/>
              <w:spacing w:line="240" w:lineRule="auto"/>
              <w:ind w:firstLine="0" w:firstLineChars="0"/>
              <w:jc w:val="center"/>
              <w:rPr>
                <w:b w:val="0"/>
                <w:bCs w:val="0"/>
                <w:color w:val="auto"/>
                <w:szCs w:val="21"/>
              </w:rPr>
            </w:pPr>
            <w:r>
              <w:rPr>
                <w:b w:val="0"/>
                <w:bCs w:val="0"/>
                <w:color w:val="auto"/>
                <w:szCs w:val="21"/>
              </w:rPr>
              <w:t>35</w:t>
            </w:r>
          </w:p>
        </w:tc>
        <w:tc>
          <w:tcPr>
            <w:tcW w:w="1000" w:type="pct"/>
            <w:tcBorders>
              <w:tl2br w:val="nil"/>
              <w:tr2bl w:val="nil"/>
            </w:tcBorders>
            <w:shd w:val="clear" w:color="auto" w:fill="auto"/>
          </w:tcPr>
          <w:p w14:paraId="6DC96999">
            <w:pPr>
              <w:pStyle w:val="154"/>
              <w:spacing w:line="240" w:lineRule="auto"/>
              <w:ind w:firstLine="0" w:firstLineChars="0"/>
              <w:jc w:val="center"/>
              <w:rPr>
                <w:b w:val="0"/>
                <w:bCs w:val="0"/>
                <w:color w:val="auto"/>
                <w:szCs w:val="21"/>
              </w:rPr>
            </w:pPr>
            <w:r>
              <w:rPr>
                <w:rFonts w:hint="eastAsia"/>
                <w:b w:val="0"/>
                <w:bCs w:val="0"/>
                <w:color w:val="auto"/>
                <w:szCs w:val="21"/>
              </w:rPr>
              <w:t>3</w:t>
            </w:r>
            <w:r>
              <w:rPr>
                <w:b w:val="0"/>
                <w:bCs w:val="0"/>
                <w:color w:val="auto"/>
                <w:szCs w:val="21"/>
              </w:rPr>
              <w:t>1.12</w:t>
            </w:r>
          </w:p>
        </w:tc>
      </w:tr>
    </w:tbl>
    <w:p w14:paraId="084263E1">
      <w:pPr>
        <w:spacing w:line="500" w:lineRule="exact"/>
        <w:ind w:firstLine="480"/>
      </w:pPr>
      <w:r>
        <w:t>（2）结论</w:t>
      </w:r>
    </w:p>
    <w:p w14:paraId="75FE5373">
      <w:pPr>
        <w:spacing w:line="500" w:lineRule="exact"/>
        <w:ind w:firstLine="480"/>
      </w:pPr>
      <w:r>
        <w:t>根据预测结果，项目</w:t>
      </w:r>
      <w:r>
        <w:rPr>
          <w:rFonts w:hint="eastAsia"/>
        </w:rPr>
        <w:t>厂界</w:t>
      </w:r>
      <w:r>
        <w:t>环境噪声能够满足</w:t>
      </w:r>
      <w:r>
        <w:rPr>
          <w:rFonts w:hint="eastAsia"/>
        </w:rPr>
        <w:t>《工业企业厂界环境噪声排放标准》（GB12348-2008）表1中的2类声环境功能区标准限值</w:t>
      </w:r>
      <w:r>
        <w:t>要求</w:t>
      </w:r>
      <w:r>
        <w:rPr>
          <w:rFonts w:hint="eastAsia"/>
        </w:rPr>
        <w:t>及《建筑施工厂界环境噪声排放标准》（GB12523-2011）2类声环境功能区标准限值</w:t>
      </w:r>
      <w:r>
        <w:t>要求</w:t>
      </w:r>
      <w:r>
        <w:rPr>
          <w:rFonts w:hint="eastAsia"/>
        </w:rPr>
        <w:t>。</w:t>
      </w:r>
    </w:p>
    <w:p w14:paraId="38D46321">
      <w:pPr>
        <w:pStyle w:val="5"/>
      </w:pPr>
      <w:bookmarkStart w:id="176" w:name="_Toc106663503"/>
      <w:r>
        <w:rPr>
          <w:rFonts w:hint="eastAsia"/>
        </w:rPr>
        <w:t>5.2.4固体废弃物影响分析</w:t>
      </w:r>
      <w:bookmarkEnd w:id="176"/>
    </w:p>
    <w:p w14:paraId="46EBC8AC">
      <w:pPr>
        <w:ind w:firstLine="480"/>
        <w:rPr>
          <w:rFonts w:cs="宋体"/>
          <w:szCs w:val="24"/>
        </w:rPr>
      </w:pPr>
      <w:r>
        <w:rPr>
          <w:rFonts w:cs="宋体"/>
          <w:szCs w:val="24"/>
        </w:rPr>
        <w:t>本项目产生的固体废物主要为</w:t>
      </w:r>
      <w:r>
        <w:rPr>
          <w:rFonts w:hint="eastAsia" w:cs="宋体"/>
          <w:szCs w:val="24"/>
        </w:rPr>
        <w:t>骆驼粪便</w:t>
      </w:r>
      <w:r>
        <w:rPr>
          <w:rFonts w:cs="宋体"/>
          <w:szCs w:val="24"/>
        </w:rPr>
        <w:t>、病死</w:t>
      </w:r>
      <w:r>
        <w:rPr>
          <w:rFonts w:hint="eastAsia" w:cs="宋体"/>
          <w:szCs w:val="24"/>
        </w:rPr>
        <w:t>骆驼</w:t>
      </w:r>
      <w:r>
        <w:rPr>
          <w:rFonts w:cs="宋体"/>
          <w:szCs w:val="24"/>
        </w:rPr>
        <w:t>、废弃包装物、生活垃圾、医疗废物</w:t>
      </w:r>
      <w:r>
        <w:rPr>
          <w:rFonts w:hint="eastAsia" w:cs="宋体"/>
          <w:szCs w:val="24"/>
        </w:rPr>
        <w:t>。</w:t>
      </w:r>
      <w:r>
        <w:rPr>
          <w:rFonts w:cs="宋体"/>
          <w:szCs w:val="24"/>
        </w:rPr>
        <w:t>各类固体废物如果收集、贮放等处理不当，会造成土壤、地下水等污染，从而形成二次污染问题</w:t>
      </w:r>
      <w:r>
        <w:rPr>
          <w:rFonts w:hint="eastAsia" w:cs="宋体"/>
          <w:szCs w:val="24"/>
        </w:rPr>
        <w:t>。</w:t>
      </w:r>
      <w:r>
        <w:rPr>
          <w:rFonts w:cs="宋体"/>
          <w:szCs w:val="24"/>
        </w:rPr>
        <w:t>因此，必须对固体废物做到妥善的管理和处置</w:t>
      </w:r>
      <w:r>
        <w:rPr>
          <w:rFonts w:hint="eastAsia" w:cs="宋体"/>
          <w:szCs w:val="24"/>
        </w:rPr>
        <w:t>。</w:t>
      </w:r>
    </w:p>
    <w:p w14:paraId="5E7E4699">
      <w:pPr>
        <w:ind w:firstLine="480"/>
        <w:rPr>
          <w:rFonts w:cs="宋体"/>
          <w:szCs w:val="24"/>
        </w:rPr>
      </w:pPr>
      <w:r>
        <w:rPr>
          <w:rFonts w:hint="eastAsia" w:cs="宋体"/>
          <w:szCs w:val="24"/>
        </w:rPr>
        <w:t>（</w:t>
      </w:r>
      <w:r>
        <w:rPr>
          <w:szCs w:val="24"/>
        </w:rPr>
        <w:t>1</w:t>
      </w:r>
      <w:r>
        <w:rPr>
          <w:rFonts w:hint="eastAsia" w:cs="宋体"/>
          <w:szCs w:val="24"/>
        </w:rPr>
        <w:t>）骆驼粪便</w:t>
      </w:r>
    </w:p>
    <w:p w14:paraId="2D674CCD">
      <w:pPr>
        <w:ind w:firstLine="480"/>
        <w:rPr>
          <w:rFonts w:cs="宋体"/>
          <w:szCs w:val="24"/>
        </w:rPr>
      </w:pPr>
      <w:r>
        <w:rPr>
          <w:rFonts w:hint="eastAsia" w:cs="宋体"/>
          <w:szCs w:val="24"/>
        </w:rPr>
        <w:t>骆驼圈舍定期清运至堆肥场，经过处理后作为有机肥外售。</w:t>
      </w:r>
    </w:p>
    <w:p w14:paraId="6EFA198E">
      <w:pPr>
        <w:ind w:firstLine="480"/>
        <w:rPr>
          <w:rFonts w:cs="宋体"/>
          <w:szCs w:val="24"/>
        </w:rPr>
      </w:pPr>
      <w:r>
        <w:rPr>
          <w:rFonts w:hint="eastAsia" w:cs="宋体"/>
          <w:szCs w:val="24"/>
        </w:rPr>
        <w:t>（</w:t>
      </w:r>
      <w:r>
        <w:rPr>
          <w:szCs w:val="24"/>
        </w:rPr>
        <w:t>2</w:t>
      </w:r>
      <w:r>
        <w:rPr>
          <w:rFonts w:hint="eastAsia" w:cs="宋体"/>
          <w:szCs w:val="24"/>
        </w:rPr>
        <w:t>）</w:t>
      </w:r>
      <w:r>
        <w:rPr>
          <w:rFonts w:cs="宋体"/>
          <w:szCs w:val="24"/>
        </w:rPr>
        <w:t>病死</w:t>
      </w:r>
      <w:r>
        <w:rPr>
          <w:rFonts w:hint="eastAsia" w:cs="宋体"/>
          <w:szCs w:val="24"/>
        </w:rPr>
        <w:t>骆驼</w:t>
      </w:r>
    </w:p>
    <w:p w14:paraId="0BB34890">
      <w:pPr>
        <w:ind w:firstLine="480"/>
        <w:rPr>
          <w:rFonts w:cs="宋体"/>
          <w:szCs w:val="24"/>
        </w:rPr>
      </w:pPr>
      <w:r>
        <w:rPr>
          <w:rFonts w:cs="宋体"/>
          <w:szCs w:val="24"/>
        </w:rPr>
        <w:t>根据环办函</w:t>
      </w:r>
      <w:r>
        <w:rPr>
          <w:szCs w:val="24"/>
        </w:rPr>
        <w:t>[2014]789</w:t>
      </w:r>
      <w:r>
        <w:rPr>
          <w:rFonts w:cs="宋体"/>
          <w:szCs w:val="24"/>
        </w:rPr>
        <w:t>号文《关于病害动物无害化处理有关意见的复函》：</w:t>
      </w:r>
      <w:r>
        <w:rPr>
          <w:rFonts w:hint="eastAsia"/>
          <w:szCs w:val="24"/>
        </w:rPr>
        <w:t>”</w:t>
      </w:r>
      <w:r>
        <w:rPr>
          <w:rFonts w:cs="宋体"/>
          <w:szCs w:val="24"/>
        </w:rPr>
        <w:t>病害动物无害化处理项目由农业部门按照有关法律法规和技术规范进行监管，可以实现病害动物无害化处理和环境污染防控的目的，不宜再认定为危险废物集中处置项目</w:t>
      </w:r>
      <w:r>
        <w:rPr>
          <w:rFonts w:hint="eastAsia" w:cs="宋体"/>
          <w:szCs w:val="24"/>
        </w:rPr>
        <w:t>。</w:t>
      </w:r>
      <w:r>
        <w:rPr>
          <w:rFonts w:cs="宋体"/>
          <w:szCs w:val="24"/>
        </w:rPr>
        <w:t>病害动物的无害化处理应执行《中华人民共和国动物防疫法》</w:t>
      </w:r>
      <w:r>
        <w:rPr>
          <w:rFonts w:hint="eastAsia"/>
          <w:szCs w:val="24"/>
        </w:rPr>
        <w:t>”</w:t>
      </w:r>
      <w:r>
        <w:rPr>
          <w:rFonts w:hint="eastAsia" w:cs="宋体"/>
          <w:szCs w:val="24"/>
        </w:rPr>
        <w:t>。</w:t>
      </w:r>
    </w:p>
    <w:p w14:paraId="77F3660B">
      <w:pPr>
        <w:ind w:firstLine="480"/>
        <w:rPr>
          <w:rFonts w:cs="宋体"/>
          <w:szCs w:val="24"/>
        </w:rPr>
      </w:pPr>
      <w:r>
        <w:rPr>
          <w:rFonts w:cs="宋体"/>
          <w:szCs w:val="24"/>
        </w:rPr>
        <w:t>根据《畜禽养殖业污染防治技术规范》</w:t>
      </w:r>
      <w:r>
        <w:rPr>
          <w:rFonts w:hint="eastAsia" w:cs="宋体"/>
          <w:szCs w:val="24"/>
        </w:rPr>
        <w:t>（</w:t>
      </w:r>
      <w:r>
        <w:rPr>
          <w:szCs w:val="24"/>
        </w:rPr>
        <w:t>HJ/T81-2001</w:t>
      </w:r>
      <w:r>
        <w:rPr>
          <w:rFonts w:hint="eastAsia" w:cs="宋体"/>
          <w:szCs w:val="24"/>
        </w:rPr>
        <w:t>）</w:t>
      </w:r>
      <w:r>
        <w:rPr>
          <w:rFonts w:cs="宋体"/>
          <w:szCs w:val="24"/>
        </w:rPr>
        <w:t>和《病死及病害动物无害化处理技术规范》</w:t>
      </w:r>
      <w:r>
        <w:rPr>
          <w:rFonts w:hint="eastAsia" w:cs="宋体"/>
          <w:szCs w:val="24"/>
        </w:rPr>
        <w:t>（</w:t>
      </w:r>
      <w:r>
        <w:rPr>
          <w:rFonts w:cs="宋体"/>
          <w:szCs w:val="24"/>
        </w:rPr>
        <w:t>农医发</w:t>
      </w:r>
      <w:r>
        <w:rPr>
          <w:szCs w:val="24"/>
        </w:rPr>
        <w:t>[2017]25</w:t>
      </w:r>
      <w:r>
        <w:rPr>
          <w:rFonts w:cs="宋体"/>
          <w:szCs w:val="24"/>
        </w:rPr>
        <w:t>号</w:t>
      </w:r>
      <w:r>
        <w:rPr>
          <w:rFonts w:hint="eastAsia" w:cs="宋体"/>
          <w:szCs w:val="24"/>
        </w:rPr>
        <w:t>）</w:t>
      </w:r>
      <w:r>
        <w:rPr>
          <w:rFonts w:cs="宋体"/>
          <w:szCs w:val="24"/>
        </w:rPr>
        <w:t>中无害化处置要求，</w:t>
      </w:r>
      <w:r>
        <w:rPr>
          <w:rFonts w:hint="eastAsia" w:cs="宋体"/>
          <w:szCs w:val="24"/>
        </w:rPr>
        <w:t>本项目病死骆驼外委第三方处置。</w:t>
      </w:r>
    </w:p>
    <w:p w14:paraId="4F9EBADE">
      <w:pPr>
        <w:ind w:firstLine="480"/>
        <w:rPr>
          <w:rFonts w:cs="宋体"/>
          <w:szCs w:val="24"/>
        </w:rPr>
      </w:pPr>
      <w:r>
        <w:rPr>
          <w:rFonts w:hint="eastAsia" w:cs="宋体"/>
          <w:szCs w:val="24"/>
        </w:rPr>
        <w:t>（</w:t>
      </w:r>
      <w:r>
        <w:rPr>
          <w:szCs w:val="24"/>
        </w:rPr>
        <w:t>3</w:t>
      </w:r>
      <w:r>
        <w:rPr>
          <w:rFonts w:hint="eastAsia" w:cs="宋体"/>
          <w:szCs w:val="24"/>
        </w:rPr>
        <w:t>）</w:t>
      </w:r>
      <w:r>
        <w:rPr>
          <w:rFonts w:cs="宋体"/>
          <w:szCs w:val="24"/>
        </w:rPr>
        <w:t>废弃包装物</w:t>
      </w:r>
    </w:p>
    <w:p w14:paraId="1773AEB1">
      <w:pPr>
        <w:ind w:firstLine="480"/>
        <w:rPr>
          <w:rFonts w:cs="宋体"/>
          <w:szCs w:val="24"/>
        </w:rPr>
      </w:pPr>
      <w:r>
        <w:rPr>
          <w:rFonts w:cs="宋体"/>
          <w:szCs w:val="24"/>
        </w:rPr>
        <w:t>本项目外购饲料会产生废包装袋，废饲料包装袋集中收集后进行外售</w:t>
      </w:r>
      <w:r>
        <w:rPr>
          <w:rFonts w:hint="eastAsia" w:cs="宋体"/>
          <w:szCs w:val="24"/>
        </w:rPr>
        <w:t>。</w:t>
      </w:r>
    </w:p>
    <w:p w14:paraId="4C01802F">
      <w:pPr>
        <w:ind w:firstLine="480"/>
        <w:rPr>
          <w:rFonts w:cs="宋体"/>
          <w:szCs w:val="24"/>
        </w:rPr>
      </w:pPr>
      <w:r>
        <w:rPr>
          <w:rFonts w:hint="eastAsia" w:cs="宋体"/>
          <w:szCs w:val="24"/>
        </w:rPr>
        <w:t>（</w:t>
      </w:r>
      <w:r>
        <w:rPr>
          <w:szCs w:val="24"/>
        </w:rPr>
        <w:t>4</w:t>
      </w:r>
      <w:r>
        <w:rPr>
          <w:rFonts w:hint="eastAsia" w:cs="宋体"/>
          <w:szCs w:val="24"/>
        </w:rPr>
        <w:t>）</w:t>
      </w:r>
      <w:r>
        <w:rPr>
          <w:rFonts w:cs="宋体"/>
          <w:szCs w:val="24"/>
        </w:rPr>
        <w:t>生活垃圾</w:t>
      </w:r>
    </w:p>
    <w:p w14:paraId="709F7AA4">
      <w:pPr>
        <w:ind w:firstLine="480"/>
        <w:rPr>
          <w:rFonts w:cs="宋体"/>
          <w:szCs w:val="24"/>
        </w:rPr>
      </w:pPr>
      <w:r>
        <w:rPr>
          <w:rFonts w:cs="宋体"/>
          <w:szCs w:val="24"/>
        </w:rPr>
        <w:t>本项目职工人数为</w:t>
      </w:r>
      <w:r>
        <w:rPr>
          <w:szCs w:val="24"/>
        </w:rPr>
        <w:t>20</w:t>
      </w:r>
      <w:r>
        <w:rPr>
          <w:rFonts w:cs="宋体"/>
          <w:szCs w:val="24"/>
        </w:rPr>
        <w:t>人，年工作</w:t>
      </w:r>
      <w:r>
        <w:rPr>
          <w:szCs w:val="24"/>
        </w:rPr>
        <w:t>365</w:t>
      </w:r>
      <w:r>
        <w:rPr>
          <w:rFonts w:cs="宋体"/>
          <w:szCs w:val="24"/>
        </w:rPr>
        <w:t>天，生活垃圾按</w:t>
      </w:r>
      <w:r>
        <w:rPr>
          <w:szCs w:val="24"/>
        </w:rPr>
        <w:t>0.5kg/</w:t>
      </w:r>
      <w:r>
        <w:rPr>
          <w:rFonts w:cs="宋体"/>
          <w:szCs w:val="24"/>
        </w:rPr>
        <w:t>人</w:t>
      </w:r>
      <w:r>
        <w:rPr>
          <w:szCs w:val="24"/>
        </w:rPr>
        <w:t>·d</w:t>
      </w:r>
      <w:r>
        <w:rPr>
          <w:rFonts w:cs="宋体"/>
          <w:szCs w:val="24"/>
        </w:rPr>
        <w:t>计，生活垃圾产生量为</w:t>
      </w:r>
      <w:r>
        <w:rPr>
          <w:szCs w:val="24"/>
        </w:rPr>
        <w:t>10kg/d</w:t>
      </w:r>
      <w:r>
        <w:rPr>
          <w:rFonts w:cs="宋体"/>
          <w:szCs w:val="24"/>
        </w:rPr>
        <w:t>，即</w:t>
      </w:r>
      <w:r>
        <w:rPr>
          <w:szCs w:val="24"/>
        </w:rPr>
        <w:t>3.65t/a</w:t>
      </w:r>
      <w:r>
        <w:rPr>
          <w:rFonts w:hint="eastAsia" w:cs="宋体"/>
          <w:szCs w:val="24"/>
        </w:rPr>
        <w:t>。</w:t>
      </w:r>
      <w:r>
        <w:rPr>
          <w:rFonts w:cs="宋体"/>
          <w:szCs w:val="24"/>
        </w:rPr>
        <w:t>生活垃圾集中收集由当地环卫部门处置</w:t>
      </w:r>
      <w:r>
        <w:rPr>
          <w:rFonts w:hint="eastAsia" w:cs="宋体"/>
          <w:szCs w:val="24"/>
        </w:rPr>
        <w:t>。</w:t>
      </w:r>
    </w:p>
    <w:p w14:paraId="3130D12D">
      <w:pPr>
        <w:ind w:firstLine="480"/>
        <w:rPr>
          <w:rFonts w:cs="宋体"/>
          <w:szCs w:val="24"/>
        </w:rPr>
      </w:pPr>
      <w:r>
        <w:rPr>
          <w:rFonts w:hint="eastAsia" w:cs="宋体"/>
          <w:szCs w:val="24"/>
        </w:rPr>
        <w:t>（</w:t>
      </w:r>
      <w:r>
        <w:rPr>
          <w:szCs w:val="24"/>
        </w:rPr>
        <w:t>5</w:t>
      </w:r>
      <w:r>
        <w:rPr>
          <w:rFonts w:hint="eastAsia" w:cs="宋体"/>
          <w:szCs w:val="24"/>
        </w:rPr>
        <w:t>）</w:t>
      </w:r>
      <w:r>
        <w:rPr>
          <w:rFonts w:cs="宋体"/>
          <w:szCs w:val="24"/>
        </w:rPr>
        <w:t>医疗废物</w:t>
      </w:r>
    </w:p>
    <w:p w14:paraId="38D57EE5">
      <w:pPr>
        <w:ind w:firstLine="480"/>
        <w:rPr>
          <w:rFonts w:cs="宋体"/>
          <w:szCs w:val="24"/>
        </w:rPr>
      </w:pPr>
      <w:r>
        <w:rPr>
          <w:rFonts w:cs="宋体"/>
          <w:szCs w:val="24"/>
        </w:rPr>
        <w:t>本项目对</w:t>
      </w:r>
      <w:r>
        <w:rPr>
          <w:rFonts w:hint="eastAsia" w:cs="宋体"/>
          <w:szCs w:val="24"/>
        </w:rPr>
        <w:t>骆驼</w:t>
      </w:r>
      <w:r>
        <w:rPr>
          <w:rFonts w:cs="宋体"/>
          <w:szCs w:val="24"/>
        </w:rPr>
        <w:t>进行防疫、治疗过程中产生少量废弃药品、废针管等，产生量约为</w:t>
      </w:r>
      <w:r>
        <w:rPr>
          <w:szCs w:val="24"/>
        </w:rPr>
        <w:t>0.03t/a</w:t>
      </w:r>
      <w:r>
        <w:rPr>
          <w:rFonts w:cs="宋体"/>
          <w:szCs w:val="24"/>
        </w:rPr>
        <w:t>，医疗废物属于</w:t>
      </w:r>
      <w:r>
        <w:rPr>
          <w:szCs w:val="24"/>
        </w:rPr>
        <w:t>HW01</w:t>
      </w:r>
      <w:r>
        <w:rPr>
          <w:rFonts w:cs="宋体"/>
          <w:szCs w:val="24"/>
        </w:rPr>
        <w:t>类危险废物，</w:t>
      </w:r>
      <w:r>
        <w:rPr>
          <w:rFonts w:hint="eastAsia" w:cs="宋体"/>
          <w:szCs w:val="24"/>
        </w:rPr>
        <w:t>医疗废物由兽医站带走，不在场区暂存。</w:t>
      </w:r>
    </w:p>
    <w:p w14:paraId="7171DEF8">
      <w:pPr>
        <w:ind w:firstLine="480"/>
        <w:rPr>
          <w:rFonts w:cs="宋体"/>
          <w:szCs w:val="24"/>
        </w:rPr>
      </w:pPr>
      <w:r>
        <w:rPr>
          <w:rFonts w:cs="宋体"/>
          <w:szCs w:val="24"/>
        </w:rPr>
        <w:t>根据《医疗废物集中处置技术规范</w:t>
      </w:r>
      <w:r>
        <w:rPr>
          <w:rFonts w:hint="eastAsia"/>
          <w:szCs w:val="24"/>
        </w:rPr>
        <w:t>（</w:t>
      </w:r>
      <w:r>
        <w:rPr>
          <w:rFonts w:cs="宋体"/>
          <w:szCs w:val="24"/>
        </w:rPr>
        <w:t>试行</w:t>
      </w:r>
      <w:r>
        <w:rPr>
          <w:rFonts w:hint="eastAsia"/>
          <w:szCs w:val="24"/>
        </w:rPr>
        <w:t>）</w:t>
      </w:r>
      <w:r>
        <w:rPr>
          <w:rFonts w:cs="宋体"/>
          <w:szCs w:val="24"/>
        </w:rPr>
        <w:t>》、《医疗废物管理条例》</w:t>
      </w:r>
      <w:r>
        <w:rPr>
          <w:rFonts w:hint="eastAsia" w:cs="宋体"/>
          <w:szCs w:val="24"/>
        </w:rPr>
        <w:t>（</w:t>
      </w:r>
      <w:r>
        <w:rPr>
          <w:rFonts w:cs="宋体"/>
          <w:szCs w:val="24"/>
        </w:rPr>
        <w:t>国务院令第</w:t>
      </w:r>
      <w:r>
        <w:rPr>
          <w:szCs w:val="24"/>
        </w:rPr>
        <w:t>380</w:t>
      </w:r>
      <w:r>
        <w:rPr>
          <w:rFonts w:cs="宋体"/>
          <w:szCs w:val="24"/>
        </w:rPr>
        <w:t>号</w:t>
      </w:r>
      <w:r>
        <w:rPr>
          <w:rFonts w:hint="eastAsia" w:cs="宋体"/>
          <w:szCs w:val="24"/>
        </w:rPr>
        <w:t>）</w:t>
      </w:r>
      <w:r>
        <w:rPr>
          <w:rFonts w:cs="宋体"/>
          <w:szCs w:val="24"/>
        </w:rPr>
        <w:t>和《医疗卫生机构医疗废物管理办法》</w:t>
      </w:r>
      <w:r>
        <w:rPr>
          <w:rFonts w:hint="eastAsia" w:cs="宋体"/>
          <w:szCs w:val="24"/>
        </w:rPr>
        <w:t>（</w:t>
      </w:r>
      <w:r>
        <w:rPr>
          <w:rFonts w:cs="宋体"/>
          <w:szCs w:val="24"/>
        </w:rPr>
        <w:t>卫生部令</w:t>
      </w:r>
      <w:r>
        <w:rPr>
          <w:szCs w:val="24"/>
        </w:rPr>
        <w:t>36</w:t>
      </w:r>
      <w:r>
        <w:rPr>
          <w:rFonts w:cs="宋体"/>
          <w:szCs w:val="24"/>
        </w:rPr>
        <w:t>号</w:t>
      </w:r>
      <w:r>
        <w:rPr>
          <w:rFonts w:hint="eastAsia" w:cs="宋体"/>
          <w:szCs w:val="24"/>
        </w:rPr>
        <w:t>）</w:t>
      </w:r>
      <w:r>
        <w:rPr>
          <w:rFonts w:cs="宋体"/>
          <w:szCs w:val="24"/>
        </w:rPr>
        <w:t>和《危险废物贮存污染控制标准》</w:t>
      </w:r>
      <w:r>
        <w:rPr>
          <w:rFonts w:hint="eastAsia"/>
          <w:szCs w:val="24"/>
        </w:rPr>
        <w:t>（GB18597-2023）</w:t>
      </w:r>
      <w:r>
        <w:rPr>
          <w:rFonts w:cs="宋体"/>
          <w:szCs w:val="24"/>
        </w:rPr>
        <w:t>中相关要求，本次评价要求建设单位按照相关规定要求做到以下几点：</w:t>
      </w:r>
    </w:p>
    <w:p w14:paraId="3883D0BF">
      <w:pPr>
        <w:ind w:firstLine="480"/>
        <w:rPr>
          <w:rFonts w:cs="宋体"/>
          <w:szCs w:val="24"/>
        </w:rPr>
      </w:pPr>
      <w:r>
        <w:rPr>
          <w:rFonts w:cs="宋体"/>
          <w:szCs w:val="24"/>
        </w:rPr>
        <w:t>①医疗废物收集要求</w:t>
      </w:r>
    </w:p>
    <w:p w14:paraId="33EC0495">
      <w:pPr>
        <w:ind w:firstLine="480"/>
        <w:rPr>
          <w:rFonts w:cs="宋体"/>
          <w:szCs w:val="24"/>
        </w:rPr>
      </w:pPr>
      <w:r>
        <w:rPr>
          <w:szCs w:val="24"/>
        </w:rPr>
        <w:t>A</w:t>
      </w:r>
      <w:r>
        <w:rPr>
          <w:rFonts w:cs="宋体"/>
          <w:szCs w:val="24"/>
        </w:rPr>
        <w:t>、根据医疗废物的类别，将医疗废物分置于符合《医疗废物专用包装物、容器的标准和警示标识的规定》的包装物或者容器内；在每个容器上应当说明医疗废物产生单位、产生日期、类别及特别说明等；</w:t>
      </w:r>
    </w:p>
    <w:p w14:paraId="00788FC4">
      <w:pPr>
        <w:ind w:firstLine="480"/>
        <w:rPr>
          <w:rFonts w:cs="宋体"/>
          <w:szCs w:val="24"/>
        </w:rPr>
      </w:pPr>
      <w:r>
        <w:rPr>
          <w:szCs w:val="24"/>
        </w:rPr>
        <w:t>B</w:t>
      </w:r>
      <w:r>
        <w:rPr>
          <w:rFonts w:cs="宋体"/>
          <w:szCs w:val="24"/>
        </w:rPr>
        <w:t>、在盛装医疗废物前，应当对医疗废物包装物或者容器进行认真检查，确保无破损、渗漏和其它缺陷；</w:t>
      </w:r>
    </w:p>
    <w:p w14:paraId="2C2FF831">
      <w:pPr>
        <w:ind w:firstLine="480"/>
        <w:rPr>
          <w:rFonts w:cs="宋体"/>
          <w:szCs w:val="24"/>
        </w:rPr>
      </w:pPr>
      <w:r>
        <w:rPr>
          <w:szCs w:val="24"/>
        </w:rPr>
        <w:t>C</w:t>
      </w:r>
      <w:r>
        <w:rPr>
          <w:rFonts w:cs="宋体"/>
          <w:szCs w:val="24"/>
        </w:rPr>
        <w:t>、感染性废物、药物性废物不能混合收集；少量的药物性废物可以混入感染性废物，但应当在标签上注明；</w:t>
      </w:r>
    </w:p>
    <w:p w14:paraId="47514D2A">
      <w:pPr>
        <w:ind w:firstLine="480"/>
        <w:rPr>
          <w:rFonts w:cs="宋体"/>
          <w:szCs w:val="24"/>
        </w:rPr>
      </w:pPr>
      <w:r>
        <w:rPr>
          <w:szCs w:val="24"/>
        </w:rPr>
        <w:t>D</w:t>
      </w:r>
      <w:r>
        <w:rPr>
          <w:rFonts w:cs="宋体"/>
          <w:szCs w:val="24"/>
        </w:rPr>
        <w:t>、对于能够刺伤或割伤人体的废弃医用锐器，按照类别分置于防渗漏、防锐器穿透的专用密闭的容器内，设置有明显的标识，防止转运人员被锐器割伤引起疾病感染；</w:t>
      </w:r>
    </w:p>
    <w:p w14:paraId="150A0FAD">
      <w:pPr>
        <w:ind w:firstLine="480"/>
        <w:rPr>
          <w:rFonts w:cs="宋体"/>
          <w:szCs w:val="24"/>
        </w:rPr>
      </w:pPr>
      <w:r>
        <w:rPr>
          <w:szCs w:val="24"/>
        </w:rPr>
        <w:t>E</w:t>
      </w:r>
      <w:r>
        <w:rPr>
          <w:rFonts w:cs="宋体"/>
          <w:szCs w:val="24"/>
        </w:rPr>
        <w:t>、医疗废物收集袋的颜色为黄色，印有医疗废物的文字说明和警示标示，根据盛装的医疗废物达到</w:t>
      </w:r>
      <w:r>
        <w:rPr>
          <w:szCs w:val="24"/>
        </w:rPr>
        <w:t>3/4</w:t>
      </w:r>
      <w:r>
        <w:rPr>
          <w:rFonts w:cs="宋体"/>
          <w:szCs w:val="24"/>
        </w:rPr>
        <w:t>时，应当使用有效的封口方式，清运至医疗废物暂存桶</w:t>
      </w:r>
      <w:r>
        <w:rPr>
          <w:rFonts w:hint="eastAsia" w:cs="宋体"/>
          <w:szCs w:val="24"/>
        </w:rPr>
        <w:t>。</w:t>
      </w:r>
    </w:p>
    <w:p w14:paraId="3E081FB0">
      <w:pPr>
        <w:ind w:firstLine="480"/>
        <w:rPr>
          <w:rFonts w:cs="宋体"/>
          <w:szCs w:val="24"/>
        </w:rPr>
      </w:pPr>
      <w:r>
        <w:rPr>
          <w:rFonts w:cs="宋体"/>
          <w:szCs w:val="24"/>
        </w:rPr>
        <w:t>②医疗废物暂存要求</w:t>
      </w:r>
    </w:p>
    <w:p w14:paraId="58B4737C">
      <w:pPr>
        <w:ind w:firstLine="480"/>
        <w:rPr>
          <w:rFonts w:cs="宋体"/>
          <w:szCs w:val="24"/>
        </w:rPr>
      </w:pPr>
      <w:r>
        <w:rPr>
          <w:szCs w:val="24"/>
        </w:rPr>
        <w:t>A</w:t>
      </w:r>
      <w:r>
        <w:rPr>
          <w:rFonts w:cs="宋体"/>
          <w:szCs w:val="24"/>
        </w:rPr>
        <w:t>、医疗卫生机构应当建立医疗废物的暂时贮存设施、设备，不得露天存放医疗废物；</w:t>
      </w:r>
    </w:p>
    <w:p w14:paraId="1DBF4001">
      <w:pPr>
        <w:ind w:firstLine="480"/>
        <w:rPr>
          <w:rFonts w:cs="宋体"/>
          <w:szCs w:val="24"/>
        </w:rPr>
      </w:pPr>
      <w:r>
        <w:rPr>
          <w:szCs w:val="24"/>
        </w:rPr>
        <w:t>B</w:t>
      </w:r>
      <w:r>
        <w:rPr>
          <w:rFonts w:cs="宋体"/>
          <w:szCs w:val="24"/>
        </w:rPr>
        <w:t>、医疗废物的暂时贮存设施、设备，应当远离医疗区、食品加工区和人员活动区以及生活垃圾存放场所，并设置明显的警示标识和防渗漏、防鼠、防蚊蝇、防蟑螂、防盗以及预防儿童接触等安全措施；</w:t>
      </w:r>
    </w:p>
    <w:p w14:paraId="4D0725AD">
      <w:pPr>
        <w:ind w:firstLine="480"/>
        <w:rPr>
          <w:rFonts w:cs="宋体"/>
          <w:szCs w:val="24"/>
        </w:rPr>
      </w:pPr>
      <w:r>
        <w:rPr>
          <w:szCs w:val="24"/>
        </w:rPr>
        <w:t>C</w:t>
      </w:r>
      <w:r>
        <w:rPr>
          <w:rFonts w:cs="宋体"/>
          <w:szCs w:val="24"/>
        </w:rPr>
        <w:t>、医疗废物转交出去后，应当对暂时贮存地点、设施及时进行清洁和消毒处理，冲洗暂存地点和设施的废水必须经过消毒池处理后排放；</w:t>
      </w:r>
    </w:p>
    <w:p w14:paraId="263D4A59">
      <w:pPr>
        <w:ind w:firstLine="480"/>
        <w:rPr>
          <w:rFonts w:cs="宋体"/>
          <w:szCs w:val="24"/>
        </w:rPr>
      </w:pPr>
      <w:r>
        <w:rPr>
          <w:szCs w:val="24"/>
        </w:rPr>
        <w:t>D</w:t>
      </w:r>
      <w:r>
        <w:rPr>
          <w:rFonts w:cs="宋体"/>
          <w:szCs w:val="24"/>
        </w:rPr>
        <w:t>、医疗废物暂时贮存的时间不得超过</w:t>
      </w:r>
      <w:r>
        <w:rPr>
          <w:szCs w:val="24"/>
        </w:rPr>
        <w:t>2</w:t>
      </w:r>
      <w:r>
        <w:rPr>
          <w:rFonts w:cs="宋体"/>
          <w:szCs w:val="24"/>
        </w:rPr>
        <w:t>天，尽量做到日产日清</w:t>
      </w:r>
      <w:r>
        <w:rPr>
          <w:rFonts w:hint="eastAsia" w:cs="宋体"/>
          <w:szCs w:val="24"/>
        </w:rPr>
        <w:t>。</w:t>
      </w:r>
    </w:p>
    <w:p w14:paraId="1859EC69">
      <w:pPr>
        <w:ind w:firstLine="480"/>
      </w:pPr>
      <w:r>
        <w:rPr>
          <w:rFonts w:cs="宋体"/>
          <w:szCs w:val="24"/>
        </w:rPr>
        <w:t>综上所述，本项目产生的固体废物在采取上述处置措施后，均得到合理处置与利用，对周围环境影响较小</w:t>
      </w:r>
      <w:r>
        <w:rPr>
          <w:rFonts w:hint="eastAsia" w:cs="宋体"/>
          <w:szCs w:val="24"/>
        </w:rPr>
        <w:t>。</w:t>
      </w:r>
    </w:p>
    <w:p w14:paraId="4CCF34D6">
      <w:pPr>
        <w:pStyle w:val="5"/>
      </w:pPr>
      <w:bookmarkStart w:id="177" w:name="_Toc106663504"/>
      <w:r>
        <w:rPr>
          <w:rFonts w:hint="eastAsia"/>
        </w:rPr>
        <w:t>5.2.5土壤环境影响分析</w:t>
      </w:r>
      <w:bookmarkEnd w:id="177"/>
    </w:p>
    <w:p w14:paraId="442AD487">
      <w:pPr>
        <w:pStyle w:val="6"/>
        <w:ind w:firstLine="0" w:firstLineChars="0"/>
      </w:pPr>
      <w:r>
        <w:t>5.2.5.1</w:t>
      </w:r>
      <w:r>
        <w:rPr>
          <w:rFonts w:hint="eastAsia"/>
        </w:rPr>
        <w:t>土壤现状</w:t>
      </w:r>
    </w:p>
    <w:p w14:paraId="3A281044">
      <w:pPr>
        <w:pStyle w:val="6"/>
        <w:ind w:firstLine="0" w:firstLineChars="0"/>
      </w:pPr>
      <w:r>
        <w:rPr>
          <w:rFonts w:hint="eastAsia"/>
        </w:rPr>
        <w:t>5</w:t>
      </w:r>
      <w:r>
        <w:t>.2.</w:t>
      </w:r>
      <w:r>
        <w:rPr>
          <w:rFonts w:hint="eastAsia"/>
        </w:rPr>
        <w:t>5</w:t>
      </w:r>
      <w:r>
        <w:t>.1土壤区域性质简述</w:t>
      </w:r>
    </w:p>
    <w:p w14:paraId="2E04D6A6">
      <w:pPr>
        <w:ind w:firstLine="480"/>
        <w:rPr>
          <w:rFonts w:cs="宋体"/>
          <w:szCs w:val="24"/>
        </w:rPr>
      </w:pPr>
      <w:r>
        <w:rPr>
          <w:rFonts w:cs="宋体"/>
          <w:szCs w:val="24"/>
        </w:rPr>
        <w:t>土质以轻壤、中壤为主，其次是沙壤、重壤、粘土等，土壤有机质含量为</w:t>
      </w:r>
      <w:r>
        <w:rPr>
          <w:szCs w:val="24"/>
        </w:rPr>
        <w:t>2.39%</w:t>
      </w:r>
      <w:r>
        <w:rPr>
          <w:rFonts w:cs="宋体"/>
          <w:szCs w:val="24"/>
        </w:rPr>
        <w:t>，含氮</w:t>
      </w:r>
      <w:r>
        <w:rPr>
          <w:szCs w:val="24"/>
        </w:rPr>
        <w:t>0.14%</w:t>
      </w:r>
      <w:r>
        <w:rPr>
          <w:rFonts w:cs="宋体"/>
          <w:szCs w:val="24"/>
        </w:rPr>
        <w:t>、含磷</w:t>
      </w:r>
      <w:r>
        <w:rPr>
          <w:szCs w:val="24"/>
        </w:rPr>
        <w:t>0.18%</w:t>
      </w:r>
      <w:r>
        <w:rPr>
          <w:rFonts w:cs="宋体"/>
          <w:szCs w:val="24"/>
        </w:rPr>
        <w:t>、碳酸钙</w:t>
      </w:r>
      <w:r>
        <w:rPr>
          <w:szCs w:val="24"/>
        </w:rPr>
        <w:t>14.9%</w:t>
      </w:r>
      <w:r>
        <w:rPr>
          <w:rFonts w:cs="宋体"/>
          <w:szCs w:val="24"/>
        </w:rPr>
        <w:t>，土壤</w:t>
      </w:r>
      <w:r>
        <w:rPr>
          <w:szCs w:val="24"/>
        </w:rPr>
        <w:t>PH</w:t>
      </w:r>
      <w:r>
        <w:rPr>
          <w:rFonts w:cs="宋体"/>
          <w:szCs w:val="24"/>
        </w:rPr>
        <w:t>值为</w:t>
      </w:r>
      <w:r>
        <w:rPr>
          <w:szCs w:val="24"/>
        </w:rPr>
        <w:t>5.5</w:t>
      </w:r>
      <w:r>
        <w:rPr>
          <w:rFonts w:cs="宋体"/>
          <w:szCs w:val="24"/>
        </w:rPr>
        <w:t>~</w:t>
      </w:r>
      <w:r>
        <w:rPr>
          <w:szCs w:val="24"/>
        </w:rPr>
        <w:t>6.5</w:t>
      </w:r>
      <w:r>
        <w:rPr>
          <w:rFonts w:hint="eastAsia" w:cs="宋体"/>
          <w:szCs w:val="24"/>
        </w:rPr>
        <w:t>。</w:t>
      </w:r>
      <w:r>
        <w:rPr>
          <w:rFonts w:cs="宋体"/>
          <w:szCs w:val="24"/>
        </w:rPr>
        <w:t>土壤理化和生物性能良好，土质宜农宜牧</w:t>
      </w:r>
      <w:r>
        <w:rPr>
          <w:rFonts w:hint="eastAsia" w:cs="宋体"/>
          <w:szCs w:val="24"/>
        </w:rPr>
        <w:t>。</w:t>
      </w:r>
    </w:p>
    <w:p w14:paraId="0AAB5EE5">
      <w:pPr>
        <w:pStyle w:val="6"/>
        <w:ind w:firstLine="0" w:firstLineChars="0"/>
      </w:pPr>
      <w:r>
        <w:rPr>
          <w:rFonts w:hint="eastAsia"/>
        </w:rPr>
        <w:t>5</w:t>
      </w:r>
      <w:r>
        <w:t>.2.</w:t>
      </w:r>
      <w:r>
        <w:rPr>
          <w:rFonts w:hint="eastAsia"/>
        </w:rPr>
        <w:t>5</w:t>
      </w:r>
      <w:r>
        <w:t>.2土壤环境质量现状评价</w:t>
      </w:r>
    </w:p>
    <w:p w14:paraId="6B6440B2">
      <w:pPr>
        <w:ind w:firstLine="480"/>
        <w:rPr>
          <w:rFonts w:cs="宋体"/>
          <w:szCs w:val="24"/>
        </w:rPr>
      </w:pPr>
      <w:r>
        <w:rPr>
          <w:rFonts w:cs="宋体"/>
          <w:szCs w:val="24"/>
        </w:rPr>
        <w:t>本项目土壤现状监测设置3个点位，项目土壤各监测因子浓度均满足《土壤环境质量农用地土壤污染风险管控标准</w:t>
      </w:r>
      <w:r>
        <w:rPr>
          <w:rFonts w:hint="eastAsia" w:cs="宋体"/>
          <w:szCs w:val="24"/>
        </w:rPr>
        <w:t>（</w:t>
      </w:r>
      <w:r>
        <w:rPr>
          <w:rFonts w:cs="宋体"/>
          <w:szCs w:val="24"/>
        </w:rPr>
        <w:t>试行</w:t>
      </w:r>
      <w:r>
        <w:rPr>
          <w:rFonts w:hint="eastAsia" w:cs="宋体"/>
          <w:szCs w:val="24"/>
        </w:rPr>
        <w:t>）</w:t>
      </w:r>
      <w:r>
        <w:rPr>
          <w:rFonts w:cs="宋体"/>
          <w:szCs w:val="24"/>
        </w:rPr>
        <w:t>》</w:t>
      </w:r>
      <w:r>
        <w:rPr>
          <w:rFonts w:hint="eastAsia" w:cs="宋体"/>
          <w:szCs w:val="24"/>
        </w:rPr>
        <w:t>（</w:t>
      </w:r>
      <w:r>
        <w:rPr>
          <w:rFonts w:cs="宋体"/>
          <w:szCs w:val="24"/>
        </w:rPr>
        <w:t>GB15618-2018</w:t>
      </w:r>
      <w:r>
        <w:rPr>
          <w:rFonts w:hint="eastAsia" w:cs="宋体"/>
          <w:szCs w:val="24"/>
        </w:rPr>
        <w:t>）</w:t>
      </w:r>
      <w:r>
        <w:rPr>
          <w:rFonts w:cs="宋体"/>
          <w:szCs w:val="24"/>
        </w:rPr>
        <w:t>中其他用地风险筛选值，当地土壤环境质量较好</w:t>
      </w:r>
    </w:p>
    <w:p w14:paraId="0012CDC6">
      <w:pPr>
        <w:pStyle w:val="6"/>
        <w:ind w:firstLine="0" w:firstLineChars="0"/>
      </w:pPr>
      <w:r>
        <w:rPr>
          <w:rFonts w:hint="eastAsia"/>
        </w:rPr>
        <w:t>5</w:t>
      </w:r>
      <w:r>
        <w:t>.2.</w:t>
      </w:r>
      <w:r>
        <w:rPr>
          <w:rFonts w:hint="eastAsia"/>
        </w:rPr>
        <w:t>5</w:t>
      </w:r>
      <w:r>
        <w:t>.3土壤影响</w:t>
      </w:r>
      <w:r>
        <w:rPr>
          <w:rFonts w:hint="eastAsia"/>
        </w:rPr>
        <w:t>识别</w:t>
      </w:r>
    </w:p>
    <w:p w14:paraId="6C6CE7FD">
      <w:pPr>
        <w:ind w:firstLine="480"/>
        <w:rPr>
          <w:rFonts w:cs="宋体"/>
          <w:szCs w:val="24"/>
        </w:rPr>
      </w:pPr>
      <w:r>
        <w:rPr>
          <w:rFonts w:hint="eastAsia" w:cs="宋体"/>
          <w:szCs w:val="24"/>
        </w:rPr>
        <w:t>土壤污染是指人类活动所产生的物质（污染物），通过多种途径进入土壤，其数量和速度超过了土壤的容纳能力净化现象。土壤污染可使土壤的性质、组成及性状等发生变化，使污染物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290CC48E">
      <w:pPr>
        <w:ind w:firstLine="480"/>
        <w:rPr>
          <w:rFonts w:cs="宋体"/>
          <w:szCs w:val="24"/>
        </w:rPr>
      </w:pPr>
      <w:r>
        <w:rPr>
          <w:rFonts w:cs="宋体"/>
          <w:szCs w:val="24"/>
        </w:rPr>
        <w:t>1</w:t>
      </w:r>
      <w:r>
        <w:rPr>
          <w:rFonts w:hint="eastAsia" w:cs="宋体"/>
          <w:szCs w:val="24"/>
        </w:rPr>
        <w:t>、土壤环境影响类型及途径识别</w:t>
      </w:r>
    </w:p>
    <w:p w14:paraId="69DD5593">
      <w:pPr>
        <w:ind w:firstLine="480"/>
        <w:rPr>
          <w:rFonts w:cs="宋体"/>
          <w:szCs w:val="24"/>
        </w:rPr>
      </w:pPr>
      <w:r>
        <w:rPr>
          <w:rFonts w:hint="eastAsia" w:cs="宋体"/>
          <w:szCs w:val="24"/>
        </w:rPr>
        <w:t>本项目不会引起土壤环境的酸化、盐化和碱化，不属于生态影响型，污染物如发生泄漏，主要为点状渗漏，可能会通过下渗污染土壤环境质量，因此属于污染影响型，其污染途径主要为垂直入渗，如表</w:t>
      </w:r>
      <w:r>
        <w:rPr>
          <w:rFonts w:cs="宋体"/>
          <w:szCs w:val="24"/>
        </w:rPr>
        <w:t>5.2-21</w:t>
      </w:r>
      <w:r>
        <w:rPr>
          <w:rFonts w:hint="eastAsia" w:cs="宋体"/>
          <w:szCs w:val="24"/>
        </w:rPr>
        <w:t>所示。</w:t>
      </w:r>
    </w:p>
    <w:p w14:paraId="6B28C802">
      <w:pPr>
        <w:ind w:firstLine="0" w:firstLineChars="0"/>
        <w:jc w:val="center"/>
        <w:rPr>
          <w:rFonts w:cs="宋体"/>
          <w:b/>
          <w:bCs/>
          <w:szCs w:val="24"/>
        </w:rPr>
      </w:pPr>
      <w:r>
        <w:rPr>
          <w:rFonts w:hint="eastAsia" w:cs="宋体"/>
          <w:b/>
          <w:bCs/>
          <w:szCs w:val="24"/>
        </w:rPr>
        <w:t>表</w:t>
      </w:r>
      <w:r>
        <w:rPr>
          <w:rFonts w:cs="宋体"/>
          <w:b/>
          <w:bCs/>
          <w:szCs w:val="24"/>
        </w:rPr>
        <w:t>5.2-21</w:t>
      </w:r>
      <w:r>
        <w:rPr>
          <w:rFonts w:hint="eastAsia" w:cs="宋体"/>
          <w:b/>
          <w:bCs/>
          <w:szCs w:val="24"/>
        </w:rPr>
        <w:t>土壤环境影响类型及途径识别一览表</w:t>
      </w:r>
    </w:p>
    <w:tbl>
      <w:tblPr>
        <w:tblStyle w:val="4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249"/>
        <w:gridCol w:w="1249"/>
        <w:gridCol w:w="1249"/>
        <w:gridCol w:w="759"/>
        <w:gridCol w:w="752"/>
        <w:gridCol w:w="752"/>
        <w:gridCol w:w="752"/>
        <w:gridCol w:w="757"/>
      </w:tblGrid>
      <w:tr w14:paraId="2629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pct"/>
            <w:vMerge w:val="restart"/>
            <w:vAlign w:val="center"/>
          </w:tcPr>
          <w:p w14:paraId="168DEC3D">
            <w:pPr>
              <w:ind w:firstLine="0" w:firstLineChars="0"/>
              <w:jc w:val="center"/>
              <w:rPr>
                <w:rFonts w:cs="宋体"/>
                <w:sz w:val="21"/>
                <w:szCs w:val="24"/>
              </w:rPr>
            </w:pPr>
            <w:r>
              <w:rPr>
                <w:rFonts w:hint="eastAsia" w:cs="宋体"/>
                <w:sz w:val="21"/>
                <w:szCs w:val="24"/>
              </w:rPr>
              <w:t>时段</w:t>
            </w:r>
          </w:p>
        </w:tc>
        <w:tc>
          <w:tcPr>
            <w:tcW w:w="2644" w:type="pct"/>
            <w:gridSpan w:val="4"/>
            <w:vAlign w:val="center"/>
          </w:tcPr>
          <w:p w14:paraId="5DACAF35">
            <w:pPr>
              <w:ind w:firstLine="0" w:firstLineChars="0"/>
              <w:jc w:val="center"/>
              <w:rPr>
                <w:rFonts w:cs="宋体"/>
                <w:sz w:val="21"/>
                <w:szCs w:val="24"/>
              </w:rPr>
            </w:pPr>
            <w:r>
              <w:rPr>
                <w:rFonts w:hint="eastAsia" w:cs="宋体"/>
                <w:sz w:val="21"/>
                <w:szCs w:val="24"/>
              </w:rPr>
              <w:t>污染影响型</w:t>
            </w:r>
          </w:p>
        </w:tc>
        <w:tc>
          <w:tcPr>
            <w:tcW w:w="1767" w:type="pct"/>
            <w:gridSpan w:val="4"/>
            <w:vAlign w:val="center"/>
          </w:tcPr>
          <w:p w14:paraId="44CA764B">
            <w:pPr>
              <w:ind w:firstLine="0" w:firstLineChars="0"/>
              <w:jc w:val="center"/>
              <w:rPr>
                <w:rFonts w:cs="宋体"/>
                <w:sz w:val="21"/>
                <w:szCs w:val="24"/>
              </w:rPr>
            </w:pPr>
            <w:r>
              <w:rPr>
                <w:rFonts w:hint="eastAsia" w:cs="宋体"/>
                <w:sz w:val="21"/>
                <w:szCs w:val="24"/>
              </w:rPr>
              <w:t>生态影响型</w:t>
            </w:r>
          </w:p>
        </w:tc>
      </w:tr>
      <w:tr w14:paraId="7813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pct"/>
            <w:vMerge w:val="continue"/>
            <w:vAlign w:val="center"/>
          </w:tcPr>
          <w:p w14:paraId="0EEFC068">
            <w:pPr>
              <w:ind w:firstLine="0" w:firstLineChars="0"/>
              <w:jc w:val="center"/>
              <w:rPr>
                <w:rFonts w:cs="宋体"/>
                <w:sz w:val="21"/>
                <w:szCs w:val="24"/>
              </w:rPr>
            </w:pPr>
          </w:p>
        </w:tc>
        <w:tc>
          <w:tcPr>
            <w:tcW w:w="733" w:type="pct"/>
            <w:vAlign w:val="center"/>
          </w:tcPr>
          <w:p w14:paraId="1EB50391">
            <w:pPr>
              <w:ind w:firstLine="0" w:firstLineChars="0"/>
              <w:jc w:val="center"/>
              <w:rPr>
                <w:rFonts w:cs="宋体"/>
                <w:sz w:val="21"/>
                <w:szCs w:val="24"/>
              </w:rPr>
            </w:pPr>
            <w:r>
              <w:rPr>
                <w:rFonts w:hint="eastAsia" w:cs="宋体"/>
                <w:sz w:val="21"/>
                <w:szCs w:val="24"/>
              </w:rPr>
              <w:t>大气降尘</w:t>
            </w:r>
          </w:p>
        </w:tc>
        <w:tc>
          <w:tcPr>
            <w:tcW w:w="733" w:type="pct"/>
            <w:vAlign w:val="center"/>
          </w:tcPr>
          <w:p w14:paraId="2156847B">
            <w:pPr>
              <w:ind w:firstLine="0" w:firstLineChars="0"/>
              <w:jc w:val="center"/>
              <w:rPr>
                <w:rFonts w:cs="宋体"/>
                <w:sz w:val="21"/>
                <w:szCs w:val="24"/>
              </w:rPr>
            </w:pPr>
            <w:r>
              <w:rPr>
                <w:rFonts w:hint="eastAsia" w:cs="宋体"/>
                <w:sz w:val="21"/>
                <w:szCs w:val="24"/>
              </w:rPr>
              <w:t>地面漫流</w:t>
            </w:r>
          </w:p>
        </w:tc>
        <w:tc>
          <w:tcPr>
            <w:tcW w:w="733" w:type="pct"/>
            <w:vAlign w:val="center"/>
          </w:tcPr>
          <w:p w14:paraId="0F251C02">
            <w:pPr>
              <w:ind w:firstLine="0" w:firstLineChars="0"/>
              <w:jc w:val="center"/>
              <w:rPr>
                <w:rFonts w:cs="宋体"/>
                <w:sz w:val="21"/>
                <w:szCs w:val="24"/>
              </w:rPr>
            </w:pPr>
            <w:r>
              <w:rPr>
                <w:rFonts w:hint="eastAsia" w:cs="宋体"/>
                <w:sz w:val="21"/>
                <w:szCs w:val="24"/>
              </w:rPr>
              <w:t>垂直入渗</w:t>
            </w:r>
          </w:p>
        </w:tc>
        <w:tc>
          <w:tcPr>
            <w:tcW w:w="443" w:type="pct"/>
            <w:vAlign w:val="center"/>
          </w:tcPr>
          <w:p w14:paraId="1DB02A7B">
            <w:pPr>
              <w:ind w:firstLine="0" w:firstLineChars="0"/>
              <w:jc w:val="center"/>
              <w:rPr>
                <w:rFonts w:cs="宋体"/>
                <w:sz w:val="21"/>
                <w:szCs w:val="24"/>
              </w:rPr>
            </w:pPr>
            <w:r>
              <w:rPr>
                <w:rFonts w:hint="eastAsia" w:cs="宋体"/>
                <w:sz w:val="21"/>
                <w:szCs w:val="24"/>
              </w:rPr>
              <w:t>其他</w:t>
            </w:r>
          </w:p>
        </w:tc>
        <w:tc>
          <w:tcPr>
            <w:tcW w:w="441" w:type="pct"/>
            <w:vAlign w:val="center"/>
          </w:tcPr>
          <w:p w14:paraId="0A5A7B8A">
            <w:pPr>
              <w:ind w:firstLine="0" w:firstLineChars="0"/>
              <w:jc w:val="center"/>
              <w:rPr>
                <w:rFonts w:cs="宋体"/>
                <w:sz w:val="21"/>
                <w:szCs w:val="24"/>
              </w:rPr>
            </w:pPr>
            <w:r>
              <w:rPr>
                <w:rFonts w:hint="eastAsia" w:cs="宋体"/>
                <w:sz w:val="21"/>
                <w:szCs w:val="24"/>
              </w:rPr>
              <w:t>盐化</w:t>
            </w:r>
          </w:p>
        </w:tc>
        <w:tc>
          <w:tcPr>
            <w:tcW w:w="441" w:type="pct"/>
            <w:vAlign w:val="center"/>
          </w:tcPr>
          <w:p w14:paraId="4C422237">
            <w:pPr>
              <w:ind w:firstLine="0" w:firstLineChars="0"/>
              <w:jc w:val="center"/>
              <w:rPr>
                <w:rFonts w:cs="宋体"/>
                <w:sz w:val="21"/>
                <w:szCs w:val="24"/>
              </w:rPr>
            </w:pPr>
            <w:r>
              <w:rPr>
                <w:rFonts w:hint="eastAsia" w:cs="宋体"/>
                <w:sz w:val="21"/>
                <w:szCs w:val="24"/>
              </w:rPr>
              <w:t>碱化</w:t>
            </w:r>
          </w:p>
        </w:tc>
        <w:tc>
          <w:tcPr>
            <w:tcW w:w="441" w:type="pct"/>
            <w:vAlign w:val="center"/>
          </w:tcPr>
          <w:p w14:paraId="202783F4">
            <w:pPr>
              <w:ind w:firstLine="0" w:firstLineChars="0"/>
              <w:jc w:val="center"/>
              <w:rPr>
                <w:rFonts w:cs="宋体"/>
                <w:sz w:val="21"/>
                <w:szCs w:val="24"/>
              </w:rPr>
            </w:pPr>
            <w:r>
              <w:rPr>
                <w:rFonts w:hint="eastAsia" w:cs="宋体"/>
                <w:sz w:val="21"/>
                <w:szCs w:val="24"/>
              </w:rPr>
              <w:t>酸化</w:t>
            </w:r>
          </w:p>
        </w:tc>
        <w:tc>
          <w:tcPr>
            <w:tcW w:w="442" w:type="pct"/>
            <w:vAlign w:val="center"/>
          </w:tcPr>
          <w:p w14:paraId="26FDF7AA">
            <w:pPr>
              <w:ind w:firstLine="0" w:firstLineChars="0"/>
              <w:jc w:val="center"/>
              <w:rPr>
                <w:rFonts w:cs="宋体"/>
                <w:sz w:val="21"/>
                <w:szCs w:val="24"/>
              </w:rPr>
            </w:pPr>
            <w:r>
              <w:rPr>
                <w:rFonts w:hint="eastAsia" w:cs="宋体"/>
                <w:sz w:val="21"/>
                <w:szCs w:val="24"/>
              </w:rPr>
              <w:t>其他</w:t>
            </w:r>
          </w:p>
        </w:tc>
      </w:tr>
      <w:tr w14:paraId="5113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pct"/>
            <w:vAlign w:val="center"/>
          </w:tcPr>
          <w:p w14:paraId="0E1855C6">
            <w:pPr>
              <w:ind w:firstLine="0" w:firstLineChars="0"/>
              <w:jc w:val="center"/>
              <w:rPr>
                <w:rFonts w:cs="宋体"/>
                <w:sz w:val="21"/>
                <w:szCs w:val="24"/>
              </w:rPr>
            </w:pPr>
            <w:r>
              <w:rPr>
                <w:rFonts w:hint="eastAsia" w:cs="宋体"/>
                <w:sz w:val="21"/>
                <w:szCs w:val="24"/>
              </w:rPr>
              <w:t>运营期</w:t>
            </w:r>
          </w:p>
        </w:tc>
        <w:tc>
          <w:tcPr>
            <w:tcW w:w="733" w:type="pct"/>
            <w:vAlign w:val="center"/>
          </w:tcPr>
          <w:p w14:paraId="569F5097">
            <w:pPr>
              <w:ind w:firstLine="0" w:firstLineChars="0"/>
              <w:jc w:val="center"/>
              <w:rPr>
                <w:rFonts w:cs="宋体"/>
                <w:sz w:val="21"/>
                <w:szCs w:val="24"/>
              </w:rPr>
            </w:pPr>
            <w:r>
              <w:rPr>
                <w:rFonts w:hint="eastAsia" w:cs="宋体"/>
                <w:sz w:val="21"/>
                <w:szCs w:val="24"/>
              </w:rPr>
              <w:t>/</w:t>
            </w:r>
          </w:p>
        </w:tc>
        <w:tc>
          <w:tcPr>
            <w:tcW w:w="733" w:type="pct"/>
            <w:vAlign w:val="center"/>
          </w:tcPr>
          <w:p w14:paraId="38E38B85">
            <w:pPr>
              <w:ind w:firstLine="0" w:firstLineChars="0"/>
              <w:jc w:val="center"/>
              <w:rPr>
                <w:rFonts w:cs="宋体"/>
                <w:sz w:val="21"/>
                <w:szCs w:val="24"/>
              </w:rPr>
            </w:pPr>
            <w:r>
              <w:rPr>
                <w:rFonts w:hint="eastAsia" w:cs="宋体"/>
                <w:sz w:val="21"/>
                <w:szCs w:val="24"/>
              </w:rPr>
              <w:t>/</w:t>
            </w:r>
          </w:p>
        </w:tc>
        <w:tc>
          <w:tcPr>
            <w:tcW w:w="733" w:type="pct"/>
            <w:vAlign w:val="center"/>
          </w:tcPr>
          <w:p w14:paraId="0C6C3EEB">
            <w:pPr>
              <w:ind w:firstLine="0" w:firstLineChars="0"/>
              <w:jc w:val="center"/>
              <w:rPr>
                <w:rFonts w:cs="宋体"/>
                <w:sz w:val="21"/>
                <w:szCs w:val="24"/>
              </w:rPr>
            </w:pPr>
            <w:r>
              <w:rPr>
                <w:rFonts w:ascii="Arial" w:hAnsi="Arial" w:cs="Arial"/>
                <w:sz w:val="21"/>
                <w:szCs w:val="24"/>
              </w:rPr>
              <w:t>√</w:t>
            </w:r>
          </w:p>
        </w:tc>
        <w:tc>
          <w:tcPr>
            <w:tcW w:w="443" w:type="pct"/>
            <w:vAlign w:val="center"/>
          </w:tcPr>
          <w:p w14:paraId="2FB6696E">
            <w:pPr>
              <w:ind w:firstLine="0" w:firstLineChars="0"/>
              <w:jc w:val="center"/>
              <w:rPr>
                <w:rFonts w:cs="宋体"/>
                <w:sz w:val="21"/>
                <w:szCs w:val="24"/>
              </w:rPr>
            </w:pPr>
            <w:r>
              <w:rPr>
                <w:rFonts w:hint="eastAsia" w:cs="宋体"/>
                <w:sz w:val="21"/>
                <w:szCs w:val="24"/>
              </w:rPr>
              <w:t>/</w:t>
            </w:r>
          </w:p>
        </w:tc>
        <w:tc>
          <w:tcPr>
            <w:tcW w:w="441" w:type="pct"/>
            <w:vAlign w:val="center"/>
          </w:tcPr>
          <w:p w14:paraId="03F77350">
            <w:pPr>
              <w:ind w:firstLine="0" w:firstLineChars="0"/>
              <w:jc w:val="center"/>
              <w:rPr>
                <w:rFonts w:cs="宋体"/>
                <w:sz w:val="21"/>
                <w:szCs w:val="24"/>
              </w:rPr>
            </w:pPr>
            <w:r>
              <w:rPr>
                <w:rFonts w:hint="eastAsia" w:cs="宋体"/>
                <w:sz w:val="21"/>
                <w:szCs w:val="24"/>
              </w:rPr>
              <w:t>/</w:t>
            </w:r>
          </w:p>
        </w:tc>
        <w:tc>
          <w:tcPr>
            <w:tcW w:w="441" w:type="pct"/>
            <w:vAlign w:val="center"/>
          </w:tcPr>
          <w:p w14:paraId="470F6914">
            <w:pPr>
              <w:ind w:firstLine="0" w:firstLineChars="0"/>
              <w:jc w:val="center"/>
              <w:rPr>
                <w:rFonts w:cs="宋体"/>
                <w:sz w:val="21"/>
                <w:szCs w:val="24"/>
              </w:rPr>
            </w:pPr>
            <w:r>
              <w:rPr>
                <w:rFonts w:hint="eastAsia" w:cs="宋体"/>
                <w:sz w:val="21"/>
                <w:szCs w:val="24"/>
              </w:rPr>
              <w:t>/</w:t>
            </w:r>
          </w:p>
        </w:tc>
        <w:tc>
          <w:tcPr>
            <w:tcW w:w="441" w:type="pct"/>
            <w:vAlign w:val="center"/>
          </w:tcPr>
          <w:p w14:paraId="353EF3C4">
            <w:pPr>
              <w:ind w:firstLine="0" w:firstLineChars="0"/>
              <w:jc w:val="center"/>
              <w:rPr>
                <w:rFonts w:cs="宋体"/>
                <w:sz w:val="21"/>
                <w:szCs w:val="24"/>
              </w:rPr>
            </w:pPr>
            <w:r>
              <w:rPr>
                <w:rFonts w:hint="eastAsia" w:cs="宋体"/>
                <w:sz w:val="21"/>
                <w:szCs w:val="24"/>
              </w:rPr>
              <w:t>/</w:t>
            </w:r>
          </w:p>
        </w:tc>
        <w:tc>
          <w:tcPr>
            <w:tcW w:w="442" w:type="pct"/>
            <w:vAlign w:val="center"/>
          </w:tcPr>
          <w:p w14:paraId="4B1A7554">
            <w:pPr>
              <w:ind w:firstLine="0" w:firstLineChars="0"/>
              <w:jc w:val="center"/>
              <w:rPr>
                <w:rFonts w:cs="宋体"/>
                <w:sz w:val="21"/>
                <w:szCs w:val="24"/>
              </w:rPr>
            </w:pPr>
            <w:r>
              <w:rPr>
                <w:rFonts w:hint="eastAsia" w:cs="宋体"/>
                <w:sz w:val="21"/>
                <w:szCs w:val="24"/>
              </w:rPr>
              <w:t>/</w:t>
            </w:r>
          </w:p>
        </w:tc>
      </w:tr>
    </w:tbl>
    <w:p w14:paraId="040B0E26">
      <w:pPr>
        <w:ind w:firstLine="480"/>
        <w:rPr>
          <w:rFonts w:cs="宋体"/>
          <w:szCs w:val="24"/>
        </w:rPr>
      </w:pPr>
      <w:r>
        <w:rPr>
          <w:rFonts w:cs="宋体"/>
          <w:szCs w:val="24"/>
        </w:rPr>
        <w:t>2</w:t>
      </w:r>
      <w:r>
        <w:rPr>
          <w:rFonts w:hint="eastAsia" w:cs="宋体"/>
          <w:szCs w:val="24"/>
        </w:rPr>
        <w:t>、污染物影响源及影响因子识别</w:t>
      </w:r>
    </w:p>
    <w:p w14:paraId="372A86D2">
      <w:pPr>
        <w:ind w:firstLine="480"/>
        <w:rPr>
          <w:rFonts w:cs="宋体"/>
          <w:szCs w:val="24"/>
        </w:rPr>
      </w:pPr>
      <w:r>
        <w:rPr>
          <w:rFonts w:hint="eastAsia" w:cs="宋体"/>
          <w:szCs w:val="24"/>
        </w:rPr>
        <w:t>本项目正常工况下不会对土壤产生不利影响，对土壤的潜在污染源主要为物料泄漏或污水泄漏。</w:t>
      </w:r>
    </w:p>
    <w:p w14:paraId="7582F6E9">
      <w:pPr>
        <w:ind w:firstLine="0" w:firstLineChars="0"/>
        <w:jc w:val="center"/>
        <w:rPr>
          <w:rFonts w:cs="宋体"/>
          <w:b/>
          <w:bCs/>
          <w:szCs w:val="24"/>
        </w:rPr>
      </w:pPr>
      <w:r>
        <w:rPr>
          <w:rFonts w:hint="eastAsia" w:cs="宋体"/>
          <w:b/>
          <w:bCs/>
          <w:szCs w:val="24"/>
        </w:rPr>
        <w:t>表</w:t>
      </w:r>
      <w:r>
        <w:rPr>
          <w:rFonts w:cs="宋体"/>
          <w:b/>
          <w:bCs/>
          <w:szCs w:val="24"/>
        </w:rPr>
        <w:t>5.2-22</w:t>
      </w:r>
      <w:r>
        <w:rPr>
          <w:rFonts w:hint="eastAsia" w:cs="宋体"/>
          <w:b/>
          <w:bCs/>
          <w:szCs w:val="24"/>
        </w:rPr>
        <w:t>项目土壤环境影响源及影响因子识别一览表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63"/>
        <w:gridCol w:w="1608"/>
        <w:gridCol w:w="1351"/>
        <w:gridCol w:w="1768"/>
        <w:gridCol w:w="1141"/>
        <w:gridCol w:w="1078"/>
      </w:tblGrid>
      <w:tr w14:paraId="7C17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gridSpan w:val="2"/>
            <w:vAlign w:val="center"/>
          </w:tcPr>
          <w:p w14:paraId="3C473391">
            <w:pPr>
              <w:ind w:firstLine="0" w:firstLineChars="0"/>
              <w:jc w:val="center"/>
              <w:rPr>
                <w:rFonts w:cs="宋体"/>
                <w:sz w:val="21"/>
                <w:szCs w:val="24"/>
              </w:rPr>
            </w:pPr>
            <w:r>
              <w:rPr>
                <w:rFonts w:hint="eastAsia" w:cs="宋体"/>
                <w:sz w:val="21"/>
                <w:szCs w:val="24"/>
              </w:rPr>
              <w:t>污染源</w:t>
            </w:r>
          </w:p>
        </w:tc>
        <w:tc>
          <w:tcPr>
            <w:tcW w:w="943" w:type="pct"/>
            <w:vAlign w:val="center"/>
          </w:tcPr>
          <w:p w14:paraId="1292234F">
            <w:pPr>
              <w:ind w:firstLine="0" w:firstLineChars="0"/>
              <w:jc w:val="center"/>
              <w:rPr>
                <w:rFonts w:cs="宋体"/>
                <w:sz w:val="21"/>
                <w:szCs w:val="24"/>
              </w:rPr>
            </w:pPr>
            <w:r>
              <w:rPr>
                <w:rFonts w:hint="eastAsia" w:cs="宋体"/>
                <w:sz w:val="21"/>
                <w:szCs w:val="24"/>
              </w:rPr>
              <w:t>工艺流程/节点</w:t>
            </w:r>
          </w:p>
        </w:tc>
        <w:tc>
          <w:tcPr>
            <w:tcW w:w="792" w:type="pct"/>
            <w:vAlign w:val="center"/>
          </w:tcPr>
          <w:p w14:paraId="0B615B2E">
            <w:pPr>
              <w:ind w:firstLine="0" w:firstLineChars="0"/>
              <w:jc w:val="center"/>
              <w:rPr>
                <w:rFonts w:cs="宋体"/>
                <w:sz w:val="21"/>
                <w:szCs w:val="24"/>
              </w:rPr>
            </w:pPr>
            <w:r>
              <w:rPr>
                <w:rFonts w:hint="eastAsia" w:cs="宋体"/>
                <w:sz w:val="21"/>
                <w:szCs w:val="24"/>
              </w:rPr>
              <w:t>污染途径</w:t>
            </w:r>
          </w:p>
        </w:tc>
        <w:tc>
          <w:tcPr>
            <w:tcW w:w="1037" w:type="pct"/>
            <w:vAlign w:val="center"/>
          </w:tcPr>
          <w:p w14:paraId="30F3A025">
            <w:pPr>
              <w:ind w:firstLine="0" w:firstLineChars="0"/>
              <w:jc w:val="center"/>
              <w:rPr>
                <w:rFonts w:cs="宋体"/>
                <w:sz w:val="21"/>
                <w:szCs w:val="24"/>
              </w:rPr>
            </w:pPr>
            <w:r>
              <w:rPr>
                <w:rFonts w:hint="eastAsia" w:cs="宋体"/>
                <w:sz w:val="21"/>
                <w:szCs w:val="24"/>
              </w:rPr>
              <w:t>全部污染物指标</w:t>
            </w:r>
          </w:p>
        </w:tc>
        <w:tc>
          <w:tcPr>
            <w:tcW w:w="669" w:type="pct"/>
            <w:vAlign w:val="center"/>
          </w:tcPr>
          <w:p w14:paraId="0D537A45">
            <w:pPr>
              <w:ind w:firstLine="0" w:firstLineChars="0"/>
              <w:jc w:val="center"/>
              <w:rPr>
                <w:rFonts w:cs="宋体"/>
                <w:sz w:val="21"/>
                <w:szCs w:val="24"/>
              </w:rPr>
            </w:pPr>
            <w:r>
              <w:rPr>
                <w:rFonts w:hint="eastAsia" w:cs="宋体"/>
                <w:sz w:val="21"/>
                <w:szCs w:val="24"/>
              </w:rPr>
              <w:t>特征因子</w:t>
            </w:r>
          </w:p>
        </w:tc>
        <w:tc>
          <w:tcPr>
            <w:tcW w:w="632" w:type="pct"/>
            <w:vAlign w:val="center"/>
          </w:tcPr>
          <w:p w14:paraId="56865FD7">
            <w:pPr>
              <w:ind w:firstLine="0" w:firstLineChars="0"/>
              <w:jc w:val="center"/>
              <w:rPr>
                <w:rFonts w:cs="宋体"/>
                <w:sz w:val="21"/>
                <w:szCs w:val="24"/>
              </w:rPr>
            </w:pPr>
            <w:r>
              <w:rPr>
                <w:rFonts w:hint="eastAsia" w:cs="宋体"/>
                <w:sz w:val="21"/>
                <w:szCs w:val="24"/>
              </w:rPr>
              <w:t>备注</w:t>
            </w:r>
          </w:p>
        </w:tc>
      </w:tr>
      <w:tr w14:paraId="2EC0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restart"/>
            <w:vAlign w:val="center"/>
          </w:tcPr>
          <w:p w14:paraId="2E750833">
            <w:pPr>
              <w:ind w:firstLine="0" w:firstLineChars="0"/>
              <w:jc w:val="center"/>
              <w:rPr>
                <w:rFonts w:cs="宋体"/>
                <w:sz w:val="21"/>
                <w:szCs w:val="24"/>
              </w:rPr>
            </w:pPr>
            <w:r>
              <w:rPr>
                <w:rFonts w:hint="eastAsia" w:cs="宋体"/>
                <w:sz w:val="21"/>
                <w:szCs w:val="24"/>
              </w:rPr>
              <w:t>运营期</w:t>
            </w:r>
          </w:p>
        </w:tc>
        <w:tc>
          <w:tcPr>
            <w:tcW w:w="506" w:type="pct"/>
            <w:vMerge w:val="restart"/>
            <w:vAlign w:val="center"/>
          </w:tcPr>
          <w:p w14:paraId="5AC86B4F">
            <w:pPr>
              <w:ind w:firstLine="0" w:firstLineChars="0"/>
              <w:jc w:val="center"/>
              <w:rPr>
                <w:rFonts w:cs="宋体"/>
                <w:sz w:val="21"/>
                <w:szCs w:val="24"/>
              </w:rPr>
            </w:pPr>
            <w:r>
              <w:rPr>
                <w:rFonts w:hint="eastAsia" w:cs="宋体"/>
                <w:sz w:val="21"/>
                <w:szCs w:val="24"/>
              </w:rPr>
              <w:t>储运设施</w:t>
            </w:r>
          </w:p>
        </w:tc>
        <w:tc>
          <w:tcPr>
            <w:tcW w:w="943" w:type="pct"/>
            <w:vMerge w:val="restart"/>
            <w:vAlign w:val="center"/>
          </w:tcPr>
          <w:p w14:paraId="55C9AD49">
            <w:pPr>
              <w:widowControl/>
              <w:ind w:firstLine="0" w:firstLineChars="0"/>
              <w:jc w:val="center"/>
              <w:rPr>
                <w:rFonts w:cs="宋体"/>
                <w:sz w:val="21"/>
                <w:szCs w:val="24"/>
              </w:rPr>
            </w:pPr>
            <w:r>
              <w:rPr>
                <w:rFonts w:hint="eastAsia" w:cs="宋体"/>
                <w:sz w:val="21"/>
                <w:lang w:bidi="ar"/>
              </w:rPr>
              <w:t>防渗化粪池</w:t>
            </w:r>
          </w:p>
        </w:tc>
        <w:tc>
          <w:tcPr>
            <w:tcW w:w="792" w:type="pct"/>
            <w:vAlign w:val="center"/>
          </w:tcPr>
          <w:p w14:paraId="35099F77">
            <w:pPr>
              <w:ind w:firstLine="0" w:firstLineChars="0"/>
              <w:jc w:val="center"/>
              <w:rPr>
                <w:rFonts w:cs="宋体"/>
                <w:sz w:val="21"/>
                <w:szCs w:val="24"/>
              </w:rPr>
            </w:pPr>
            <w:r>
              <w:rPr>
                <w:rFonts w:hint="eastAsia" w:cs="宋体"/>
                <w:sz w:val="21"/>
                <w:szCs w:val="24"/>
              </w:rPr>
              <w:t>大气降尘</w:t>
            </w:r>
          </w:p>
        </w:tc>
        <w:tc>
          <w:tcPr>
            <w:tcW w:w="1037" w:type="pct"/>
            <w:vAlign w:val="center"/>
          </w:tcPr>
          <w:p w14:paraId="4D3758D1">
            <w:pPr>
              <w:ind w:firstLine="0" w:firstLineChars="0"/>
              <w:jc w:val="center"/>
              <w:rPr>
                <w:rFonts w:cs="宋体"/>
                <w:sz w:val="21"/>
                <w:szCs w:val="24"/>
              </w:rPr>
            </w:pPr>
            <w:r>
              <w:rPr>
                <w:rFonts w:hint="eastAsia" w:cs="宋体"/>
                <w:sz w:val="21"/>
                <w:szCs w:val="24"/>
              </w:rPr>
              <w:t>/</w:t>
            </w:r>
          </w:p>
        </w:tc>
        <w:tc>
          <w:tcPr>
            <w:tcW w:w="669" w:type="pct"/>
            <w:vAlign w:val="center"/>
          </w:tcPr>
          <w:p w14:paraId="5F5739CB">
            <w:pPr>
              <w:ind w:firstLine="0" w:firstLineChars="0"/>
              <w:jc w:val="center"/>
              <w:rPr>
                <w:rFonts w:cs="宋体"/>
                <w:sz w:val="21"/>
                <w:szCs w:val="24"/>
              </w:rPr>
            </w:pPr>
            <w:r>
              <w:rPr>
                <w:rFonts w:hint="eastAsia" w:cs="宋体"/>
                <w:sz w:val="21"/>
                <w:szCs w:val="24"/>
              </w:rPr>
              <w:t>/</w:t>
            </w:r>
          </w:p>
        </w:tc>
        <w:tc>
          <w:tcPr>
            <w:tcW w:w="632" w:type="pct"/>
            <w:vAlign w:val="center"/>
          </w:tcPr>
          <w:p w14:paraId="305101DB">
            <w:pPr>
              <w:ind w:firstLine="0" w:firstLineChars="0"/>
              <w:jc w:val="center"/>
              <w:rPr>
                <w:rFonts w:cs="宋体"/>
                <w:sz w:val="21"/>
                <w:szCs w:val="24"/>
              </w:rPr>
            </w:pPr>
            <w:r>
              <w:rPr>
                <w:rFonts w:hint="eastAsia" w:cs="宋体"/>
                <w:sz w:val="21"/>
                <w:szCs w:val="24"/>
              </w:rPr>
              <w:t>/</w:t>
            </w:r>
          </w:p>
        </w:tc>
      </w:tr>
      <w:tr w14:paraId="0BAC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vAlign w:val="center"/>
          </w:tcPr>
          <w:p w14:paraId="3B022A0B">
            <w:pPr>
              <w:ind w:firstLine="0" w:firstLineChars="0"/>
              <w:jc w:val="center"/>
              <w:rPr>
                <w:rFonts w:cs="宋体"/>
                <w:sz w:val="21"/>
                <w:szCs w:val="24"/>
              </w:rPr>
            </w:pPr>
          </w:p>
        </w:tc>
        <w:tc>
          <w:tcPr>
            <w:tcW w:w="506" w:type="pct"/>
            <w:vMerge w:val="continue"/>
            <w:vAlign w:val="center"/>
          </w:tcPr>
          <w:p w14:paraId="5D13B432">
            <w:pPr>
              <w:ind w:firstLine="0" w:firstLineChars="0"/>
              <w:jc w:val="center"/>
              <w:rPr>
                <w:rFonts w:cs="宋体"/>
                <w:sz w:val="21"/>
                <w:szCs w:val="24"/>
              </w:rPr>
            </w:pPr>
          </w:p>
        </w:tc>
        <w:tc>
          <w:tcPr>
            <w:tcW w:w="943" w:type="pct"/>
            <w:vMerge w:val="continue"/>
            <w:vAlign w:val="center"/>
          </w:tcPr>
          <w:p w14:paraId="57F4D7F3">
            <w:pPr>
              <w:ind w:firstLine="0" w:firstLineChars="0"/>
              <w:jc w:val="center"/>
              <w:rPr>
                <w:rFonts w:cs="宋体"/>
                <w:sz w:val="21"/>
                <w:szCs w:val="24"/>
              </w:rPr>
            </w:pPr>
          </w:p>
        </w:tc>
        <w:tc>
          <w:tcPr>
            <w:tcW w:w="792" w:type="pct"/>
            <w:vAlign w:val="center"/>
          </w:tcPr>
          <w:p w14:paraId="670D73CB">
            <w:pPr>
              <w:ind w:firstLine="0" w:firstLineChars="0"/>
              <w:jc w:val="center"/>
              <w:rPr>
                <w:rFonts w:cs="宋体"/>
                <w:sz w:val="21"/>
                <w:szCs w:val="24"/>
              </w:rPr>
            </w:pPr>
            <w:r>
              <w:rPr>
                <w:rFonts w:hint="eastAsia" w:cs="宋体"/>
                <w:sz w:val="21"/>
                <w:szCs w:val="24"/>
              </w:rPr>
              <w:t>地面漫流</w:t>
            </w:r>
          </w:p>
        </w:tc>
        <w:tc>
          <w:tcPr>
            <w:tcW w:w="1037" w:type="pct"/>
            <w:vAlign w:val="center"/>
          </w:tcPr>
          <w:p w14:paraId="0A202FE1">
            <w:pPr>
              <w:ind w:firstLine="0" w:firstLineChars="0"/>
              <w:jc w:val="center"/>
              <w:rPr>
                <w:rFonts w:cs="宋体"/>
                <w:sz w:val="21"/>
                <w:szCs w:val="24"/>
              </w:rPr>
            </w:pPr>
            <w:r>
              <w:rPr>
                <w:rFonts w:hint="eastAsia" w:cs="宋体"/>
                <w:sz w:val="21"/>
                <w:szCs w:val="24"/>
              </w:rPr>
              <w:t>/</w:t>
            </w:r>
          </w:p>
        </w:tc>
        <w:tc>
          <w:tcPr>
            <w:tcW w:w="669" w:type="pct"/>
            <w:vAlign w:val="center"/>
          </w:tcPr>
          <w:p w14:paraId="0FD98B41">
            <w:pPr>
              <w:ind w:firstLine="0" w:firstLineChars="0"/>
              <w:jc w:val="center"/>
              <w:rPr>
                <w:rFonts w:cs="宋体"/>
                <w:sz w:val="21"/>
                <w:szCs w:val="24"/>
              </w:rPr>
            </w:pPr>
            <w:r>
              <w:rPr>
                <w:rFonts w:hint="eastAsia" w:cs="宋体"/>
                <w:sz w:val="21"/>
                <w:szCs w:val="24"/>
              </w:rPr>
              <w:t>/</w:t>
            </w:r>
          </w:p>
        </w:tc>
        <w:tc>
          <w:tcPr>
            <w:tcW w:w="632" w:type="pct"/>
            <w:vAlign w:val="center"/>
          </w:tcPr>
          <w:p w14:paraId="27BFFF27">
            <w:pPr>
              <w:ind w:firstLine="0" w:firstLineChars="0"/>
              <w:jc w:val="center"/>
              <w:rPr>
                <w:rFonts w:cs="宋体"/>
                <w:sz w:val="21"/>
                <w:szCs w:val="24"/>
              </w:rPr>
            </w:pPr>
            <w:r>
              <w:rPr>
                <w:rFonts w:hint="eastAsia" w:cs="宋体"/>
                <w:sz w:val="21"/>
                <w:szCs w:val="24"/>
              </w:rPr>
              <w:t>/</w:t>
            </w:r>
          </w:p>
        </w:tc>
      </w:tr>
      <w:tr w14:paraId="12C1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vAlign w:val="center"/>
          </w:tcPr>
          <w:p w14:paraId="693B2DF4">
            <w:pPr>
              <w:ind w:firstLine="0" w:firstLineChars="0"/>
              <w:jc w:val="center"/>
              <w:rPr>
                <w:rFonts w:cs="宋体"/>
                <w:sz w:val="21"/>
                <w:szCs w:val="24"/>
              </w:rPr>
            </w:pPr>
          </w:p>
        </w:tc>
        <w:tc>
          <w:tcPr>
            <w:tcW w:w="506" w:type="pct"/>
            <w:vMerge w:val="continue"/>
            <w:vAlign w:val="center"/>
          </w:tcPr>
          <w:p w14:paraId="1E5EDCCF">
            <w:pPr>
              <w:ind w:firstLine="0" w:firstLineChars="0"/>
              <w:jc w:val="center"/>
              <w:rPr>
                <w:rFonts w:cs="宋体"/>
                <w:sz w:val="21"/>
                <w:szCs w:val="24"/>
              </w:rPr>
            </w:pPr>
          </w:p>
        </w:tc>
        <w:tc>
          <w:tcPr>
            <w:tcW w:w="943" w:type="pct"/>
            <w:vMerge w:val="continue"/>
            <w:vAlign w:val="center"/>
          </w:tcPr>
          <w:p w14:paraId="3849ABA5">
            <w:pPr>
              <w:ind w:firstLine="0" w:firstLineChars="0"/>
              <w:jc w:val="center"/>
              <w:rPr>
                <w:rFonts w:cs="宋体"/>
                <w:sz w:val="21"/>
                <w:szCs w:val="24"/>
              </w:rPr>
            </w:pPr>
          </w:p>
        </w:tc>
        <w:tc>
          <w:tcPr>
            <w:tcW w:w="792" w:type="pct"/>
            <w:vAlign w:val="center"/>
          </w:tcPr>
          <w:p w14:paraId="7D4AA67D">
            <w:pPr>
              <w:ind w:firstLine="0" w:firstLineChars="0"/>
              <w:jc w:val="center"/>
              <w:rPr>
                <w:rFonts w:cs="宋体"/>
                <w:sz w:val="21"/>
                <w:szCs w:val="24"/>
              </w:rPr>
            </w:pPr>
            <w:r>
              <w:rPr>
                <w:rFonts w:hint="eastAsia" w:cs="宋体"/>
                <w:sz w:val="21"/>
                <w:szCs w:val="24"/>
              </w:rPr>
              <w:t>垂直入渗</w:t>
            </w:r>
          </w:p>
        </w:tc>
        <w:tc>
          <w:tcPr>
            <w:tcW w:w="1037" w:type="pct"/>
            <w:vAlign w:val="center"/>
          </w:tcPr>
          <w:p w14:paraId="33E2098A">
            <w:pPr>
              <w:widowControl/>
              <w:ind w:firstLine="0" w:firstLineChars="0"/>
              <w:jc w:val="center"/>
              <w:rPr>
                <w:rFonts w:cs="宋体"/>
                <w:sz w:val="21"/>
                <w:szCs w:val="24"/>
              </w:rPr>
            </w:pPr>
            <w:r>
              <w:rPr>
                <w:sz w:val="21"/>
                <w:lang w:bidi="ar"/>
              </w:rPr>
              <w:t>COD</w:t>
            </w:r>
            <w:r>
              <w:rPr>
                <w:rFonts w:hint="eastAsia" w:cs="宋体"/>
                <w:sz w:val="21"/>
                <w:lang w:bidi="ar"/>
              </w:rPr>
              <w:t>、</w:t>
            </w:r>
            <w:r>
              <w:rPr>
                <w:sz w:val="21"/>
                <w:lang w:bidi="ar"/>
              </w:rPr>
              <w:t>BOD</w:t>
            </w:r>
            <w:r>
              <w:rPr>
                <w:rFonts w:hint="eastAsia" w:cs="宋体"/>
                <w:sz w:val="21"/>
                <w:lang w:bidi="ar"/>
              </w:rPr>
              <w:t>、</w:t>
            </w:r>
            <w:r>
              <w:rPr>
                <w:sz w:val="21"/>
                <w:lang w:bidi="ar"/>
              </w:rPr>
              <w:t>SS</w:t>
            </w:r>
            <w:r>
              <w:rPr>
                <w:rFonts w:hint="eastAsia" w:cs="宋体"/>
                <w:sz w:val="21"/>
                <w:lang w:bidi="ar"/>
              </w:rPr>
              <w:t>、氨氮</w:t>
            </w:r>
          </w:p>
        </w:tc>
        <w:tc>
          <w:tcPr>
            <w:tcW w:w="669" w:type="pct"/>
            <w:vAlign w:val="center"/>
          </w:tcPr>
          <w:p w14:paraId="0194BDFE">
            <w:pPr>
              <w:ind w:firstLine="0" w:firstLineChars="0"/>
              <w:jc w:val="center"/>
              <w:rPr>
                <w:rFonts w:cs="宋体"/>
                <w:sz w:val="21"/>
                <w:szCs w:val="24"/>
              </w:rPr>
            </w:pPr>
            <w:r>
              <w:rPr>
                <w:rFonts w:hint="eastAsia" w:cs="宋体"/>
                <w:sz w:val="21"/>
                <w:szCs w:val="24"/>
              </w:rPr>
              <w:t>/</w:t>
            </w:r>
          </w:p>
        </w:tc>
        <w:tc>
          <w:tcPr>
            <w:tcW w:w="632" w:type="pct"/>
            <w:vAlign w:val="center"/>
          </w:tcPr>
          <w:p w14:paraId="424957FF">
            <w:pPr>
              <w:ind w:firstLine="0" w:firstLineChars="0"/>
              <w:jc w:val="center"/>
              <w:rPr>
                <w:rFonts w:cs="宋体"/>
                <w:sz w:val="21"/>
                <w:szCs w:val="24"/>
              </w:rPr>
            </w:pPr>
            <w:r>
              <w:rPr>
                <w:rFonts w:hint="eastAsia" w:cs="宋体"/>
                <w:sz w:val="21"/>
                <w:szCs w:val="24"/>
              </w:rPr>
              <w:t>事故状态</w:t>
            </w:r>
          </w:p>
        </w:tc>
      </w:tr>
      <w:tr w14:paraId="2533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Merge w:val="continue"/>
            <w:vAlign w:val="center"/>
          </w:tcPr>
          <w:p w14:paraId="27D42760">
            <w:pPr>
              <w:ind w:firstLine="0" w:firstLineChars="0"/>
              <w:jc w:val="center"/>
              <w:rPr>
                <w:rFonts w:cs="宋体"/>
                <w:sz w:val="21"/>
                <w:szCs w:val="24"/>
              </w:rPr>
            </w:pPr>
          </w:p>
        </w:tc>
        <w:tc>
          <w:tcPr>
            <w:tcW w:w="506" w:type="pct"/>
            <w:vMerge w:val="continue"/>
            <w:vAlign w:val="center"/>
          </w:tcPr>
          <w:p w14:paraId="10F75F66">
            <w:pPr>
              <w:ind w:firstLine="0" w:firstLineChars="0"/>
              <w:jc w:val="center"/>
              <w:rPr>
                <w:rFonts w:cs="宋体"/>
                <w:sz w:val="21"/>
                <w:szCs w:val="24"/>
              </w:rPr>
            </w:pPr>
          </w:p>
        </w:tc>
        <w:tc>
          <w:tcPr>
            <w:tcW w:w="943" w:type="pct"/>
            <w:vMerge w:val="continue"/>
            <w:vAlign w:val="center"/>
          </w:tcPr>
          <w:p w14:paraId="7D139781">
            <w:pPr>
              <w:ind w:firstLine="0" w:firstLineChars="0"/>
              <w:jc w:val="center"/>
              <w:rPr>
                <w:rFonts w:cs="宋体"/>
                <w:sz w:val="21"/>
                <w:szCs w:val="24"/>
              </w:rPr>
            </w:pPr>
          </w:p>
        </w:tc>
        <w:tc>
          <w:tcPr>
            <w:tcW w:w="792" w:type="pct"/>
            <w:vAlign w:val="center"/>
          </w:tcPr>
          <w:p w14:paraId="73A82CB1">
            <w:pPr>
              <w:ind w:firstLine="0" w:firstLineChars="0"/>
              <w:jc w:val="center"/>
              <w:rPr>
                <w:rFonts w:cs="宋体"/>
                <w:sz w:val="21"/>
                <w:szCs w:val="24"/>
              </w:rPr>
            </w:pPr>
            <w:r>
              <w:rPr>
                <w:rFonts w:hint="eastAsia" w:cs="宋体"/>
                <w:sz w:val="21"/>
                <w:szCs w:val="24"/>
              </w:rPr>
              <w:t>其他</w:t>
            </w:r>
          </w:p>
        </w:tc>
        <w:tc>
          <w:tcPr>
            <w:tcW w:w="1037" w:type="pct"/>
            <w:vAlign w:val="center"/>
          </w:tcPr>
          <w:p w14:paraId="15C773D2">
            <w:pPr>
              <w:ind w:firstLine="0" w:firstLineChars="0"/>
              <w:jc w:val="center"/>
              <w:rPr>
                <w:rFonts w:cs="宋体"/>
                <w:sz w:val="21"/>
                <w:szCs w:val="24"/>
              </w:rPr>
            </w:pPr>
            <w:r>
              <w:rPr>
                <w:rFonts w:hint="eastAsia" w:cs="宋体"/>
                <w:sz w:val="21"/>
                <w:szCs w:val="24"/>
              </w:rPr>
              <w:t>/</w:t>
            </w:r>
          </w:p>
        </w:tc>
        <w:tc>
          <w:tcPr>
            <w:tcW w:w="669" w:type="pct"/>
            <w:vAlign w:val="center"/>
          </w:tcPr>
          <w:p w14:paraId="1FB2F9F6">
            <w:pPr>
              <w:ind w:firstLine="0" w:firstLineChars="0"/>
              <w:jc w:val="center"/>
              <w:rPr>
                <w:rFonts w:cs="宋体"/>
                <w:sz w:val="21"/>
                <w:szCs w:val="24"/>
              </w:rPr>
            </w:pPr>
            <w:r>
              <w:rPr>
                <w:rFonts w:hint="eastAsia" w:cs="宋体"/>
                <w:sz w:val="21"/>
                <w:szCs w:val="24"/>
              </w:rPr>
              <w:t>/</w:t>
            </w:r>
          </w:p>
        </w:tc>
        <w:tc>
          <w:tcPr>
            <w:tcW w:w="632" w:type="pct"/>
            <w:vAlign w:val="center"/>
          </w:tcPr>
          <w:p w14:paraId="302C0E76">
            <w:pPr>
              <w:ind w:firstLine="0" w:firstLineChars="0"/>
              <w:jc w:val="center"/>
              <w:rPr>
                <w:rFonts w:cs="宋体"/>
                <w:sz w:val="21"/>
                <w:szCs w:val="24"/>
              </w:rPr>
            </w:pPr>
            <w:r>
              <w:rPr>
                <w:rFonts w:hint="eastAsia" w:cs="宋体"/>
                <w:sz w:val="21"/>
                <w:szCs w:val="24"/>
              </w:rPr>
              <w:t>/</w:t>
            </w:r>
          </w:p>
        </w:tc>
      </w:tr>
    </w:tbl>
    <w:p w14:paraId="467F2CE5">
      <w:pPr>
        <w:pStyle w:val="6"/>
        <w:ind w:firstLine="0" w:firstLineChars="0"/>
      </w:pPr>
      <w:r>
        <w:rPr>
          <w:rFonts w:hint="eastAsia"/>
        </w:rPr>
        <w:t>5</w:t>
      </w:r>
      <w:r>
        <w:t>.2.</w:t>
      </w:r>
      <w:r>
        <w:rPr>
          <w:rFonts w:hint="eastAsia"/>
        </w:rPr>
        <w:t>5</w:t>
      </w:r>
      <w:r>
        <w:t>.3土壤影响分析</w:t>
      </w:r>
    </w:p>
    <w:p w14:paraId="17EA2024">
      <w:pPr>
        <w:ind w:firstLine="480"/>
        <w:rPr>
          <w:rFonts w:cs="宋体"/>
          <w:szCs w:val="24"/>
        </w:rPr>
      </w:pPr>
      <w:r>
        <w:rPr>
          <w:rFonts w:hint="eastAsia" w:cs="宋体"/>
          <w:szCs w:val="24"/>
        </w:rPr>
        <w:t>本项目施工期结束后大部分开挖面将由建筑（构）物所取代，工程施工对土壤和生态环境的影响会逐渐降低。本项目地面构筑物分布较多，主要管道位于地下，随着植被恢复措施的落实施工期影响消失。</w:t>
      </w:r>
    </w:p>
    <w:p w14:paraId="0BDFBB7B">
      <w:pPr>
        <w:ind w:firstLine="480"/>
        <w:rPr>
          <w:rFonts w:cs="宋体"/>
          <w:szCs w:val="24"/>
        </w:rPr>
      </w:pPr>
      <w:r>
        <w:rPr>
          <w:rFonts w:hint="eastAsia" w:cs="宋体"/>
          <w:szCs w:val="24"/>
        </w:rPr>
        <w:t>本项目运营期对土壤环境的影响主要集中在土壤污染方面，废水、固废的随意排放、累积影响以及事故情况下污水渗漏，均可能会对土壤造成污染。本项目废气主要污染因子为</w:t>
      </w:r>
      <w:r>
        <w:rPr>
          <w:rFonts w:cs="宋体"/>
          <w:szCs w:val="24"/>
        </w:rPr>
        <w:t>H</w:t>
      </w:r>
      <w:r>
        <w:rPr>
          <w:rFonts w:cs="宋体"/>
          <w:szCs w:val="24"/>
          <w:vertAlign w:val="subscript"/>
        </w:rPr>
        <w:t>2</w:t>
      </w:r>
      <w:r>
        <w:rPr>
          <w:rFonts w:cs="宋体"/>
          <w:szCs w:val="24"/>
        </w:rPr>
        <w:t>S</w:t>
      </w:r>
      <w:r>
        <w:rPr>
          <w:rFonts w:hint="eastAsia" w:cs="宋体"/>
          <w:szCs w:val="24"/>
        </w:rPr>
        <w:t>和</w:t>
      </w:r>
      <w:r>
        <w:rPr>
          <w:rFonts w:cs="宋体"/>
          <w:szCs w:val="24"/>
        </w:rPr>
        <w:t>NH</w:t>
      </w:r>
      <w:r>
        <w:rPr>
          <w:rFonts w:cs="宋体"/>
          <w:szCs w:val="24"/>
          <w:vertAlign w:val="subscript"/>
        </w:rPr>
        <w:t>3</w:t>
      </w:r>
      <w:r>
        <w:rPr>
          <w:rFonts w:hint="eastAsia" w:cs="宋体"/>
          <w:szCs w:val="24"/>
        </w:rPr>
        <w:t>，排放量较少。该类废气污染因子大部分在空气中会与尘埃等颗粒物结合或被其他物质分解，极少量会降落至地面，随着时间的推移被土壤自行分解，不会发生富集现象，因此，废气对土壤环境影响很小。</w:t>
      </w:r>
    </w:p>
    <w:p w14:paraId="21280C37">
      <w:pPr>
        <w:ind w:firstLine="480"/>
        <w:rPr>
          <w:rFonts w:cs="宋体"/>
          <w:szCs w:val="24"/>
        </w:rPr>
      </w:pPr>
      <w:r>
        <w:rPr>
          <w:rFonts w:hint="eastAsia" w:cs="宋体"/>
          <w:szCs w:val="24"/>
        </w:rPr>
        <w:t>本项目废水主要为</w:t>
      </w:r>
      <w:r>
        <w:rPr>
          <w:rFonts w:hint="eastAsia" w:cs="宋体"/>
          <w:szCs w:val="24"/>
          <w:lang w:val="en-US" w:eastAsia="zh-CN"/>
        </w:rPr>
        <w:t>渗滤液和</w:t>
      </w:r>
      <w:r>
        <w:rPr>
          <w:rFonts w:hint="eastAsia" w:cs="宋体"/>
          <w:szCs w:val="24"/>
        </w:rPr>
        <w:t>生活污水，主要污染因子</w:t>
      </w:r>
      <w:r>
        <w:rPr>
          <w:rFonts w:cs="宋体"/>
          <w:szCs w:val="24"/>
        </w:rPr>
        <w:t>pH</w:t>
      </w:r>
      <w:r>
        <w:rPr>
          <w:rFonts w:hint="eastAsia" w:cs="宋体"/>
          <w:szCs w:val="24"/>
        </w:rPr>
        <w:t>、</w:t>
      </w:r>
      <w:r>
        <w:rPr>
          <w:rFonts w:cs="宋体"/>
          <w:szCs w:val="24"/>
        </w:rPr>
        <w:t>COD</w:t>
      </w:r>
      <w:r>
        <w:rPr>
          <w:rFonts w:hint="eastAsia" w:cs="宋体"/>
          <w:szCs w:val="24"/>
        </w:rPr>
        <w:t>、</w:t>
      </w:r>
      <w:r>
        <w:rPr>
          <w:rFonts w:cs="宋体"/>
          <w:szCs w:val="24"/>
        </w:rPr>
        <w:t>BOD</w:t>
      </w:r>
      <w:r>
        <w:rPr>
          <w:rFonts w:cs="宋体"/>
          <w:szCs w:val="24"/>
          <w:vertAlign w:val="subscript"/>
        </w:rPr>
        <w:t>5</w:t>
      </w:r>
      <w:r>
        <w:rPr>
          <w:rFonts w:hint="eastAsia" w:cs="宋体"/>
          <w:szCs w:val="24"/>
        </w:rPr>
        <w:t>、氨氮等。全厂严格按照设计规范要求采取防渗措施，将少量跑冒滴漏的渗漏废水污染物截留，正常情况下不会污染土壤；如若发生防渗失效等非正常情况，污染物可能会透过防渗层从而污染土壤。因此建设单位应该采取严格有效的防渗及应急措施，一旦发生非正常情况，立即采取相应的应急处理措施，切断污染源，将事故影响减小至最低。</w:t>
      </w:r>
    </w:p>
    <w:p w14:paraId="18696C1B">
      <w:pPr>
        <w:ind w:firstLine="480"/>
        <w:rPr>
          <w:rFonts w:cs="宋体"/>
          <w:szCs w:val="24"/>
        </w:rPr>
      </w:pPr>
      <w:r>
        <w:rPr>
          <w:rFonts w:hint="eastAsia" w:cs="宋体"/>
          <w:szCs w:val="24"/>
          <w:lang w:val="en-US" w:eastAsia="zh-CN"/>
        </w:rPr>
        <w:t>渗滤液同</w:t>
      </w:r>
      <w:r>
        <w:rPr>
          <w:rFonts w:cs="宋体"/>
          <w:szCs w:val="24"/>
        </w:rPr>
        <w:t>生活污水</w:t>
      </w:r>
      <w:r>
        <w:rPr>
          <w:rFonts w:hint="eastAsia" w:cs="宋体"/>
          <w:szCs w:val="24"/>
        </w:rPr>
        <w:t>排入防渗化粪池，由木垒县污水处理厂处理</w:t>
      </w:r>
      <w:r>
        <w:rPr>
          <w:rFonts w:cs="宋体"/>
          <w:szCs w:val="24"/>
        </w:rPr>
        <w:t>，最终进入</w:t>
      </w:r>
      <w:r>
        <w:rPr>
          <w:rFonts w:hint="eastAsia" w:cs="宋体"/>
          <w:szCs w:val="24"/>
        </w:rPr>
        <w:t>木垒县</w:t>
      </w:r>
      <w:r>
        <w:rPr>
          <w:rFonts w:cs="宋体"/>
          <w:szCs w:val="24"/>
        </w:rPr>
        <w:t>城污水处理厂</w:t>
      </w:r>
      <w:r>
        <w:rPr>
          <w:rFonts w:hint="eastAsia" w:cs="宋体"/>
          <w:szCs w:val="24"/>
        </w:rPr>
        <w:t>。</w:t>
      </w:r>
      <w:r>
        <w:rPr>
          <w:rFonts w:cs="宋体"/>
          <w:szCs w:val="24"/>
        </w:rPr>
        <w:t>通过评价分析，本项目产生的废水不会对土壤环境造成大的影响</w:t>
      </w:r>
      <w:r>
        <w:rPr>
          <w:rFonts w:hint="eastAsia" w:cs="宋体"/>
          <w:szCs w:val="24"/>
        </w:rPr>
        <w:t>。</w:t>
      </w:r>
    </w:p>
    <w:p w14:paraId="1F64FE49">
      <w:pPr>
        <w:ind w:firstLine="480"/>
        <w:rPr>
          <w:rFonts w:cs="宋体"/>
          <w:szCs w:val="24"/>
        </w:rPr>
      </w:pPr>
      <w:r>
        <w:rPr>
          <w:rFonts w:cs="宋体"/>
          <w:szCs w:val="24"/>
        </w:rPr>
        <w:t>因此企业要严格实施环评提及的各项废水、固废防治措施治理，实现污水、固废的零排放，使其对周围土壤环境影响降至最低</w:t>
      </w:r>
      <w:r>
        <w:rPr>
          <w:rFonts w:hint="eastAsia" w:cs="宋体"/>
          <w:szCs w:val="24"/>
        </w:rPr>
        <w:t>。</w:t>
      </w:r>
    </w:p>
    <w:p w14:paraId="007BEC06">
      <w:pPr>
        <w:ind w:firstLine="480"/>
        <w:rPr>
          <w:rFonts w:cs="宋体"/>
          <w:szCs w:val="24"/>
        </w:rPr>
      </w:pPr>
      <w:r>
        <w:rPr>
          <w:rFonts w:cs="宋体"/>
          <w:szCs w:val="24"/>
        </w:rPr>
        <w:t>土壤环境影响评价自查表见表</w:t>
      </w:r>
      <w:r>
        <w:rPr>
          <w:rFonts w:hint="eastAsia" w:cs="宋体"/>
          <w:szCs w:val="24"/>
        </w:rPr>
        <w:t>5</w:t>
      </w:r>
      <w:r>
        <w:rPr>
          <w:rFonts w:cs="宋体"/>
          <w:szCs w:val="24"/>
        </w:rPr>
        <w:t>.2-</w:t>
      </w:r>
      <w:r>
        <w:rPr>
          <w:rFonts w:hint="eastAsia" w:cs="宋体"/>
          <w:szCs w:val="24"/>
        </w:rPr>
        <w:t>23。</w:t>
      </w:r>
    </w:p>
    <w:p w14:paraId="2D1A49D1">
      <w:pPr>
        <w:ind w:firstLine="0" w:firstLineChars="0"/>
        <w:jc w:val="center"/>
        <w:rPr>
          <w:rFonts w:cs="宋体"/>
          <w:b/>
          <w:bCs/>
          <w:szCs w:val="24"/>
        </w:rPr>
      </w:pPr>
      <w:r>
        <w:rPr>
          <w:rFonts w:cs="宋体"/>
          <w:b/>
          <w:bCs/>
          <w:szCs w:val="24"/>
        </w:rPr>
        <w:t>表</w:t>
      </w:r>
      <w:r>
        <w:rPr>
          <w:rFonts w:hint="eastAsia" w:cs="宋体"/>
          <w:b/>
          <w:bCs/>
          <w:szCs w:val="24"/>
        </w:rPr>
        <w:t>5</w:t>
      </w:r>
      <w:r>
        <w:rPr>
          <w:rFonts w:cs="宋体"/>
          <w:b/>
          <w:bCs/>
          <w:szCs w:val="24"/>
        </w:rPr>
        <w:t>.2-</w:t>
      </w:r>
      <w:r>
        <w:rPr>
          <w:rFonts w:hint="eastAsia" w:cs="宋体"/>
          <w:b/>
          <w:bCs/>
          <w:szCs w:val="24"/>
        </w:rPr>
        <w:t>23</w:t>
      </w:r>
      <w:r>
        <w:rPr>
          <w:rFonts w:cs="宋体"/>
          <w:b/>
          <w:bCs/>
          <w:szCs w:val="24"/>
        </w:rPr>
        <w:t>土壤环境影响评价自查表</w:t>
      </w:r>
    </w:p>
    <w:tbl>
      <w:tblPr>
        <w:tblStyle w:val="183"/>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5"/>
        <w:gridCol w:w="1484"/>
        <w:gridCol w:w="1248"/>
        <w:gridCol w:w="1351"/>
        <w:gridCol w:w="954"/>
        <w:gridCol w:w="382"/>
        <w:gridCol w:w="1376"/>
        <w:gridCol w:w="1020"/>
      </w:tblGrid>
      <w:tr w14:paraId="5C3F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90" w:type="pct"/>
            <w:gridSpan w:val="2"/>
            <w:tcBorders>
              <w:tl2br w:val="nil"/>
              <w:tr2bl w:val="nil"/>
            </w:tcBorders>
            <w:vAlign w:val="center"/>
          </w:tcPr>
          <w:p w14:paraId="648EB423">
            <w:pPr>
              <w:ind w:firstLine="0" w:firstLineChars="0"/>
              <w:jc w:val="center"/>
              <w:rPr>
                <w:rFonts w:cs="宋体"/>
                <w:sz w:val="21"/>
                <w:szCs w:val="21"/>
              </w:rPr>
            </w:pPr>
            <w:r>
              <w:rPr>
                <w:rFonts w:cs="宋体"/>
                <w:sz w:val="21"/>
                <w:szCs w:val="21"/>
              </w:rPr>
              <w:t>工作内容</w:t>
            </w:r>
          </w:p>
        </w:tc>
        <w:tc>
          <w:tcPr>
            <w:tcW w:w="3196" w:type="pct"/>
            <w:gridSpan w:val="5"/>
            <w:tcBorders>
              <w:tl2br w:val="nil"/>
              <w:tr2bl w:val="nil"/>
            </w:tcBorders>
            <w:vAlign w:val="center"/>
          </w:tcPr>
          <w:p w14:paraId="51A1868E">
            <w:pPr>
              <w:ind w:firstLine="0" w:firstLineChars="0"/>
              <w:jc w:val="center"/>
              <w:rPr>
                <w:rFonts w:cs="宋体"/>
                <w:sz w:val="21"/>
                <w:szCs w:val="21"/>
              </w:rPr>
            </w:pPr>
            <w:r>
              <w:rPr>
                <w:rFonts w:cs="宋体"/>
                <w:sz w:val="21"/>
                <w:szCs w:val="21"/>
              </w:rPr>
              <w:t>完成情况</w:t>
            </w:r>
          </w:p>
        </w:tc>
        <w:tc>
          <w:tcPr>
            <w:tcW w:w="613" w:type="pct"/>
            <w:tcBorders>
              <w:tl2br w:val="nil"/>
              <w:tr2bl w:val="nil"/>
            </w:tcBorders>
            <w:vAlign w:val="center"/>
          </w:tcPr>
          <w:p w14:paraId="3CB3E408">
            <w:pPr>
              <w:ind w:firstLine="0" w:firstLineChars="0"/>
              <w:jc w:val="center"/>
              <w:rPr>
                <w:rFonts w:cs="宋体"/>
                <w:sz w:val="21"/>
                <w:szCs w:val="21"/>
              </w:rPr>
            </w:pPr>
            <w:r>
              <w:rPr>
                <w:rFonts w:cs="宋体"/>
                <w:sz w:val="21"/>
                <w:szCs w:val="21"/>
              </w:rPr>
              <w:t>备注</w:t>
            </w:r>
          </w:p>
        </w:tc>
      </w:tr>
      <w:tr w14:paraId="08D64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restart"/>
            <w:tcBorders>
              <w:tl2br w:val="nil"/>
              <w:tr2bl w:val="nil"/>
            </w:tcBorders>
            <w:textDirection w:val="tbRlV"/>
            <w:vAlign w:val="center"/>
          </w:tcPr>
          <w:p w14:paraId="181CA264">
            <w:pPr>
              <w:ind w:firstLine="0" w:firstLineChars="0"/>
              <w:jc w:val="center"/>
              <w:rPr>
                <w:rFonts w:cs="宋体"/>
                <w:sz w:val="21"/>
                <w:szCs w:val="21"/>
              </w:rPr>
            </w:pPr>
            <w:r>
              <w:rPr>
                <w:rFonts w:cs="宋体"/>
                <w:sz w:val="21"/>
                <w:szCs w:val="21"/>
              </w:rPr>
              <w:t>影响识别</w:t>
            </w:r>
          </w:p>
        </w:tc>
        <w:tc>
          <w:tcPr>
            <w:tcW w:w="892" w:type="pct"/>
            <w:tcBorders>
              <w:tl2br w:val="nil"/>
              <w:tr2bl w:val="nil"/>
            </w:tcBorders>
            <w:vAlign w:val="center"/>
          </w:tcPr>
          <w:p w14:paraId="1D8E987E">
            <w:pPr>
              <w:ind w:firstLine="0" w:firstLineChars="0"/>
              <w:jc w:val="center"/>
              <w:rPr>
                <w:rFonts w:cs="宋体"/>
                <w:sz w:val="21"/>
                <w:szCs w:val="21"/>
              </w:rPr>
            </w:pPr>
            <w:r>
              <w:rPr>
                <w:rFonts w:cs="宋体"/>
                <w:sz w:val="21"/>
                <w:szCs w:val="21"/>
              </w:rPr>
              <w:t>影响类型</w:t>
            </w:r>
          </w:p>
        </w:tc>
        <w:tc>
          <w:tcPr>
            <w:tcW w:w="3196" w:type="pct"/>
            <w:gridSpan w:val="5"/>
            <w:tcBorders>
              <w:tl2br w:val="nil"/>
              <w:tr2bl w:val="nil"/>
            </w:tcBorders>
            <w:vAlign w:val="center"/>
          </w:tcPr>
          <w:p w14:paraId="027CDC2A">
            <w:pPr>
              <w:ind w:firstLine="0" w:firstLineChars="0"/>
              <w:jc w:val="center"/>
              <w:rPr>
                <w:sz w:val="21"/>
                <w:szCs w:val="21"/>
              </w:rPr>
            </w:pPr>
            <w:r>
              <w:rPr>
                <w:rFonts w:cs="宋体"/>
                <w:sz w:val="21"/>
                <w:szCs w:val="21"/>
              </w:rPr>
              <w:t>污染影响型</w:t>
            </w:r>
            <w:r>
              <w:rPr>
                <w:rFonts w:cs="MS Gothic"/>
                <w:sz w:val="21"/>
                <w:szCs w:val="21"/>
              </w:rPr>
              <w:t>☑</w:t>
            </w:r>
            <w:r>
              <w:rPr>
                <w:rFonts w:cs="宋体"/>
                <w:sz w:val="21"/>
                <w:szCs w:val="21"/>
              </w:rPr>
              <w:t>；生态影响型</w:t>
            </w:r>
            <w:r>
              <w:rPr>
                <w:sz w:val="21"/>
                <w:szCs w:val="21"/>
              </w:rPr>
              <w:t>□</w:t>
            </w:r>
            <w:r>
              <w:rPr>
                <w:rFonts w:cs="宋体"/>
                <w:sz w:val="21"/>
                <w:szCs w:val="21"/>
              </w:rPr>
              <w:t>；两种兼有</w:t>
            </w:r>
            <w:r>
              <w:rPr>
                <w:sz w:val="21"/>
                <w:szCs w:val="21"/>
              </w:rPr>
              <w:t>□</w:t>
            </w:r>
          </w:p>
        </w:tc>
        <w:tc>
          <w:tcPr>
            <w:tcW w:w="613" w:type="pct"/>
            <w:tcBorders>
              <w:tl2br w:val="nil"/>
              <w:tr2bl w:val="nil"/>
            </w:tcBorders>
            <w:vAlign w:val="center"/>
          </w:tcPr>
          <w:p w14:paraId="0B16E831">
            <w:pPr>
              <w:ind w:firstLine="0" w:firstLineChars="0"/>
              <w:jc w:val="center"/>
              <w:rPr>
                <w:sz w:val="21"/>
              </w:rPr>
            </w:pPr>
          </w:p>
        </w:tc>
      </w:tr>
      <w:tr w14:paraId="6A8A2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1F09AD32">
            <w:pPr>
              <w:ind w:firstLine="0" w:firstLineChars="0"/>
              <w:jc w:val="center"/>
              <w:rPr>
                <w:sz w:val="21"/>
              </w:rPr>
            </w:pPr>
          </w:p>
        </w:tc>
        <w:tc>
          <w:tcPr>
            <w:tcW w:w="892" w:type="pct"/>
            <w:tcBorders>
              <w:tl2br w:val="nil"/>
              <w:tr2bl w:val="nil"/>
            </w:tcBorders>
            <w:vAlign w:val="center"/>
          </w:tcPr>
          <w:p w14:paraId="514626B1">
            <w:pPr>
              <w:ind w:firstLine="0" w:firstLineChars="0"/>
              <w:jc w:val="center"/>
              <w:rPr>
                <w:rFonts w:cs="宋体"/>
                <w:sz w:val="21"/>
                <w:szCs w:val="21"/>
              </w:rPr>
            </w:pPr>
            <w:r>
              <w:rPr>
                <w:rFonts w:cs="宋体"/>
                <w:sz w:val="21"/>
                <w:szCs w:val="21"/>
              </w:rPr>
              <w:t>土地利用类型</w:t>
            </w:r>
          </w:p>
        </w:tc>
        <w:tc>
          <w:tcPr>
            <w:tcW w:w="3196" w:type="pct"/>
            <w:gridSpan w:val="5"/>
            <w:tcBorders>
              <w:tl2br w:val="nil"/>
              <w:tr2bl w:val="nil"/>
            </w:tcBorders>
            <w:vAlign w:val="center"/>
          </w:tcPr>
          <w:p w14:paraId="0B472AD9">
            <w:pPr>
              <w:ind w:firstLine="0" w:firstLineChars="0"/>
              <w:jc w:val="center"/>
              <w:rPr>
                <w:sz w:val="21"/>
                <w:szCs w:val="21"/>
              </w:rPr>
            </w:pPr>
            <w:r>
              <w:rPr>
                <w:rFonts w:cs="宋体"/>
                <w:sz w:val="21"/>
                <w:szCs w:val="21"/>
              </w:rPr>
              <w:t>建设用地</w:t>
            </w:r>
            <w:r>
              <w:rPr>
                <w:sz w:val="21"/>
                <w:szCs w:val="21"/>
              </w:rPr>
              <w:t>□</w:t>
            </w:r>
            <w:r>
              <w:rPr>
                <w:rFonts w:cs="宋体"/>
                <w:sz w:val="21"/>
                <w:szCs w:val="21"/>
              </w:rPr>
              <w:t>；农用地</w:t>
            </w:r>
            <w:r>
              <w:rPr>
                <w:rFonts w:cs="MS Gothic"/>
                <w:sz w:val="21"/>
                <w:szCs w:val="21"/>
              </w:rPr>
              <w:t>☑</w:t>
            </w:r>
            <w:r>
              <w:rPr>
                <w:rFonts w:cs="宋体"/>
                <w:sz w:val="21"/>
                <w:szCs w:val="21"/>
              </w:rPr>
              <w:t>；未利用地</w:t>
            </w:r>
            <w:r>
              <w:rPr>
                <w:sz w:val="21"/>
                <w:szCs w:val="21"/>
              </w:rPr>
              <w:t>□</w:t>
            </w:r>
          </w:p>
        </w:tc>
        <w:tc>
          <w:tcPr>
            <w:tcW w:w="613" w:type="pct"/>
            <w:tcBorders>
              <w:tl2br w:val="nil"/>
              <w:tr2bl w:val="nil"/>
            </w:tcBorders>
            <w:vAlign w:val="center"/>
          </w:tcPr>
          <w:p w14:paraId="44437271">
            <w:pPr>
              <w:ind w:firstLine="0" w:firstLineChars="0"/>
              <w:jc w:val="center"/>
              <w:rPr>
                <w:sz w:val="21"/>
              </w:rPr>
            </w:pPr>
          </w:p>
        </w:tc>
      </w:tr>
      <w:tr w14:paraId="2D525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14:paraId="512B7961">
            <w:pPr>
              <w:ind w:firstLine="0" w:firstLineChars="0"/>
              <w:jc w:val="center"/>
              <w:rPr>
                <w:sz w:val="21"/>
              </w:rPr>
            </w:pPr>
          </w:p>
        </w:tc>
        <w:tc>
          <w:tcPr>
            <w:tcW w:w="892" w:type="pct"/>
            <w:tcBorders>
              <w:tl2br w:val="nil"/>
              <w:tr2bl w:val="nil"/>
            </w:tcBorders>
            <w:vAlign w:val="center"/>
          </w:tcPr>
          <w:p w14:paraId="0BDC71DB">
            <w:pPr>
              <w:ind w:firstLine="0" w:firstLineChars="0"/>
              <w:jc w:val="center"/>
              <w:rPr>
                <w:rFonts w:cs="宋体"/>
                <w:sz w:val="21"/>
                <w:szCs w:val="21"/>
              </w:rPr>
            </w:pPr>
            <w:r>
              <w:rPr>
                <w:rFonts w:cs="宋体"/>
                <w:sz w:val="21"/>
                <w:szCs w:val="21"/>
              </w:rPr>
              <w:t>占地规模</w:t>
            </w:r>
          </w:p>
        </w:tc>
        <w:tc>
          <w:tcPr>
            <w:tcW w:w="3196" w:type="pct"/>
            <w:gridSpan w:val="5"/>
            <w:tcBorders>
              <w:tl2br w:val="nil"/>
              <w:tr2bl w:val="nil"/>
            </w:tcBorders>
            <w:vAlign w:val="center"/>
          </w:tcPr>
          <w:p w14:paraId="23089C74">
            <w:pPr>
              <w:ind w:firstLine="0" w:firstLineChars="0"/>
              <w:jc w:val="center"/>
              <w:rPr>
                <w:sz w:val="21"/>
                <w:szCs w:val="21"/>
              </w:rPr>
            </w:pPr>
            <w:r>
              <w:rPr>
                <w:rFonts w:hint="eastAsia" w:cs="宋体"/>
                <w:sz w:val="21"/>
                <w:szCs w:val="21"/>
              </w:rPr>
              <w:t>（2.475778）</w:t>
            </w:r>
            <w:r>
              <w:rPr>
                <w:sz w:val="21"/>
                <w:szCs w:val="21"/>
              </w:rPr>
              <w:t>hm</w:t>
            </w:r>
            <w:r>
              <w:rPr>
                <w:sz w:val="21"/>
                <w:szCs w:val="21"/>
                <w:vertAlign w:val="superscript"/>
              </w:rPr>
              <w:t>2</w:t>
            </w:r>
          </w:p>
        </w:tc>
        <w:tc>
          <w:tcPr>
            <w:tcW w:w="613" w:type="pct"/>
            <w:tcBorders>
              <w:tl2br w:val="nil"/>
              <w:tr2bl w:val="nil"/>
            </w:tcBorders>
            <w:vAlign w:val="center"/>
          </w:tcPr>
          <w:p w14:paraId="1C66C2F8">
            <w:pPr>
              <w:ind w:firstLine="0" w:firstLineChars="0"/>
              <w:jc w:val="center"/>
              <w:rPr>
                <w:sz w:val="21"/>
              </w:rPr>
            </w:pPr>
          </w:p>
        </w:tc>
      </w:tr>
      <w:tr w14:paraId="15B7D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4B49A9F6">
            <w:pPr>
              <w:ind w:firstLine="0" w:firstLineChars="0"/>
              <w:jc w:val="center"/>
              <w:rPr>
                <w:sz w:val="21"/>
              </w:rPr>
            </w:pPr>
          </w:p>
        </w:tc>
        <w:tc>
          <w:tcPr>
            <w:tcW w:w="892" w:type="pct"/>
            <w:tcBorders>
              <w:tl2br w:val="nil"/>
              <w:tr2bl w:val="nil"/>
            </w:tcBorders>
            <w:vAlign w:val="center"/>
          </w:tcPr>
          <w:p w14:paraId="640A1756">
            <w:pPr>
              <w:ind w:firstLine="0" w:firstLineChars="0"/>
              <w:jc w:val="center"/>
              <w:rPr>
                <w:rFonts w:cs="宋体"/>
                <w:sz w:val="21"/>
                <w:szCs w:val="21"/>
              </w:rPr>
            </w:pPr>
            <w:r>
              <w:rPr>
                <w:rFonts w:cs="宋体"/>
                <w:sz w:val="21"/>
                <w:szCs w:val="21"/>
              </w:rPr>
              <w:t>敏感目标信息</w:t>
            </w:r>
          </w:p>
        </w:tc>
        <w:tc>
          <w:tcPr>
            <w:tcW w:w="3196" w:type="pct"/>
            <w:gridSpan w:val="5"/>
            <w:tcBorders>
              <w:tl2br w:val="nil"/>
              <w:tr2bl w:val="nil"/>
            </w:tcBorders>
            <w:vAlign w:val="center"/>
          </w:tcPr>
          <w:p w14:paraId="722E1754">
            <w:pPr>
              <w:ind w:firstLine="0" w:firstLineChars="0"/>
              <w:jc w:val="center"/>
              <w:rPr>
                <w:rFonts w:cs="宋体"/>
                <w:sz w:val="21"/>
                <w:szCs w:val="21"/>
              </w:rPr>
            </w:pPr>
            <w:r>
              <w:rPr>
                <w:rFonts w:cs="宋体"/>
                <w:sz w:val="21"/>
                <w:szCs w:val="21"/>
              </w:rPr>
              <w:t>敏感目标</w:t>
            </w:r>
            <w:r>
              <w:rPr>
                <w:rFonts w:hint="eastAsia" w:cs="宋体"/>
                <w:sz w:val="21"/>
                <w:szCs w:val="21"/>
              </w:rPr>
              <w:t>（</w:t>
            </w:r>
            <w:r>
              <w:rPr>
                <w:rFonts w:cs="宋体"/>
                <w:sz w:val="21"/>
                <w:szCs w:val="21"/>
              </w:rPr>
              <w:t>耕地</w:t>
            </w:r>
            <w:r>
              <w:rPr>
                <w:rFonts w:hint="eastAsia" w:cs="宋体"/>
                <w:sz w:val="21"/>
                <w:szCs w:val="21"/>
              </w:rPr>
              <w:t>）</w:t>
            </w:r>
            <w:r>
              <w:rPr>
                <w:rFonts w:cs="宋体"/>
                <w:sz w:val="21"/>
                <w:szCs w:val="21"/>
              </w:rPr>
              <w:t>、方位</w:t>
            </w:r>
            <w:r>
              <w:rPr>
                <w:rFonts w:hint="eastAsia" w:cs="宋体"/>
                <w:sz w:val="21"/>
                <w:szCs w:val="21"/>
              </w:rPr>
              <w:t>（</w:t>
            </w:r>
            <w:r>
              <w:rPr>
                <w:rFonts w:cs="宋体"/>
                <w:sz w:val="21"/>
                <w:szCs w:val="21"/>
              </w:rPr>
              <w:t>周围</w:t>
            </w:r>
            <w:r>
              <w:rPr>
                <w:rFonts w:hint="eastAsia" w:cs="宋体"/>
                <w:sz w:val="21"/>
                <w:szCs w:val="21"/>
              </w:rPr>
              <w:t>）</w:t>
            </w:r>
            <w:r>
              <w:rPr>
                <w:rFonts w:cs="宋体"/>
                <w:sz w:val="21"/>
                <w:szCs w:val="21"/>
              </w:rPr>
              <w:t>、距离</w:t>
            </w:r>
            <w:r>
              <w:rPr>
                <w:rFonts w:hint="eastAsia" w:cs="宋体"/>
                <w:sz w:val="21"/>
                <w:szCs w:val="21"/>
              </w:rPr>
              <w:t>（</w:t>
            </w:r>
            <w:r>
              <w:rPr>
                <w:rFonts w:cs="宋体"/>
                <w:sz w:val="21"/>
                <w:szCs w:val="21"/>
              </w:rPr>
              <w:t>最近5m</w:t>
            </w:r>
            <w:r>
              <w:rPr>
                <w:rFonts w:hint="eastAsia" w:cs="宋体"/>
                <w:sz w:val="21"/>
                <w:szCs w:val="21"/>
              </w:rPr>
              <w:t>）</w:t>
            </w:r>
          </w:p>
        </w:tc>
        <w:tc>
          <w:tcPr>
            <w:tcW w:w="613" w:type="pct"/>
            <w:tcBorders>
              <w:tl2br w:val="nil"/>
              <w:tr2bl w:val="nil"/>
            </w:tcBorders>
            <w:vAlign w:val="center"/>
          </w:tcPr>
          <w:p w14:paraId="6D41F097">
            <w:pPr>
              <w:ind w:firstLine="0" w:firstLineChars="0"/>
              <w:jc w:val="center"/>
              <w:rPr>
                <w:sz w:val="21"/>
              </w:rPr>
            </w:pPr>
          </w:p>
        </w:tc>
      </w:tr>
      <w:tr w14:paraId="70AAB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continue"/>
            <w:tcBorders>
              <w:tl2br w:val="nil"/>
              <w:tr2bl w:val="nil"/>
            </w:tcBorders>
            <w:textDirection w:val="tbRlV"/>
            <w:vAlign w:val="center"/>
          </w:tcPr>
          <w:p w14:paraId="4837FA0F">
            <w:pPr>
              <w:ind w:firstLine="0" w:firstLineChars="0"/>
              <w:jc w:val="center"/>
              <w:rPr>
                <w:sz w:val="21"/>
              </w:rPr>
            </w:pPr>
          </w:p>
        </w:tc>
        <w:tc>
          <w:tcPr>
            <w:tcW w:w="892" w:type="pct"/>
            <w:tcBorders>
              <w:tl2br w:val="nil"/>
              <w:tr2bl w:val="nil"/>
            </w:tcBorders>
            <w:vAlign w:val="center"/>
          </w:tcPr>
          <w:p w14:paraId="2680E106">
            <w:pPr>
              <w:ind w:firstLine="0" w:firstLineChars="0"/>
              <w:jc w:val="center"/>
              <w:rPr>
                <w:rFonts w:cs="宋体"/>
                <w:sz w:val="21"/>
                <w:szCs w:val="21"/>
              </w:rPr>
            </w:pPr>
            <w:r>
              <w:rPr>
                <w:rFonts w:cs="宋体"/>
                <w:sz w:val="21"/>
                <w:szCs w:val="21"/>
              </w:rPr>
              <w:t>影响途径</w:t>
            </w:r>
          </w:p>
        </w:tc>
        <w:tc>
          <w:tcPr>
            <w:tcW w:w="3196" w:type="pct"/>
            <w:gridSpan w:val="5"/>
            <w:tcBorders>
              <w:tl2br w:val="nil"/>
              <w:tr2bl w:val="nil"/>
            </w:tcBorders>
            <w:vAlign w:val="center"/>
          </w:tcPr>
          <w:p w14:paraId="39457946">
            <w:pPr>
              <w:ind w:firstLine="0" w:firstLineChars="0"/>
              <w:jc w:val="center"/>
              <w:rPr>
                <w:rFonts w:cs="宋体"/>
                <w:sz w:val="21"/>
                <w:szCs w:val="21"/>
              </w:rPr>
            </w:pPr>
            <w:r>
              <w:rPr>
                <w:rFonts w:cs="宋体"/>
                <w:sz w:val="21"/>
                <w:szCs w:val="21"/>
              </w:rPr>
              <w:t>大气沉降</w:t>
            </w:r>
            <w:r>
              <w:rPr>
                <w:rFonts w:cs="MS Gothic"/>
                <w:sz w:val="21"/>
                <w:szCs w:val="21"/>
              </w:rPr>
              <w:t>☑</w:t>
            </w:r>
            <w:r>
              <w:rPr>
                <w:rFonts w:cs="宋体"/>
                <w:sz w:val="21"/>
                <w:szCs w:val="21"/>
              </w:rPr>
              <w:t>；地面漫流</w:t>
            </w:r>
            <w:r>
              <w:rPr>
                <w:rFonts w:cs="Segoe UI Symbol"/>
                <w:sz w:val="21"/>
                <w:szCs w:val="21"/>
              </w:rPr>
              <w:t>□</w:t>
            </w:r>
            <w:r>
              <w:rPr>
                <w:rFonts w:cs="宋体"/>
                <w:sz w:val="21"/>
                <w:szCs w:val="21"/>
              </w:rPr>
              <w:t>；垂直入渗</w:t>
            </w:r>
            <w:r>
              <w:rPr>
                <w:rFonts w:cs="MS Gothic"/>
                <w:sz w:val="21"/>
                <w:szCs w:val="21"/>
              </w:rPr>
              <w:t>☑</w:t>
            </w:r>
            <w:r>
              <w:rPr>
                <w:rFonts w:cs="宋体"/>
                <w:sz w:val="21"/>
                <w:szCs w:val="21"/>
              </w:rPr>
              <w:t>；地下水位</w:t>
            </w:r>
            <w:r>
              <w:rPr>
                <w:sz w:val="21"/>
                <w:szCs w:val="21"/>
              </w:rPr>
              <w:t>□</w:t>
            </w:r>
            <w:r>
              <w:rPr>
                <w:rFonts w:cs="宋体"/>
                <w:sz w:val="21"/>
                <w:szCs w:val="21"/>
              </w:rPr>
              <w:t>；其他</w:t>
            </w:r>
            <w:r>
              <w:rPr>
                <w:rFonts w:hint="eastAsia" w:cs="宋体"/>
                <w:sz w:val="21"/>
                <w:szCs w:val="21"/>
              </w:rPr>
              <w:t>（）</w:t>
            </w:r>
          </w:p>
        </w:tc>
        <w:tc>
          <w:tcPr>
            <w:tcW w:w="613" w:type="pct"/>
            <w:tcBorders>
              <w:tl2br w:val="nil"/>
              <w:tr2bl w:val="nil"/>
            </w:tcBorders>
            <w:vAlign w:val="center"/>
          </w:tcPr>
          <w:p w14:paraId="394A40F5">
            <w:pPr>
              <w:ind w:firstLine="0" w:firstLineChars="0"/>
              <w:jc w:val="center"/>
              <w:rPr>
                <w:sz w:val="21"/>
              </w:rPr>
            </w:pPr>
          </w:p>
        </w:tc>
      </w:tr>
      <w:tr w14:paraId="2B40D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97" w:type="pct"/>
            <w:vMerge w:val="continue"/>
            <w:tcBorders>
              <w:tl2br w:val="nil"/>
              <w:tr2bl w:val="nil"/>
            </w:tcBorders>
            <w:textDirection w:val="tbRlV"/>
            <w:vAlign w:val="center"/>
          </w:tcPr>
          <w:p w14:paraId="606BEA8F">
            <w:pPr>
              <w:ind w:firstLine="0" w:firstLineChars="0"/>
              <w:jc w:val="center"/>
              <w:rPr>
                <w:sz w:val="21"/>
              </w:rPr>
            </w:pPr>
          </w:p>
        </w:tc>
        <w:tc>
          <w:tcPr>
            <w:tcW w:w="892" w:type="pct"/>
            <w:tcBorders>
              <w:tl2br w:val="nil"/>
              <w:tr2bl w:val="nil"/>
            </w:tcBorders>
            <w:vAlign w:val="center"/>
          </w:tcPr>
          <w:p w14:paraId="2712527B">
            <w:pPr>
              <w:ind w:firstLine="0" w:firstLineChars="0"/>
              <w:jc w:val="center"/>
              <w:rPr>
                <w:rFonts w:cs="宋体"/>
                <w:sz w:val="21"/>
                <w:szCs w:val="21"/>
              </w:rPr>
            </w:pPr>
            <w:r>
              <w:rPr>
                <w:rFonts w:cs="宋体"/>
                <w:sz w:val="21"/>
                <w:szCs w:val="21"/>
              </w:rPr>
              <w:t>全部污染物</w:t>
            </w:r>
          </w:p>
        </w:tc>
        <w:tc>
          <w:tcPr>
            <w:tcW w:w="3196" w:type="pct"/>
            <w:gridSpan w:val="5"/>
            <w:tcBorders>
              <w:tl2br w:val="nil"/>
              <w:tr2bl w:val="nil"/>
            </w:tcBorders>
            <w:vAlign w:val="center"/>
          </w:tcPr>
          <w:p w14:paraId="04F30D0F">
            <w:pPr>
              <w:ind w:firstLine="0" w:firstLineChars="0"/>
              <w:jc w:val="center"/>
              <w:rPr>
                <w:rFonts w:cs="宋体"/>
                <w:sz w:val="21"/>
                <w:szCs w:val="21"/>
              </w:rPr>
            </w:pPr>
            <w:r>
              <w:rPr>
                <w:rFonts w:cs="宋体"/>
                <w:sz w:val="21"/>
                <w:szCs w:val="21"/>
              </w:rPr>
              <w:t>镉、汞、砷、铅、铬、铜、镍、锌、</w:t>
            </w:r>
            <w:r>
              <w:rPr>
                <w:sz w:val="21"/>
                <w:szCs w:val="21"/>
              </w:rPr>
              <w:t>PH</w:t>
            </w:r>
            <w:r>
              <w:rPr>
                <w:rFonts w:cs="宋体"/>
                <w:sz w:val="21"/>
                <w:szCs w:val="21"/>
              </w:rPr>
              <w:t>、六六六、滴滴涕</w:t>
            </w:r>
          </w:p>
        </w:tc>
        <w:tc>
          <w:tcPr>
            <w:tcW w:w="613" w:type="pct"/>
            <w:tcBorders>
              <w:tl2br w:val="nil"/>
              <w:tr2bl w:val="nil"/>
            </w:tcBorders>
            <w:vAlign w:val="center"/>
          </w:tcPr>
          <w:p w14:paraId="7B4899CA">
            <w:pPr>
              <w:ind w:firstLine="0" w:firstLineChars="0"/>
              <w:jc w:val="center"/>
              <w:rPr>
                <w:sz w:val="21"/>
              </w:rPr>
            </w:pPr>
          </w:p>
        </w:tc>
      </w:tr>
      <w:tr w14:paraId="72AC9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97" w:type="pct"/>
            <w:vMerge w:val="continue"/>
            <w:tcBorders>
              <w:tl2br w:val="nil"/>
              <w:tr2bl w:val="nil"/>
            </w:tcBorders>
            <w:textDirection w:val="tbRlV"/>
            <w:vAlign w:val="center"/>
          </w:tcPr>
          <w:p w14:paraId="7114696A">
            <w:pPr>
              <w:ind w:firstLine="0" w:firstLineChars="0"/>
              <w:jc w:val="center"/>
              <w:rPr>
                <w:sz w:val="21"/>
              </w:rPr>
            </w:pPr>
          </w:p>
        </w:tc>
        <w:tc>
          <w:tcPr>
            <w:tcW w:w="892" w:type="pct"/>
            <w:tcBorders>
              <w:tl2br w:val="nil"/>
              <w:tr2bl w:val="nil"/>
            </w:tcBorders>
            <w:vAlign w:val="center"/>
          </w:tcPr>
          <w:p w14:paraId="371CEE29">
            <w:pPr>
              <w:ind w:firstLine="0" w:firstLineChars="0"/>
              <w:jc w:val="center"/>
              <w:rPr>
                <w:rFonts w:cs="宋体"/>
                <w:sz w:val="21"/>
                <w:szCs w:val="21"/>
              </w:rPr>
            </w:pPr>
            <w:r>
              <w:rPr>
                <w:rFonts w:cs="宋体"/>
                <w:sz w:val="21"/>
                <w:szCs w:val="21"/>
              </w:rPr>
              <w:t>特征因子</w:t>
            </w:r>
          </w:p>
        </w:tc>
        <w:tc>
          <w:tcPr>
            <w:tcW w:w="3196" w:type="pct"/>
            <w:gridSpan w:val="5"/>
            <w:tcBorders>
              <w:tl2br w:val="nil"/>
              <w:tr2bl w:val="nil"/>
            </w:tcBorders>
            <w:vAlign w:val="center"/>
          </w:tcPr>
          <w:p w14:paraId="6BE96F09">
            <w:pPr>
              <w:ind w:firstLine="0" w:firstLineChars="0"/>
              <w:jc w:val="center"/>
              <w:rPr>
                <w:rFonts w:cs="宋体"/>
                <w:sz w:val="21"/>
                <w:szCs w:val="21"/>
              </w:rPr>
            </w:pPr>
            <w:r>
              <w:rPr>
                <w:rFonts w:cs="宋体"/>
                <w:sz w:val="21"/>
                <w:szCs w:val="21"/>
              </w:rPr>
              <w:t>镉、汞、砷、铅、铬、铜、镍、锌、</w:t>
            </w:r>
            <w:r>
              <w:rPr>
                <w:sz w:val="21"/>
                <w:szCs w:val="21"/>
              </w:rPr>
              <w:t>PH</w:t>
            </w:r>
            <w:r>
              <w:rPr>
                <w:rFonts w:cs="宋体"/>
                <w:sz w:val="21"/>
                <w:szCs w:val="21"/>
              </w:rPr>
              <w:t>、六六六、滴滴涕</w:t>
            </w:r>
          </w:p>
        </w:tc>
        <w:tc>
          <w:tcPr>
            <w:tcW w:w="613" w:type="pct"/>
            <w:tcBorders>
              <w:tl2br w:val="nil"/>
              <w:tr2bl w:val="nil"/>
            </w:tcBorders>
            <w:vAlign w:val="center"/>
          </w:tcPr>
          <w:p w14:paraId="7555ABCB">
            <w:pPr>
              <w:ind w:firstLine="0" w:firstLineChars="0"/>
              <w:jc w:val="center"/>
              <w:rPr>
                <w:sz w:val="21"/>
              </w:rPr>
            </w:pPr>
          </w:p>
        </w:tc>
      </w:tr>
      <w:tr w14:paraId="40726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297" w:type="pct"/>
            <w:vMerge w:val="continue"/>
            <w:tcBorders>
              <w:tl2br w:val="nil"/>
              <w:tr2bl w:val="nil"/>
            </w:tcBorders>
            <w:textDirection w:val="tbRlV"/>
            <w:vAlign w:val="center"/>
          </w:tcPr>
          <w:p w14:paraId="614153AD">
            <w:pPr>
              <w:ind w:firstLine="0" w:firstLineChars="0"/>
              <w:jc w:val="center"/>
              <w:rPr>
                <w:sz w:val="21"/>
              </w:rPr>
            </w:pPr>
          </w:p>
        </w:tc>
        <w:tc>
          <w:tcPr>
            <w:tcW w:w="892" w:type="pct"/>
            <w:tcBorders>
              <w:tl2br w:val="nil"/>
              <w:tr2bl w:val="nil"/>
            </w:tcBorders>
            <w:vAlign w:val="center"/>
          </w:tcPr>
          <w:p w14:paraId="223403DE">
            <w:pPr>
              <w:ind w:firstLine="0" w:firstLineChars="0"/>
              <w:jc w:val="center"/>
              <w:rPr>
                <w:rFonts w:cs="宋体"/>
                <w:sz w:val="21"/>
                <w:szCs w:val="21"/>
              </w:rPr>
            </w:pPr>
            <w:r>
              <w:rPr>
                <w:rFonts w:cs="宋体"/>
                <w:sz w:val="21"/>
                <w:szCs w:val="21"/>
              </w:rPr>
              <w:t>所属土壤环境</w:t>
            </w:r>
          </w:p>
          <w:p w14:paraId="40852454">
            <w:pPr>
              <w:ind w:firstLine="0" w:firstLineChars="0"/>
              <w:jc w:val="center"/>
              <w:rPr>
                <w:rFonts w:cs="宋体"/>
                <w:sz w:val="21"/>
                <w:szCs w:val="21"/>
              </w:rPr>
            </w:pPr>
            <w:r>
              <w:rPr>
                <w:rFonts w:cs="宋体"/>
                <w:sz w:val="21"/>
                <w:szCs w:val="21"/>
              </w:rPr>
              <w:t>影响评价项目</w:t>
            </w:r>
          </w:p>
          <w:p w14:paraId="4ECF8BB2">
            <w:pPr>
              <w:ind w:firstLine="0" w:firstLineChars="0"/>
              <w:jc w:val="center"/>
              <w:rPr>
                <w:rFonts w:cs="宋体"/>
                <w:sz w:val="21"/>
                <w:szCs w:val="21"/>
              </w:rPr>
            </w:pPr>
            <w:r>
              <w:rPr>
                <w:rFonts w:cs="宋体"/>
                <w:sz w:val="21"/>
                <w:szCs w:val="21"/>
              </w:rPr>
              <w:t>类别</w:t>
            </w:r>
          </w:p>
        </w:tc>
        <w:tc>
          <w:tcPr>
            <w:tcW w:w="3196" w:type="pct"/>
            <w:gridSpan w:val="5"/>
            <w:tcBorders>
              <w:tl2br w:val="nil"/>
              <w:tr2bl w:val="nil"/>
            </w:tcBorders>
            <w:vAlign w:val="center"/>
          </w:tcPr>
          <w:p w14:paraId="0B2F1C0F">
            <w:pPr>
              <w:ind w:firstLine="0" w:firstLineChars="0"/>
              <w:jc w:val="center"/>
              <w:rPr>
                <w:sz w:val="21"/>
              </w:rPr>
            </w:pPr>
          </w:p>
          <w:p w14:paraId="2954309C">
            <w:pPr>
              <w:ind w:firstLine="0" w:firstLineChars="0"/>
              <w:jc w:val="center"/>
              <w:rPr>
                <w:sz w:val="21"/>
                <w:szCs w:val="21"/>
              </w:rPr>
            </w:pPr>
            <w:r>
              <w:rPr>
                <w:rFonts w:cs="宋体"/>
                <w:sz w:val="21"/>
                <w:szCs w:val="21"/>
              </w:rPr>
              <w:t>Ⅰ类</w:t>
            </w:r>
            <w:r>
              <w:rPr>
                <w:sz w:val="21"/>
                <w:szCs w:val="21"/>
              </w:rPr>
              <w:t>□</w:t>
            </w:r>
            <w:r>
              <w:rPr>
                <w:rFonts w:cs="宋体"/>
                <w:sz w:val="21"/>
                <w:szCs w:val="21"/>
              </w:rPr>
              <w:t>；Ⅱ类</w:t>
            </w:r>
            <w:r>
              <w:rPr>
                <w:sz w:val="21"/>
                <w:szCs w:val="21"/>
              </w:rPr>
              <w:t>□</w:t>
            </w:r>
            <w:r>
              <w:rPr>
                <w:rFonts w:cs="宋体"/>
                <w:sz w:val="21"/>
                <w:szCs w:val="21"/>
              </w:rPr>
              <w:t>；Ⅲ类</w:t>
            </w:r>
            <w:r>
              <w:rPr>
                <w:rFonts w:cs="Segoe UI Symbol"/>
                <w:sz w:val="21"/>
                <w:szCs w:val="21"/>
              </w:rPr>
              <w:t>☑</w:t>
            </w:r>
            <w:r>
              <w:rPr>
                <w:rFonts w:cs="宋体"/>
                <w:sz w:val="21"/>
                <w:szCs w:val="21"/>
              </w:rPr>
              <w:t>；Ⅳ类</w:t>
            </w:r>
            <w:r>
              <w:rPr>
                <w:sz w:val="21"/>
                <w:szCs w:val="21"/>
              </w:rPr>
              <w:t>□</w:t>
            </w:r>
          </w:p>
        </w:tc>
        <w:tc>
          <w:tcPr>
            <w:tcW w:w="613" w:type="pct"/>
            <w:tcBorders>
              <w:tl2br w:val="nil"/>
              <w:tr2bl w:val="nil"/>
            </w:tcBorders>
            <w:vAlign w:val="center"/>
          </w:tcPr>
          <w:p w14:paraId="1DD99D40">
            <w:pPr>
              <w:ind w:firstLine="0" w:firstLineChars="0"/>
              <w:jc w:val="center"/>
              <w:rPr>
                <w:sz w:val="21"/>
              </w:rPr>
            </w:pPr>
          </w:p>
        </w:tc>
      </w:tr>
      <w:tr w14:paraId="530D0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00ABEE16">
            <w:pPr>
              <w:ind w:firstLine="0" w:firstLineChars="0"/>
              <w:jc w:val="center"/>
              <w:rPr>
                <w:sz w:val="21"/>
              </w:rPr>
            </w:pPr>
          </w:p>
        </w:tc>
        <w:tc>
          <w:tcPr>
            <w:tcW w:w="892" w:type="pct"/>
            <w:tcBorders>
              <w:tl2br w:val="nil"/>
              <w:tr2bl w:val="nil"/>
            </w:tcBorders>
            <w:vAlign w:val="center"/>
          </w:tcPr>
          <w:p w14:paraId="5ED97444">
            <w:pPr>
              <w:ind w:firstLine="0" w:firstLineChars="0"/>
              <w:jc w:val="center"/>
              <w:rPr>
                <w:rFonts w:cs="宋体"/>
                <w:sz w:val="21"/>
                <w:szCs w:val="21"/>
              </w:rPr>
            </w:pPr>
            <w:r>
              <w:rPr>
                <w:rFonts w:cs="宋体"/>
                <w:sz w:val="21"/>
                <w:szCs w:val="21"/>
              </w:rPr>
              <w:t>敏感程度</w:t>
            </w:r>
          </w:p>
        </w:tc>
        <w:tc>
          <w:tcPr>
            <w:tcW w:w="3196" w:type="pct"/>
            <w:gridSpan w:val="5"/>
            <w:tcBorders>
              <w:tl2br w:val="nil"/>
              <w:tr2bl w:val="nil"/>
            </w:tcBorders>
            <w:vAlign w:val="center"/>
          </w:tcPr>
          <w:p w14:paraId="574E5056">
            <w:pPr>
              <w:ind w:firstLine="0" w:firstLineChars="0"/>
              <w:jc w:val="center"/>
              <w:rPr>
                <w:sz w:val="21"/>
                <w:szCs w:val="21"/>
              </w:rPr>
            </w:pPr>
            <w:r>
              <w:rPr>
                <w:rFonts w:cs="宋体"/>
                <w:sz w:val="21"/>
                <w:szCs w:val="21"/>
              </w:rPr>
              <w:t>敏感</w:t>
            </w:r>
            <w:r>
              <w:rPr>
                <w:rFonts w:cs="MS Gothic"/>
                <w:sz w:val="21"/>
                <w:szCs w:val="21"/>
              </w:rPr>
              <w:t>☑</w:t>
            </w:r>
            <w:r>
              <w:rPr>
                <w:rFonts w:cs="宋体"/>
                <w:sz w:val="21"/>
                <w:szCs w:val="21"/>
              </w:rPr>
              <w:t>；较敏感</w:t>
            </w:r>
            <w:r>
              <w:rPr>
                <w:sz w:val="21"/>
                <w:szCs w:val="21"/>
              </w:rPr>
              <w:t>□</w:t>
            </w:r>
            <w:r>
              <w:rPr>
                <w:rFonts w:cs="宋体"/>
                <w:sz w:val="21"/>
                <w:szCs w:val="21"/>
              </w:rPr>
              <w:t>；不敏感</w:t>
            </w:r>
            <w:r>
              <w:rPr>
                <w:sz w:val="21"/>
                <w:szCs w:val="21"/>
              </w:rPr>
              <w:t>□</w:t>
            </w:r>
          </w:p>
        </w:tc>
        <w:tc>
          <w:tcPr>
            <w:tcW w:w="613" w:type="pct"/>
            <w:tcBorders>
              <w:tl2br w:val="nil"/>
              <w:tr2bl w:val="nil"/>
            </w:tcBorders>
            <w:vAlign w:val="center"/>
          </w:tcPr>
          <w:p w14:paraId="726CCD4E">
            <w:pPr>
              <w:ind w:firstLine="0" w:firstLineChars="0"/>
              <w:jc w:val="center"/>
              <w:rPr>
                <w:sz w:val="21"/>
              </w:rPr>
            </w:pPr>
          </w:p>
        </w:tc>
      </w:tr>
      <w:tr w14:paraId="48765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90" w:type="pct"/>
            <w:gridSpan w:val="2"/>
            <w:tcBorders>
              <w:tl2br w:val="nil"/>
              <w:tr2bl w:val="nil"/>
            </w:tcBorders>
            <w:vAlign w:val="center"/>
          </w:tcPr>
          <w:p w14:paraId="3728511C">
            <w:pPr>
              <w:ind w:firstLine="0" w:firstLineChars="0"/>
              <w:jc w:val="center"/>
              <w:rPr>
                <w:rFonts w:cs="宋体"/>
                <w:sz w:val="21"/>
                <w:szCs w:val="21"/>
              </w:rPr>
            </w:pPr>
            <w:r>
              <w:rPr>
                <w:rFonts w:cs="宋体"/>
                <w:sz w:val="21"/>
                <w:szCs w:val="21"/>
              </w:rPr>
              <w:t>评价工作等级</w:t>
            </w:r>
          </w:p>
        </w:tc>
        <w:tc>
          <w:tcPr>
            <w:tcW w:w="3196" w:type="pct"/>
            <w:gridSpan w:val="5"/>
            <w:tcBorders>
              <w:tl2br w:val="nil"/>
              <w:tr2bl w:val="nil"/>
            </w:tcBorders>
            <w:vAlign w:val="center"/>
          </w:tcPr>
          <w:p w14:paraId="20BC757E">
            <w:pPr>
              <w:ind w:firstLine="0" w:firstLineChars="0"/>
              <w:jc w:val="center"/>
              <w:rPr>
                <w:rFonts w:cs="Segoe UI Symbol"/>
                <w:sz w:val="21"/>
                <w:szCs w:val="21"/>
              </w:rPr>
            </w:pPr>
            <w:r>
              <w:rPr>
                <w:rFonts w:cs="宋体"/>
                <w:sz w:val="21"/>
                <w:szCs w:val="21"/>
              </w:rPr>
              <w:t>一级</w:t>
            </w:r>
            <w:r>
              <w:rPr>
                <w:sz w:val="21"/>
                <w:szCs w:val="21"/>
              </w:rPr>
              <w:t>□</w:t>
            </w:r>
            <w:r>
              <w:rPr>
                <w:rFonts w:cs="宋体"/>
                <w:sz w:val="21"/>
                <w:szCs w:val="21"/>
              </w:rPr>
              <w:t>；二级</w:t>
            </w:r>
            <w:r>
              <w:rPr>
                <w:sz w:val="21"/>
                <w:szCs w:val="21"/>
              </w:rPr>
              <w:t>□</w:t>
            </w:r>
            <w:r>
              <w:rPr>
                <w:rFonts w:cs="宋体"/>
                <w:sz w:val="21"/>
                <w:szCs w:val="21"/>
              </w:rPr>
              <w:t>；三级</w:t>
            </w:r>
            <w:r>
              <w:rPr>
                <w:rFonts w:cs="Segoe UI Symbol"/>
                <w:sz w:val="21"/>
                <w:szCs w:val="21"/>
              </w:rPr>
              <w:t>☑</w:t>
            </w:r>
          </w:p>
        </w:tc>
        <w:tc>
          <w:tcPr>
            <w:tcW w:w="613" w:type="pct"/>
            <w:tcBorders>
              <w:tl2br w:val="nil"/>
              <w:tr2bl w:val="nil"/>
            </w:tcBorders>
            <w:vAlign w:val="center"/>
          </w:tcPr>
          <w:p w14:paraId="78F41FD6">
            <w:pPr>
              <w:ind w:firstLine="0" w:firstLineChars="0"/>
              <w:jc w:val="center"/>
              <w:rPr>
                <w:sz w:val="21"/>
              </w:rPr>
            </w:pPr>
          </w:p>
        </w:tc>
      </w:tr>
      <w:tr w14:paraId="512BC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restart"/>
            <w:tcBorders>
              <w:tl2br w:val="nil"/>
              <w:tr2bl w:val="nil"/>
            </w:tcBorders>
            <w:textDirection w:val="tbRlV"/>
            <w:vAlign w:val="center"/>
          </w:tcPr>
          <w:p w14:paraId="7EDC3746">
            <w:pPr>
              <w:ind w:firstLine="0" w:firstLineChars="0"/>
              <w:jc w:val="center"/>
              <w:rPr>
                <w:rFonts w:cs="宋体"/>
                <w:sz w:val="21"/>
                <w:szCs w:val="21"/>
              </w:rPr>
            </w:pPr>
            <w:r>
              <w:rPr>
                <w:rFonts w:cs="宋体"/>
                <w:sz w:val="21"/>
                <w:szCs w:val="21"/>
              </w:rPr>
              <w:t>现状调查内容</w:t>
            </w:r>
          </w:p>
        </w:tc>
        <w:tc>
          <w:tcPr>
            <w:tcW w:w="892" w:type="pct"/>
            <w:tcBorders>
              <w:tl2br w:val="nil"/>
              <w:tr2bl w:val="nil"/>
            </w:tcBorders>
            <w:vAlign w:val="center"/>
          </w:tcPr>
          <w:p w14:paraId="6141848B">
            <w:pPr>
              <w:ind w:firstLine="0" w:firstLineChars="0"/>
              <w:jc w:val="center"/>
              <w:rPr>
                <w:rFonts w:cs="宋体"/>
                <w:sz w:val="21"/>
                <w:szCs w:val="21"/>
              </w:rPr>
            </w:pPr>
            <w:r>
              <w:rPr>
                <w:rFonts w:cs="宋体"/>
                <w:sz w:val="21"/>
                <w:szCs w:val="21"/>
              </w:rPr>
              <w:t>资料收集</w:t>
            </w:r>
          </w:p>
        </w:tc>
        <w:tc>
          <w:tcPr>
            <w:tcW w:w="3196" w:type="pct"/>
            <w:gridSpan w:val="5"/>
            <w:tcBorders>
              <w:tl2br w:val="nil"/>
              <w:tr2bl w:val="nil"/>
            </w:tcBorders>
            <w:vAlign w:val="center"/>
          </w:tcPr>
          <w:p w14:paraId="2986BC1D">
            <w:pPr>
              <w:ind w:firstLine="0" w:firstLineChars="0"/>
              <w:jc w:val="center"/>
              <w:rPr>
                <w:rFonts w:cs="MS Gothic"/>
                <w:sz w:val="21"/>
                <w:szCs w:val="21"/>
              </w:rPr>
            </w:pPr>
            <w:r>
              <w:rPr>
                <w:sz w:val="21"/>
                <w:szCs w:val="21"/>
              </w:rPr>
              <w:t>a</w:t>
            </w:r>
            <w:r>
              <w:rPr>
                <w:rFonts w:hint="eastAsia" w:cs="宋体"/>
                <w:sz w:val="21"/>
                <w:szCs w:val="21"/>
              </w:rPr>
              <w:t>）</w:t>
            </w:r>
            <w:r>
              <w:rPr>
                <w:sz w:val="21"/>
                <w:szCs w:val="21"/>
              </w:rPr>
              <w:t>□</w:t>
            </w:r>
            <w:r>
              <w:rPr>
                <w:rFonts w:cs="宋体"/>
                <w:sz w:val="21"/>
                <w:szCs w:val="21"/>
              </w:rPr>
              <w:t>；</w:t>
            </w:r>
            <w:r>
              <w:rPr>
                <w:sz w:val="21"/>
                <w:szCs w:val="21"/>
              </w:rPr>
              <w:t>b</w:t>
            </w:r>
            <w:r>
              <w:rPr>
                <w:rFonts w:hint="eastAsia" w:cs="宋体"/>
                <w:sz w:val="21"/>
                <w:szCs w:val="21"/>
              </w:rPr>
              <w:t>）</w:t>
            </w:r>
            <w:r>
              <w:rPr>
                <w:rFonts w:cs="MS Gothic"/>
                <w:sz w:val="21"/>
                <w:szCs w:val="21"/>
              </w:rPr>
              <w:t>☑</w:t>
            </w:r>
            <w:r>
              <w:rPr>
                <w:rFonts w:cs="宋体"/>
                <w:sz w:val="21"/>
                <w:szCs w:val="21"/>
              </w:rPr>
              <w:t>；</w:t>
            </w:r>
            <w:r>
              <w:rPr>
                <w:sz w:val="21"/>
                <w:szCs w:val="21"/>
              </w:rPr>
              <w:t>c</w:t>
            </w:r>
            <w:r>
              <w:rPr>
                <w:rFonts w:hint="eastAsia" w:cs="宋体"/>
                <w:sz w:val="21"/>
                <w:szCs w:val="21"/>
              </w:rPr>
              <w:t>）</w:t>
            </w:r>
            <w:r>
              <w:rPr>
                <w:sz w:val="21"/>
                <w:szCs w:val="21"/>
              </w:rPr>
              <w:t>□</w:t>
            </w:r>
            <w:r>
              <w:rPr>
                <w:rFonts w:cs="宋体"/>
                <w:sz w:val="21"/>
                <w:szCs w:val="21"/>
              </w:rPr>
              <w:t>；</w:t>
            </w:r>
            <w:r>
              <w:rPr>
                <w:sz w:val="21"/>
                <w:szCs w:val="21"/>
              </w:rPr>
              <w:t>d</w:t>
            </w:r>
            <w:r>
              <w:rPr>
                <w:rFonts w:hint="eastAsia" w:cs="宋体"/>
                <w:sz w:val="21"/>
                <w:szCs w:val="21"/>
              </w:rPr>
              <w:t>）</w:t>
            </w:r>
            <w:r>
              <w:rPr>
                <w:rFonts w:cs="MS Gothic"/>
                <w:sz w:val="21"/>
                <w:szCs w:val="21"/>
              </w:rPr>
              <w:t>☑</w:t>
            </w:r>
          </w:p>
        </w:tc>
        <w:tc>
          <w:tcPr>
            <w:tcW w:w="613" w:type="pct"/>
            <w:tcBorders>
              <w:tl2br w:val="nil"/>
              <w:tr2bl w:val="nil"/>
            </w:tcBorders>
            <w:vAlign w:val="center"/>
          </w:tcPr>
          <w:p w14:paraId="30EB626D">
            <w:pPr>
              <w:ind w:firstLine="0" w:firstLineChars="0"/>
              <w:jc w:val="center"/>
              <w:rPr>
                <w:sz w:val="21"/>
              </w:rPr>
            </w:pPr>
          </w:p>
        </w:tc>
      </w:tr>
      <w:tr w14:paraId="1C246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297" w:type="pct"/>
            <w:vMerge w:val="continue"/>
            <w:tcBorders>
              <w:tl2br w:val="nil"/>
              <w:tr2bl w:val="nil"/>
            </w:tcBorders>
            <w:textDirection w:val="tbRlV"/>
            <w:vAlign w:val="center"/>
          </w:tcPr>
          <w:p w14:paraId="180F5D09">
            <w:pPr>
              <w:ind w:firstLine="0" w:firstLineChars="0"/>
              <w:jc w:val="center"/>
              <w:rPr>
                <w:sz w:val="21"/>
              </w:rPr>
            </w:pPr>
          </w:p>
        </w:tc>
        <w:tc>
          <w:tcPr>
            <w:tcW w:w="892" w:type="pct"/>
            <w:tcBorders>
              <w:tl2br w:val="nil"/>
              <w:tr2bl w:val="nil"/>
            </w:tcBorders>
            <w:vAlign w:val="center"/>
          </w:tcPr>
          <w:p w14:paraId="2070D7D8">
            <w:pPr>
              <w:ind w:firstLine="0" w:firstLineChars="0"/>
              <w:jc w:val="center"/>
              <w:rPr>
                <w:rFonts w:cs="宋体"/>
                <w:sz w:val="21"/>
                <w:szCs w:val="21"/>
              </w:rPr>
            </w:pPr>
            <w:r>
              <w:rPr>
                <w:rFonts w:cs="宋体"/>
                <w:sz w:val="21"/>
                <w:szCs w:val="21"/>
              </w:rPr>
              <w:t>理化特性</w:t>
            </w:r>
          </w:p>
        </w:tc>
        <w:tc>
          <w:tcPr>
            <w:tcW w:w="3196" w:type="pct"/>
            <w:gridSpan w:val="5"/>
            <w:tcBorders>
              <w:tl2br w:val="nil"/>
              <w:tr2bl w:val="nil"/>
            </w:tcBorders>
            <w:vAlign w:val="center"/>
          </w:tcPr>
          <w:p w14:paraId="24154E71">
            <w:pPr>
              <w:ind w:firstLine="0" w:firstLineChars="0"/>
              <w:jc w:val="center"/>
              <w:rPr>
                <w:rFonts w:cs="宋体"/>
                <w:sz w:val="21"/>
                <w:szCs w:val="21"/>
              </w:rPr>
            </w:pPr>
            <w:r>
              <w:rPr>
                <w:rFonts w:cs="宋体"/>
                <w:sz w:val="21"/>
                <w:szCs w:val="21"/>
              </w:rPr>
              <w:t>无酸化或碱化的中度盐化土</w:t>
            </w:r>
          </w:p>
        </w:tc>
        <w:tc>
          <w:tcPr>
            <w:tcW w:w="613" w:type="pct"/>
            <w:tcBorders>
              <w:tl2br w:val="nil"/>
              <w:tr2bl w:val="nil"/>
            </w:tcBorders>
            <w:vAlign w:val="center"/>
          </w:tcPr>
          <w:p w14:paraId="606EF7C7">
            <w:pPr>
              <w:ind w:firstLine="0" w:firstLineChars="0"/>
              <w:jc w:val="center"/>
              <w:rPr>
                <w:sz w:val="21"/>
                <w:szCs w:val="21"/>
              </w:rPr>
            </w:pPr>
            <w:r>
              <w:rPr>
                <w:rFonts w:cs="宋体"/>
                <w:sz w:val="21"/>
                <w:szCs w:val="21"/>
              </w:rPr>
              <w:t>同附录</w:t>
            </w:r>
            <w:r>
              <w:rPr>
                <w:sz w:val="21"/>
                <w:szCs w:val="21"/>
              </w:rPr>
              <w:t>C</w:t>
            </w:r>
          </w:p>
        </w:tc>
      </w:tr>
      <w:tr w14:paraId="6BAEE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3B6A36F7">
            <w:pPr>
              <w:ind w:firstLine="0" w:firstLineChars="0"/>
              <w:jc w:val="center"/>
              <w:rPr>
                <w:sz w:val="21"/>
              </w:rPr>
            </w:pPr>
          </w:p>
        </w:tc>
        <w:tc>
          <w:tcPr>
            <w:tcW w:w="892" w:type="pct"/>
            <w:vMerge w:val="restart"/>
            <w:tcBorders>
              <w:tl2br w:val="nil"/>
              <w:tr2bl w:val="nil"/>
            </w:tcBorders>
            <w:vAlign w:val="center"/>
          </w:tcPr>
          <w:p w14:paraId="74CB6C35">
            <w:pPr>
              <w:ind w:firstLine="0" w:firstLineChars="0"/>
              <w:jc w:val="center"/>
              <w:rPr>
                <w:rFonts w:cs="宋体"/>
                <w:sz w:val="21"/>
                <w:szCs w:val="21"/>
              </w:rPr>
            </w:pPr>
            <w:r>
              <w:rPr>
                <w:rFonts w:cs="宋体"/>
                <w:sz w:val="21"/>
                <w:szCs w:val="21"/>
              </w:rPr>
              <w:t>现状监测点位</w:t>
            </w:r>
          </w:p>
        </w:tc>
        <w:tc>
          <w:tcPr>
            <w:tcW w:w="751" w:type="pct"/>
            <w:tcBorders>
              <w:tl2br w:val="nil"/>
              <w:tr2bl w:val="nil"/>
            </w:tcBorders>
            <w:vAlign w:val="center"/>
          </w:tcPr>
          <w:p w14:paraId="3B031C39">
            <w:pPr>
              <w:ind w:firstLine="0" w:firstLineChars="0"/>
              <w:jc w:val="center"/>
              <w:rPr>
                <w:sz w:val="21"/>
              </w:rPr>
            </w:pPr>
          </w:p>
        </w:tc>
        <w:tc>
          <w:tcPr>
            <w:tcW w:w="813" w:type="pct"/>
            <w:tcBorders>
              <w:tl2br w:val="nil"/>
              <w:tr2bl w:val="nil"/>
            </w:tcBorders>
            <w:vAlign w:val="center"/>
          </w:tcPr>
          <w:p w14:paraId="015E9100">
            <w:pPr>
              <w:ind w:firstLine="0" w:firstLineChars="0"/>
              <w:jc w:val="center"/>
              <w:rPr>
                <w:rFonts w:cs="宋体"/>
                <w:sz w:val="21"/>
                <w:szCs w:val="21"/>
              </w:rPr>
            </w:pPr>
            <w:r>
              <w:rPr>
                <w:rFonts w:cs="宋体"/>
                <w:sz w:val="21"/>
                <w:szCs w:val="21"/>
              </w:rPr>
              <w:t>占地范围内</w:t>
            </w:r>
          </w:p>
        </w:tc>
        <w:tc>
          <w:tcPr>
            <w:tcW w:w="804" w:type="pct"/>
            <w:gridSpan w:val="2"/>
            <w:tcBorders>
              <w:tl2br w:val="nil"/>
              <w:tr2bl w:val="nil"/>
            </w:tcBorders>
            <w:vAlign w:val="center"/>
          </w:tcPr>
          <w:p w14:paraId="23ED5BC2">
            <w:pPr>
              <w:ind w:firstLine="0" w:firstLineChars="0"/>
              <w:jc w:val="center"/>
              <w:rPr>
                <w:rFonts w:cs="宋体"/>
                <w:sz w:val="21"/>
                <w:szCs w:val="21"/>
              </w:rPr>
            </w:pPr>
            <w:r>
              <w:rPr>
                <w:rFonts w:cs="宋体"/>
                <w:sz w:val="21"/>
                <w:szCs w:val="21"/>
              </w:rPr>
              <w:t>占地范围外</w:t>
            </w:r>
          </w:p>
        </w:tc>
        <w:tc>
          <w:tcPr>
            <w:tcW w:w="826" w:type="pct"/>
            <w:tcBorders>
              <w:tl2br w:val="nil"/>
              <w:tr2bl w:val="nil"/>
            </w:tcBorders>
            <w:vAlign w:val="center"/>
          </w:tcPr>
          <w:p w14:paraId="63E5E224">
            <w:pPr>
              <w:ind w:firstLine="0" w:firstLineChars="0"/>
              <w:jc w:val="center"/>
              <w:rPr>
                <w:rFonts w:cs="宋体"/>
                <w:sz w:val="21"/>
                <w:szCs w:val="21"/>
              </w:rPr>
            </w:pPr>
            <w:r>
              <w:rPr>
                <w:rFonts w:cs="宋体"/>
                <w:sz w:val="21"/>
                <w:szCs w:val="21"/>
              </w:rPr>
              <w:t>深度</w:t>
            </w:r>
          </w:p>
        </w:tc>
        <w:tc>
          <w:tcPr>
            <w:tcW w:w="613" w:type="pct"/>
            <w:vMerge w:val="restart"/>
            <w:tcBorders>
              <w:tl2br w:val="nil"/>
              <w:tr2bl w:val="nil"/>
            </w:tcBorders>
            <w:vAlign w:val="center"/>
          </w:tcPr>
          <w:p w14:paraId="05215B0E">
            <w:pPr>
              <w:ind w:firstLine="0" w:firstLineChars="0"/>
              <w:jc w:val="center"/>
              <w:rPr>
                <w:rFonts w:cs="宋体"/>
                <w:sz w:val="21"/>
                <w:szCs w:val="21"/>
              </w:rPr>
            </w:pPr>
            <w:r>
              <w:rPr>
                <w:rFonts w:cs="宋体"/>
                <w:sz w:val="21"/>
                <w:szCs w:val="21"/>
              </w:rPr>
              <w:t>点位布置图</w:t>
            </w:r>
          </w:p>
        </w:tc>
      </w:tr>
      <w:tr w14:paraId="7E69D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14:paraId="30D33656">
            <w:pPr>
              <w:ind w:firstLine="0" w:firstLineChars="0"/>
              <w:jc w:val="center"/>
              <w:rPr>
                <w:sz w:val="21"/>
              </w:rPr>
            </w:pPr>
          </w:p>
        </w:tc>
        <w:tc>
          <w:tcPr>
            <w:tcW w:w="892" w:type="pct"/>
            <w:vMerge w:val="continue"/>
            <w:tcBorders>
              <w:tl2br w:val="nil"/>
              <w:tr2bl w:val="nil"/>
            </w:tcBorders>
            <w:vAlign w:val="center"/>
          </w:tcPr>
          <w:p w14:paraId="31D8491A">
            <w:pPr>
              <w:ind w:firstLine="0" w:firstLineChars="0"/>
              <w:jc w:val="center"/>
              <w:rPr>
                <w:sz w:val="21"/>
              </w:rPr>
            </w:pPr>
          </w:p>
        </w:tc>
        <w:tc>
          <w:tcPr>
            <w:tcW w:w="751" w:type="pct"/>
            <w:tcBorders>
              <w:tl2br w:val="nil"/>
              <w:tr2bl w:val="nil"/>
            </w:tcBorders>
            <w:vAlign w:val="center"/>
          </w:tcPr>
          <w:p w14:paraId="51792557">
            <w:pPr>
              <w:ind w:firstLine="0" w:firstLineChars="0"/>
              <w:jc w:val="center"/>
              <w:rPr>
                <w:rFonts w:cs="宋体"/>
                <w:sz w:val="21"/>
                <w:szCs w:val="21"/>
              </w:rPr>
            </w:pPr>
            <w:r>
              <w:rPr>
                <w:rFonts w:cs="宋体"/>
                <w:sz w:val="21"/>
                <w:szCs w:val="21"/>
              </w:rPr>
              <w:t>表层样点数</w:t>
            </w:r>
          </w:p>
        </w:tc>
        <w:tc>
          <w:tcPr>
            <w:tcW w:w="813" w:type="pct"/>
            <w:tcBorders>
              <w:tl2br w:val="nil"/>
              <w:tr2bl w:val="nil"/>
            </w:tcBorders>
            <w:vAlign w:val="center"/>
          </w:tcPr>
          <w:p w14:paraId="2F9A4B9B">
            <w:pPr>
              <w:ind w:firstLine="0" w:firstLineChars="0"/>
              <w:jc w:val="center"/>
              <w:rPr>
                <w:sz w:val="21"/>
                <w:szCs w:val="21"/>
              </w:rPr>
            </w:pPr>
            <w:r>
              <w:rPr>
                <w:sz w:val="21"/>
                <w:szCs w:val="21"/>
              </w:rPr>
              <w:t>3</w:t>
            </w:r>
          </w:p>
        </w:tc>
        <w:tc>
          <w:tcPr>
            <w:tcW w:w="804" w:type="pct"/>
            <w:gridSpan w:val="2"/>
            <w:tcBorders>
              <w:tl2br w:val="nil"/>
              <w:tr2bl w:val="nil"/>
            </w:tcBorders>
            <w:vAlign w:val="center"/>
          </w:tcPr>
          <w:p w14:paraId="4D533A59">
            <w:pPr>
              <w:ind w:firstLine="0" w:firstLineChars="0"/>
              <w:jc w:val="center"/>
              <w:rPr>
                <w:sz w:val="21"/>
              </w:rPr>
            </w:pPr>
          </w:p>
        </w:tc>
        <w:tc>
          <w:tcPr>
            <w:tcW w:w="826" w:type="pct"/>
            <w:tcBorders>
              <w:tl2br w:val="nil"/>
              <w:tr2bl w:val="nil"/>
            </w:tcBorders>
            <w:vAlign w:val="center"/>
          </w:tcPr>
          <w:p w14:paraId="0CF23549">
            <w:pPr>
              <w:ind w:firstLine="0" w:firstLineChars="0"/>
              <w:jc w:val="center"/>
              <w:rPr>
                <w:sz w:val="21"/>
                <w:szCs w:val="21"/>
              </w:rPr>
            </w:pPr>
            <w:r>
              <w:rPr>
                <w:sz w:val="21"/>
                <w:szCs w:val="21"/>
              </w:rPr>
              <w:t>0.2m</w:t>
            </w:r>
          </w:p>
        </w:tc>
        <w:tc>
          <w:tcPr>
            <w:tcW w:w="613" w:type="pct"/>
            <w:vMerge w:val="continue"/>
            <w:tcBorders>
              <w:tl2br w:val="nil"/>
              <w:tr2bl w:val="nil"/>
            </w:tcBorders>
            <w:vAlign w:val="center"/>
          </w:tcPr>
          <w:p w14:paraId="42F2F9E7">
            <w:pPr>
              <w:ind w:firstLine="0" w:firstLineChars="0"/>
              <w:jc w:val="center"/>
              <w:rPr>
                <w:sz w:val="21"/>
              </w:rPr>
            </w:pPr>
          </w:p>
        </w:tc>
      </w:tr>
      <w:tr w14:paraId="08706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3D990396">
            <w:pPr>
              <w:ind w:firstLine="0" w:firstLineChars="0"/>
              <w:jc w:val="center"/>
              <w:rPr>
                <w:sz w:val="21"/>
              </w:rPr>
            </w:pPr>
          </w:p>
        </w:tc>
        <w:tc>
          <w:tcPr>
            <w:tcW w:w="892" w:type="pct"/>
            <w:vMerge w:val="continue"/>
            <w:tcBorders>
              <w:tl2br w:val="nil"/>
              <w:tr2bl w:val="nil"/>
            </w:tcBorders>
            <w:vAlign w:val="center"/>
          </w:tcPr>
          <w:p w14:paraId="322B5527">
            <w:pPr>
              <w:ind w:firstLine="0" w:firstLineChars="0"/>
              <w:jc w:val="center"/>
              <w:rPr>
                <w:sz w:val="21"/>
              </w:rPr>
            </w:pPr>
          </w:p>
        </w:tc>
        <w:tc>
          <w:tcPr>
            <w:tcW w:w="751" w:type="pct"/>
            <w:tcBorders>
              <w:tl2br w:val="nil"/>
              <w:tr2bl w:val="nil"/>
            </w:tcBorders>
            <w:vAlign w:val="center"/>
          </w:tcPr>
          <w:p w14:paraId="436E93D5">
            <w:pPr>
              <w:ind w:firstLine="0" w:firstLineChars="0"/>
              <w:jc w:val="center"/>
              <w:rPr>
                <w:rFonts w:cs="宋体"/>
                <w:sz w:val="21"/>
                <w:szCs w:val="21"/>
              </w:rPr>
            </w:pPr>
            <w:r>
              <w:rPr>
                <w:rFonts w:cs="宋体"/>
                <w:sz w:val="21"/>
                <w:szCs w:val="21"/>
              </w:rPr>
              <w:t>柱状样点数</w:t>
            </w:r>
          </w:p>
        </w:tc>
        <w:tc>
          <w:tcPr>
            <w:tcW w:w="813" w:type="pct"/>
            <w:tcBorders>
              <w:tl2br w:val="nil"/>
              <w:tr2bl w:val="nil"/>
            </w:tcBorders>
            <w:vAlign w:val="center"/>
          </w:tcPr>
          <w:p w14:paraId="042A23FB">
            <w:pPr>
              <w:ind w:firstLine="0" w:firstLineChars="0"/>
              <w:jc w:val="center"/>
              <w:rPr>
                <w:sz w:val="21"/>
              </w:rPr>
            </w:pPr>
          </w:p>
        </w:tc>
        <w:tc>
          <w:tcPr>
            <w:tcW w:w="804" w:type="pct"/>
            <w:gridSpan w:val="2"/>
            <w:tcBorders>
              <w:tl2br w:val="nil"/>
              <w:tr2bl w:val="nil"/>
            </w:tcBorders>
            <w:vAlign w:val="center"/>
          </w:tcPr>
          <w:p w14:paraId="5FB3003D">
            <w:pPr>
              <w:ind w:firstLine="0" w:firstLineChars="0"/>
              <w:jc w:val="center"/>
              <w:rPr>
                <w:sz w:val="21"/>
              </w:rPr>
            </w:pPr>
          </w:p>
        </w:tc>
        <w:tc>
          <w:tcPr>
            <w:tcW w:w="826" w:type="pct"/>
            <w:tcBorders>
              <w:tl2br w:val="nil"/>
              <w:tr2bl w:val="nil"/>
            </w:tcBorders>
            <w:vAlign w:val="center"/>
          </w:tcPr>
          <w:p w14:paraId="711D1CDE">
            <w:pPr>
              <w:ind w:firstLine="0" w:firstLineChars="0"/>
              <w:jc w:val="center"/>
              <w:rPr>
                <w:sz w:val="21"/>
              </w:rPr>
            </w:pPr>
          </w:p>
        </w:tc>
        <w:tc>
          <w:tcPr>
            <w:tcW w:w="613" w:type="pct"/>
            <w:vMerge w:val="continue"/>
            <w:tcBorders>
              <w:tl2br w:val="nil"/>
              <w:tr2bl w:val="nil"/>
            </w:tcBorders>
            <w:vAlign w:val="center"/>
          </w:tcPr>
          <w:p w14:paraId="04E96265">
            <w:pPr>
              <w:ind w:firstLine="0" w:firstLineChars="0"/>
              <w:jc w:val="center"/>
              <w:rPr>
                <w:sz w:val="21"/>
              </w:rPr>
            </w:pPr>
          </w:p>
        </w:tc>
      </w:tr>
      <w:tr w14:paraId="71B9D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97" w:type="pct"/>
            <w:vMerge w:val="continue"/>
            <w:tcBorders>
              <w:tl2br w:val="nil"/>
              <w:tr2bl w:val="nil"/>
            </w:tcBorders>
            <w:textDirection w:val="tbRlV"/>
            <w:vAlign w:val="center"/>
          </w:tcPr>
          <w:p w14:paraId="5B0504E1">
            <w:pPr>
              <w:ind w:firstLine="0" w:firstLineChars="0"/>
              <w:jc w:val="center"/>
              <w:rPr>
                <w:sz w:val="21"/>
              </w:rPr>
            </w:pPr>
          </w:p>
        </w:tc>
        <w:tc>
          <w:tcPr>
            <w:tcW w:w="892" w:type="pct"/>
            <w:tcBorders>
              <w:tl2br w:val="nil"/>
              <w:tr2bl w:val="nil"/>
            </w:tcBorders>
            <w:vAlign w:val="center"/>
          </w:tcPr>
          <w:p w14:paraId="6A991C81">
            <w:pPr>
              <w:ind w:firstLine="0" w:firstLineChars="0"/>
              <w:jc w:val="center"/>
              <w:rPr>
                <w:rFonts w:cs="宋体"/>
                <w:sz w:val="21"/>
                <w:szCs w:val="21"/>
              </w:rPr>
            </w:pPr>
            <w:r>
              <w:rPr>
                <w:rFonts w:cs="宋体"/>
                <w:sz w:val="21"/>
                <w:szCs w:val="21"/>
              </w:rPr>
              <w:t>现状监测因子</w:t>
            </w:r>
          </w:p>
        </w:tc>
        <w:tc>
          <w:tcPr>
            <w:tcW w:w="3196" w:type="pct"/>
            <w:gridSpan w:val="5"/>
            <w:tcBorders>
              <w:tl2br w:val="nil"/>
              <w:tr2bl w:val="nil"/>
            </w:tcBorders>
            <w:vAlign w:val="center"/>
          </w:tcPr>
          <w:p w14:paraId="0EE768DE">
            <w:pPr>
              <w:ind w:firstLine="0" w:firstLineChars="0"/>
              <w:jc w:val="center"/>
              <w:rPr>
                <w:rFonts w:cs="宋体"/>
                <w:sz w:val="21"/>
                <w:szCs w:val="21"/>
              </w:rPr>
            </w:pPr>
            <w:r>
              <w:rPr>
                <w:rFonts w:hint="eastAsia" w:cs="宋体"/>
                <w:sz w:val="21"/>
                <w:szCs w:val="21"/>
              </w:rPr>
              <w:t>四十五全项</w:t>
            </w:r>
          </w:p>
        </w:tc>
        <w:tc>
          <w:tcPr>
            <w:tcW w:w="613" w:type="pct"/>
            <w:tcBorders>
              <w:tl2br w:val="nil"/>
              <w:tr2bl w:val="nil"/>
            </w:tcBorders>
            <w:vAlign w:val="center"/>
          </w:tcPr>
          <w:p w14:paraId="5EAEC49E">
            <w:pPr>
              <w:ind w:firstLine="0" w:firstLineChars="0"/>
              <w:jc w:val="center"/>
              <w:rPr>
                <w:sz w:val="21"/>
              </w:rPr>
            </w:pPr>
          </w:p>
        </w:tc>
      </w:tr>
      <w:tr w14:paraId="157EF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97" w:type="pct"/>
            <w:vMerge w:val="restart"/>
            <w:tcBorders>
              <w:tl2br w:val="nil"/>
              <w:tr2bl w:val="nil"/>
            </w:tcBorders>
            <w:textDirection w:val="tbRlV"/>
            <w:vAlign w:val="center"/>
          </w:tcPr>
          <w:p w14:paraId="0141D771">
            <w:pPr>
              <w:ind w:firstLine="0" w:firstLineChars="0"/>
              <w:jc w:val="center"/>
              <w:rPr>
                <w:rFonts w:cs="宋体"/>
                <w:sz w:val="21"/>
                <w:szCs w:val="21"/>
              </w:rPr>
            </w:pPr>
            <w:r>
              <w:rPr>
                <w:rFonts w:cs="宋体"/>
                <w:sz w:val="21"/>
                <w:szCs w:val="21"/>
              </w:rPr>
              <w:t>现状评价</w:t>
            </w:r>
          </w:p>
        </w:tc>
        <w:tc>
          <w:tcPr>
            <w:tcW w:w="892" w:type="pct"/>
            <w:tcBorders>
              <w:tl2br w:val="nil"/>
              <w:tr2bl w:val="nil"/>
            </w:tcBorders>
            <w:vAlign w:val="center"/>
          </w:tcPr>
          <w:p w14:paraId="55F2C877">
            <w:pPr>
              <w:ind w:firstLine="0" w:firstLineChars="0"/>
              <w:jc w:val="center"/>
              <w:rPr>
                <w:rFonts w:cs="宋体"/>
                <w:sz w:val="21"/>
                <w:szCs w:val="21"/>
              </w:rPr>
            </w:pPr>
            <w:r>
              <w:rPr>
                <w:rFonts w:cs="宋体"/>
                <w:sz w:val="21"/>
                <w:szCs w:val="21"/>
              </w:rPr>
              <w:t>评价因子</w:t>
            </w:r>
          </w:p>
        </w:tc>
        <w:tc>
          <w:tcPr>
            <w:tcW w:w="3196" w:type="pct"/>
            <w:gridSpan w:val="5"/>
            <w:tcBorders>
              <w:tl2br w:val="nil"/>
              <w:tr2bl w:val="nil"/>
            </w:tcBorders>
            <w:vAlign w:val="center"/>
          </w:tcPr>
          <w:p w14:paraId="5E0162D5">
            <w:pPr>
              <w:ind w:firstLine="0" w:firstLineChars="0"/>
              <w:jc w:val="center"/>
              <w:rPr>
                <w:rFonts w:cs="宋体"/>
                <w:sz w:val="21"/>
                <w:szCs w:val="21"/>
              </w:rPr>
            </w:pPr>
            <w:r>
              <w:rPr>
                <w:rFonts w:cs="宋体"/>
                <w:sz w:val="21"/>
                <w:szCs w:val="21"/>
              </w:rPr>
              <w:t>镉、汞、砷、铅、铬、铜、镍、锌、</w:t>
            </w:r>
            <w:r>
              <w:rPr>
                <w:sz w:val="21"/>
                <w:szCs w:val="21"/>
              </w:rPr>
              <w:t>PH</w:t>
            </w:r>
            <w:r>
              <w:rPr>
                <w:rFonts w:cs="宋体"/>
                <w:sz w:val="21"/>
                <w:szCs w:val="21"/>
              </w:rPr>
              <w:t>、六六六、滴滴涕</w:t>
            </w:r>
          </w:p>
        </w:tc>
        <w:tc>
          <w:tcPr>
            <w:tcW w:w="613" w:type="pct"/>
            <w:tcBorders>
              <w:tl2br w:val="nil"/>
              <w:tr2bl w:val="nil"/>
            </w:tcBorders>
            <w:vAlign w:val="center"/>
          </w:tcPr>
          <w:p w14:paraId="7639765E">
            <w:pPr>
              <w:ind w:firstLine="0" w:firstLineChars="0"/>
              <w:jc w:val="center"/>
              <w:rPr>
                <w:sz w:val="21"/>
              </w:rPr>
            </w:pPr>
          </w:p>
        </w:tc>
      </w:tr>
      <w:tr w14:paraId="37594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continue"/>
            <w:tcBorders>
              <w:tl2br w:val="nil"/>
              <w:tr2bl w:val="nil"/>
            </w:tcBorders>
            <w:textDirection w:val="tbRlV"/>
            <w:vAlign w:val="center"/>
          </w:tcPr>
          <w:p w14:paraId="41F27822">
            <w:pPr>
              <w:ind w:firstLine="0" w:firstLineChars="0"/>
              <w:jc w:val="center"/>
              <w:rPr>
                <w:sz w:val="21"/>
              </w:rPr>
            </w:pPr>
          </w:p>
        </w:tc>
        <w:tc>
          <w:tcPr>
            <w:tcW w:w="892" w:type="pct"/>
            <w:tcBorders>
              <w:tl2br w:val="nil"/>
              <w:tr2bl w:val="nil"/>
            </w:tcBorders>
            <w:vAlign w:val="center"/>
          </w:tcPr>
          <w:p w14:paraId="0DF78639">
            <w:pPr>
              <w:ind w:firstLine="0" w:firstLineChars="0"/>
              <w:jc w:val="center"/>
              <w:rPr>
                <w:rFonts w:cs="宋体"/>
                <w:sz w:val="21"/>
                <w:szCs w:val="21"/>
              </w:rPr>
            </w:pPr>
            <w:r>
              <w:rPr>
                <w:rFonts w:cs="宋体"/>
                <w:sz w:val="21"/>
                <w:szCs w:val="21"/>
              </w:rPr>
              <w:t>评价标准</w:t>
            </w:r>
          </w:p>
        </w:tc>
        <w:tc>
          <w:tcPr>
            <w:tcW w:w="3196" w:type="pct"/>
            <w:gridSpan w:val="5"/>
            <w:tcBorders>
              <w:tl2br w:val="nil"/>
              <w:tr2bl w:val="nil"/>
            </w:tcBorders>
            <w:vAlign w:val="center"/>
          </w:tcPr>
          <w:p w14:paraId="6BE4F253">
            <w:pPr>
              <w:ind w:firstLine="0" w:firstLineChars="0"/>
              <w:jc w:val="center"/>
              <w:rPr>
                <w:rFonts w:cs="宋体"/>
                <w:sz w:val="21"/>
                <w:szCs w:val="21"/>
              </w:rPr>
            </w:pPr>
            <w:r>
              <w:rPr>
                <w:sz w:val="21"/>
                <w:szCs w:val="21"/>
              </w:rPr>
              <w:t>GB15618</w:t>
            </w:r>
            <w:r>
              <w:rPr>
                <w:rFonts w:cs="MS Gothic"/>
                <w:sz w:val="21"/>
                <w:szCs w:val="21"/>
              </w:rPr>
              <w:t>☑</w:t>
            </w:r>
            <w:r>
              <w:rPr>
                <w:rFonts w:cs="宋体"/>
                <w:sz w:val="21"/>
                <w:szCs w:val="21"/>
              </w:rPr>
              <w:t>；</w:t>
            </w:r>
            <w:r>
              <w:rPr>
                <w:sz w:val="21"/>
                <w:szCs w:val="21"/>
              </w:rPr>
              <w:t>GB36600□</w:t>
            </w:r>
            <w:r>
              <w:rPr>
                <w:rFonts w:cs="宋体"/>
                <w:sz w:val="21"/>
                <w:szCs w:val="21"/>
              </w:rPr>
              <w:t>；表</w:t>
            </w:r>
            <w:r>
              <w:rPr>
                <w:sz w:val="21"/>
                <w:szCs w:val="21"/>
              </w:rPr>
              <w:t>D.1□</w:t>
            </w:r>
            <w:r>
              <w:rPr>
                <w:rFonts w:cs="宋体"/>
                <w:sz w:val="21"/>
                <w:szCs w:val="21"/>
              </w:rPr>
              <w:t>；表</w:t>
            </w:r>
            <w:r>
              <w:rPr>
                <w:sz w:val="21"/>
                <w:szCs w:val="21"/>
              </w:rPr>
              <w:t>D.2□</w:t>
            </w:r>
            <w:r>
              <w:rPr>
                <w:rFonts w:cs="宋体"/>
                <w:sz w:val="21"/>
                <w:szCs w:val="21"/>
              </w:rPr>
              <w:t>；其他</w:t>
            </w:r>
          </w:p>
          <w:p w14:paraId="49314E24">
            <w:pPr>
              <w:ind w:firstLine="0" w:firstLineChars="0"/>
              <w:jc w:val="center"/>
              <w:rPr>
                <w:rFonts w:cs="宋体"/>
                <w:sz w:val="21"/>
                <w:szCs w:val="21"/>
              </w:rPr>
            </w:pPr>
            <w:r>
              <w:rPr>
                <w:rFonts w:hint="eastAsia" w:cs="宋体"/>
                <w:sz w:val="21"/>
                <w:szCs w:val="21"/>
              </w:rPr>
              <w:t>（</w:t>
            </w:r>
            <w:r>
              <w:rPr>
                <w:sz w:val="21"/>
                <w:szCs w:val="21"/>
              </w:rPr>
              <w:t>HJ568-2010</w:t>
            </w:r>
            <w:r>
              <w:rPr>
                <w:rFonts w:hint="eastAsia" w:cs="宋体"/>
                <w:sz w:val="21"/>
                <w:szCs w:val="21"/>
              </w:rPr>
              <w:t>）</w:t>
            </w:r>
          </w:p>
        </w:tc>
        <w:tc>
          <w:tcPr>
            <w:tcW w:w="613" w:type="pct"/>
            <w:tcBorders>
              <w:tl2br w:val="nil"/>
              <w:tr2bl w:val="nil"/>
            </w:tcBorders>
            <w:vAlign w:val="center"/>
          </w:tcPr>
          <w:p w14:paraId="038F9BD1">
            <w:pPr>
              <w:ind w:firstLine="0" w:firstLineChars="0"/>
              <w:jc w:val="center"/>
              <w:rPr>
                <w:sz w:val="21"/>
              </w:rPr>
            </w:pPr>
          </w:p>
        </w:tc>
      </w:tr>
      <w:tr w14:paraId="0B639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297" w:type="pct"/>
            <w:vMerge w:val="continue"/>
            <w:tcBorders>
              <w:tl2br w:val="nil"/>
              <w:tr2bl w:val="nil"/>
            </w:tcBorders>
            <w:textDirection w:val="tbRlV"/>
            <w:vAlign w:val="center"/>
          </w:tcPr>
          <w:p w14:paraId="76250653">
            <w:pPr>
              <w:ind w:firstLine="0" w:firstLineChars="0"/>
              <w:jc w:val="center"/>
              <w:rPr>
                <w:sz w:val="21"/>
              </w:rPr>
            </w:pPr>
          </w:p>
        </w:tc>
        <w:tc>
          <w:tcPr>
            <w:tcW w:w="892" w:type="pct"/>
            <w:tcBorders>
              <w:tl2br w:val="nil"/>
              <w:tr2bl w:val="nil"/>
            </w:tcBorders>
            <w:vAlign w:val="center"/>
          </w:tcPr>
          <w:p w14:paraId="05708ED9">
            <w:pPr>
              <w:ind w:firstLine="0" w:firstLineChars="0"/>
              <w:jc w:val="center"/>
              <w:rPr>
                <w:rFonts w:cs="宋体"/>
                <w:sz w:val="21"/>
                <w:szCs w:val="21"/>
              </w:rPr>
            </w:pPr>
            <w:r>
              <w:rPr>
                <w:rFonts w:cs="宋体"/>
                <w:sz w:val="21"/>
                <w:szCs w:val="21"/>
              </w:rPr>
              <w:t>现状评价结论</w:t>
            </w:r>
          </w:p>
        </w:tc>
        <w:tc>
          <w:tcPr>
            <w:tcW w:w="3196" w:type="pct"/>
            <w:gridSpan w:val="5"/>
            <w:tcBorders>
              <w:tl2br w:val="nil"/>
              <w:tr2bl w:val="nil"/>
            </w:tcBorders>
            <w:vAlign w:val="center"/>
          </w:tcPr>
          <w:p w14:paraId="4A24D580">
            <w:pPr>
              <w:ind w:firstLine="0" w:firstLineChars="0"/>
              <w:jc w:val="center"/>
              <w:rPr>
                <w:rFonts w:cs="宋体"/>
                <w:sz w:val="21"/>
                <w:szCs w:val="21"/>
              </w:rPr>
            </w:pPr>
            <w:r>
              <w:rPr>
                <w:rFonts w:cs="宋体"/>
                <w:sz w:val="21"/>
                <w:szCs w:val="21"/>
              </w:rPr>
              <w:t>项目区周边各监测点各监测因子浓度均满足《土壤环境质量农用地土壤污染风险管控标准</w:t>
            </w:r>
            <w:r>
              <w:rPr>
                <w:rFonts w:hint="eastAsia" w:cs="宋体"/>
                <w:sz w:val="21"/>
                <w:szCs w:val="21"/>
              </w:rPr>
              <w:t>（</w:t>
            </w:r>
            <w:r>
              <w:rPr>
                <w:rFonts w:cs="宋体"/>
                <w:sz w:val="21"/>
                <w:szCs w:val="21"/>
              </w:rPr>
              <w:t>试行</w:t>
            </w:r>
            <w:r>
              <w:rPr>
                <w:rFonts w:hint="eastAsia" w:cs="宋体"/>
                <w:sz w:val="21"/>
                <w:szCs w:val="21"/>
              </w:rPr>
              <w:t>）</w:t>
            </w:r>
            <w:r>
              <w:rPr>
                <w:rFonts w:cs="宋体"/>
                <w:sz w:val="21"/>
                <w:szCs w:val="21"/>
              </w:rPr>
              <w:t>》</w:t>
            </w:r>
            <w:r>
              <w:rPr>
                <w:rFonts w:hint="eastAsia" w:cs="宋体"/>
                <w:sz w:val="21"/>
                <w:szCs w:val="21"/>
              </w:rPr>
              <w:t>（</w:t>
            </w:r>
            <w:r>
              <w:rPr>
                <w:sz w:val="21"/>
                <w:szCs w:val="21"/>
              </w:rPr>
              <w:t>GB15618-2018</w:t>
            </w:r>
            <w:r>
              <w:rPr>
                <w:rFonts w:hint="eastAsia" w:cs="宋体"/>
                <w:sz w:val="21"/>
                <w:szCs w:val="21"/>
              </w:rPr>
              <w:t>）</w:t>
            </w:r>
            <w:r>
              <w:rPr>
                <w:rFonts w:cs="宋体"/>
                <w:sz w:val="21"/>
                <w:szCs w:val="21"/>
              </w:rPr>
              <w:t>风险筛选值和《畜禽养殖产地环境评价规范》</w:t>
            </w:r>
            <w:r>
              <w:rPr>
                <w:rFonts w:hint="eastAsia" w:cs="宋体"/>
                <w:sz w:val="21"/>
                <w:szCs w:val="21"/>
              </w:rPr>
              <w:t>（</w:t>
            </w:r>
            <w:r>
              <w:rPr>
                <w:sz w:val="21"/>
                <w:szCs w:val="21"/>
              </w:rPr>
              <w:t>HJ568-2010</w:t>
            </w:r>
            <w:r>
              <w:rPr>
                <w:rFonts w:hint="eastAsia" w:cs="宋体"/>
                <w:sz w:val="21"/>
                <w:szCs w:val="21"/>
              </w:rPr>
              <w:t>）</w:t>
            </w:r>
            <w:r>
              <w:rPr>
                <w:rFonts w:cs="宋体"/>
                <w:sz w:val="21"/>
                <w:szCs w:val="21"/>
              </w:rPr>
              <w:t>中表</w:t>
            </w:r>
            <w:r>
              <w:rPr>
                <w:sz w:val="21"/>
                <w:szCs w:val="21"/>
              </w:rPr>
              <w:t>4</w:t>
            </w:r>
            <w:r>
              <w:rPr>
                <w:rFonts w:cs="宋体"/>
                <w:sz w:val="21"/>
                <w:szCs w:val="21"/>
              </w:rPr>
              <w:t>限值要求</w:t>
            </w:r>
          </w:p>
        </w:tc>
        <w:tc>
          <w:tcPr>
            <w:tcW w:w="613" w:type="pct"/>
            <w:tcBorders>
              <w:tl2br w:val="nil"/>
              <w:tr2bl w:val="nil"/>
            </w:tcBorders>
            <w:vAlign w:val="center"/>
          </w:tcPr>
          <w:p w14:paraId="021F71F6">
            <w:pPr>
              <w:ind w:firstLine="0" w:firstLineChars="0"/>
              <w:jc w:val="center"/>
              <w:rPr>
                <w:sz w:val="21"/>
              </w:rPr>
            </w:pPr>
          </w:p>
        </w:tc>
      </w:tr>
      <w:tr w14:paraId="2A6A3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restart"/>
            <w:tcBorders>
              <w:tl2br w:val="nil"/>
              <w:tr2bl w:val="nil"/>
            </w:tcBorders>
            <w:vAlign w:val="center"/>
          </w:tcPr>
          <w:p w14:paraId="05CE0E9D">
            <w:pPr>
              <w:ind w:firstLine="0" w:firstLineChars="0"/>
              <w:jc w:val="center"/>
              <w:rPr>
                <w:rFonts w:cs="宋体"/>
                <w:sz w:val="21"/>
                <w:szCs w:val="21"/>
              </w:rPr>
            </w:pPr>
            <w:r>
              <w:rPr>
                <w:rFonts w:cs="宋体"/>
                <w:sz w:val="21"/>
                <w:szCs w:val="21"/>
              </w:rPr>
              <w:t>影响</w:t>
            </w:r>
          </w:p>
          <w:p w14:paraId="4D13609C">
            <w:pPr>
              <w:ind w:firstLine="0" w:firstLineChars="0"/>
              <w:jc w:val="center"/>
              <w:rPr>
                <w:rFonts w:cs="宋体"/>
                <w:sz w:val="21"/>
                <w:szCs w:val="21"/>
              </w:rPr>
            </w:pPr>
            <w:r>
              <w:rPr>
                <w:rFonts w:cs="宋体"/>
                <w:sz w:val="21"/>
                <w:szCs w:val="21"/>
              </w:rPr>
              <w:t>预测</w:t>
            </w:r>
          </w:p>
        </w:tc>
        <w:tc>
          <w:tcPr>
            <w:tcW w:w="892" w:type="pct"/>
            <w:tcBorders>
              <w:tl2br w:val="nil"/>
              <w:tr2bl w:val="nil"/>
            </w:tcBorders>
            <w:vAlign w:val="center"/>
          </w:tcPr>
          <w:p w14:paraId="7B6E2B78">
            <w:pPr>
              <w:ind w:firstLine="0" w:firstLineChars="0"/>
              <w:jc w:val="center"/>
              <w:rPr>
                <w:rFonts w:cs="宋体"/>
                <w:sz w:val="21"/>
                <w:szCs w:val="21"/>
              </w:rPr>
            </w:pPr>
            <w:r>
              <w:rPr>
                <w:rFonts w:cs="宋体"/>
                <w:sz w:val="21"/>
                <w:szCs w:val="21"/>
              </w:rPr>
              <w:t>预测因子</w:t>
            </w:r>
          </w:p>
        </w:tc>
        <w:tc>
          <w:tcPr>
            <w:tcW w:w="3196" w:type="pct"/>
            <w:gridSpan w:val="5"/>
            <w:tcBorders>
              <w:tl2br w:val="nil"/>
              <w:tr2bl w:val="nil"/>
            </w:tcBorders>
            <w:vAlign w:val="center"/>
          </w:tcPr>
          <w:p w14:paraId="4C869BFF">
            <w:pPr>
              <w:ind w:firstLine="0" w:firstLineChars="0"/>
              <w:jc w:val="center"/>
              <w:rPr>
                <w:sz w:val="21"/>
              </w:rPr>
            </w:pPr>
          </w:p>
        </w:tc>
        <w:tc>
          <w:tcPr>
            <w:tcW w:w="613" w:type="pct"/>
            <w:tcBorders>
              <w:tl2br w:val="nil"/>
              <w:tr2bl w:val="nil"/>
            </w:tcBorders>
            <w:vAlign w:val="center"/>
          </w:tcPr>
          <w:p w14:paraId="631B53C9">
            <w:pPr>
              <w:ind w:firstLine="0" w:firstLineChars="0"/>
              <w:jc w:val="center"/>
              <w:rPr>
                <w:sz w:val="21"/>
              </w:rPr>
            </w:pPr>
          </w:p>
        </w:tc>
      </w:tr>
      <w:tr w14:paraId="68CF6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46ED0EB8">
            <w:pPr>
              <w:ind w:firstLine="0" w:firstLineChars="0"/>
              <w:jc w:val="center"/>
              <w:rPr>
                <w:sz w:val="21"/>
              </w:rPr>
            </w:pPr>
          </w:p>
        </w:tc>
        <w:tc>
          <w:tcPr>
            <w:tcW w:w="892" w:type="pct"/>
            <w:tcBorders>
              <w:tl2br w:val="nil"/>
              <w:tr2bl w:val="nil"/>
            </w:tcBorders>
            <w:vAlign w:val="center"/>
          </w:tcPr>
          <w:p w14:paraId="0F5A895B">
            <w:pPr>
              <w:ind w:firstLine="0" w:firstLineChars="0"/>
              <w:jc w:val="center"/>
              <w:rPr>
                <w:rFonts w:cs="宋体"/>
                <w:sz w:val="21"/>
                <w:szCs w:val="21"/>
              </w:rPr>
            </w:pPr>
            <w:r>
              <w:rPr>
                <w:rFonts w:cs="宋体"/>
                <w:sz w:val="21"/>
                <w:szCs w:val="21"/>
              </w:rPr>
              <w:t>预测方法</w:t>
            </w:r>
          </w:p>
        </w:tc>
        <w:tc>
          <w:tcPr>
            <w:tcW w:w="3196" w:type="pct"/>
            <w:gridSpan w:val="5"/>
            <w:tcBorders>
              <w:tl2br w:val="nil"/>
              <w:tr2bl w:val="nil"/>
            </w:tcBorders>
            <w:vAlign w:val="center"/>
          </w:tcPr>
          <w:p w14:paraId="1F5419BD">
            <w:pPr>
              <w:ind w:firstLine="0" w:firstLineChars="0"/>
              <w:jc w:val="center"/>
              <w:rPr>
                <w:rFonts w:cs="Segoe UI Symbol"/>
                <w:sz w:val="21"/>
                <w:szCs w:val="21"/>
              </w:rPr>
            </w:pPr>
            <w:r>
              <w:rPr>
                <w:rFonts w:cs="宋体"/>
                <w:sz w:val="21"/>
                <w:szCs w:val="21"/>
              </w:rPr>
              <w:t>附录</w:t>
            </w:r>
            <w:r>
              <w:rPr>
                <w:sz w:val="21"/>
                <w:szCs w:val="21"/>
              </w:rPr>
              <w:t>E□</w:t>
            </w:r>
            <w:r>
              <w:rPr>
                <w:rFonts w:cs="宋体"/>
                <w:sz w:val="21"/>
                <w:szCs w:val="21"/>
              </w:rPr>
              <w:t>；附录</w:t>
            </w:r>
            <w:r>
              <w:rPr>
                <w:sz w:val="21"/>
                <w:szCs w:val="21"/>
              </w:rPr>
              <w:t>F□</w:t>
            </w:r>
            <w:r>
              <w:rPr>
                <w:rFonts w:cs="宋体"/>
                <w:sz w:val="21"/>
                <w:szCs w:val="21"/>
              </w:rPr>
              <w:t>；其他</w:t>
            </w:r>
            <w:r>
              <w:rPr>
                <w:rFonts w:hint="eastAsia" w:cs="宋体"/>
                <w:sz w:val="21"/>
                <w:szCs w:val="21"/>
              </w:rPr>
              <w:t>（</w:t>
            </w:r>
            <w:r>
              <w:rPr>
                <w:rFonts w:cs="宋体"/>
                <w:sz w:val="21"/>
                <w:szCs w:val="21"/>
              </w:rPr>
              <w:t>类比法</w:t>
            </w:r>
            <w:r>
              <w:rPr>
                <w:rFonts w:hint="eastAsia" w:cs="宋体"/>
                <w:sz w:val="21"/>
                <w:szCs w:val="21"/>
              </w:rPr>
              <w:t>）</w:t>
            </w:r>
            <w:r>
              <w:rPr>
                <w:rFonts w:cs="Segoe UI Symbol"/>
                <w:sz w:val="21"/>
                <w:szCs w:val="21"/>
              </w:rPr>
              <w:t>☑</w:t>
            </w:r>
          </w:p>
        </w:tc>
        <w:tc>
          <w:tcPr>
            <w:tcW w:w="613" w:type="pct"/>
            <w:tcBorders>
              <w:tl2br w:val="nil"/>
              <w:tr2bl w:val="nil"/>
            </w:tcBorders>
            <w:vAlign w:val="center"/>
          </w:tcPr>
          <w:p w14:paraId="786C2B8B">
            <w:pPr>
              <w:ind w:firstLine="0" w:firstLineChars="0"/>
              <w:jc w:val="center"/>
              <w:rPr>
                <w:sz w:val="21"/>
              </w:rPr>
            </w:pPr>
          </w:p>
        </w:tc>
      </w:tr>
      <w:tr w14:paraId="13013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97" w:type="pct"/>
            <w:vMerge w:val="continue"/>
            <w:tcBorders>
              <w:tl2br w:val="nil"/>
              <w:tr2bl w:val="nil"/>
            </w:tcBorders>
            <w:textDirection w:val="tbRlV"/>
            <w:vAlign w:val="center"/>
          </w:tcPr>
          <w:p w14:paraId="7718487B">
            <w:pPr>
              <w:ind w:firstLine="0" w:firstLineChars="0"/>
              <w:jc w:val="center"/>
              <w:rPr>
                <w:sz w:val="21"/>
              </w:rPr>
            </w:pPr>
          </w:p>
        </w:tc>
        <w:tc>
          <w:tcPr>
            <w:tcW w:w="892" w:type="pct"/>
            <w:tcBorders>
              <w:tl2br w:val="nil"/>
              <w:tr2bl w:val="nil"/>
            </w:tcBorders>
            <w:vAlign w:val="center"/>
          </w:tcPr>
          <w:p w14:paraId="79A1978F">
            <w:pPr>
              <w:ind w:firstLine="0" w:firstLineChars="0"/>
              <w:jc w:val="center"/>
              <w:rPr>
                <w:rFonts w:cs="宋体"/>
                <w:sz w:val="21"/>
                <w:szCs w:val="21"/>
              </w:rPr>
            </w:pPr>
            <w:r>
              <w:rPr>
                <w:rFonts w:cs="宋体"/>
                <w:sz w:val="21"/>
                <w:szCs w:val="21"/>
              </w:rPr>
              <w:t>预测分析内容</w:t>
            </w:r>
          </w:p>
        </w:tc>
        <w:tc>
          <w:tcPr>
            <w:tcW w:w="3196" w:type="pct"/>
            <w:gridSpan w:val="5"/>
            <w:tcBorders>
              <w:tl2br w:val="nil"/>
              <w:tr2bl w:val="nil"/>
            </w:tcBorders>
            <w:vAlign w:val="center"/>
          </w:tcPr>
          <w:p w14:paraId="474032F9">
            <w:pPr>
              <w:ind w:firstLine="0" w:firstLineChars="0"/>
              <w:jc w:val="center"/>
              <w:rPr>
                <w:rFonts w:cs="宋体"/>
                <w:sz w:val="21"/>
                <w:szCs w:val="21"/>
              </w:rPr>
            </w:pPr>
            <w:r>
              <w:rPr>
                <w:rFonts w:cs="宋体"/>
                <w:sz w:val="21"/>
                <w:szCs w:val="21"/>
              </w:rPr>
              <w:t>影响范围</w:t>
            </w:r>
            <w:r>
              <w:rPr>
                <w:rFonts w:hint="eastAsia" w:cs="宋体"/>
                <w:sz w:val="21"/>
                <w:szCs w:val="21"/>
              </w:rPr>
              <w:t>（</w:t>
            </w:r>
            <w:r>
              <w:rPr>
                <w:rFonts w:cs="宋体"/>
                <w:sz w:val="21"/>
                <w:szCs w:val="21"/>
              </w:rPr>
              <w:t>厂界外</w:t>
            </w:r>
            <w:r>
              <w:rPr>
                <w:sz w:val="21"/>
                <w:szCs w:val="21"/>
              </w:rPr>
              <w:t>50m</w:t>
            </w:r>
            <w:r>
              <w:rPr>
                <w:rFonts w:hint="eastAsia" w:cs="宋体"/>
                <w:sz w:val="21"/>
                <w:szCs w:val="21"/>
              </w:rPr>
              <w:t>）</w:t>
            </w:r>
            <w:r>
              <w:rPr>
                <w:rFonts w:cs="宋体"/>
                <w:sz w:val="21"/>
                <w:szCs w:val="21"/>
              </w:rPr>
              <w:t>；影响程度</w:t>
            </w:r>
            <w:r>
              <w:rPr>
                <w:rFonts w:hint="eastAsia" w:cs="宋体"/>
                <w:sz w:val="21"/>
                <w:szCs w:val="21"/>
              </w:rPr>
              <w:t>（</w:t>
            </w:r>
            <w:r>
              <w:rPr>
                <w:rFonts w:cs="宋体"/>
                <w:sz w:val="21"/>
                <w:szCs w:val="21"/>
              </w:rPr>
              <w:t>较小</w:t>
            </w:r>
            <w:r>
              <w:rPr>
                <w:rFonts w:hint="eastAsia" w:cs="宋体"/>
                <w:sz w:val="21"/>
                <w:szCs w:val="21"/>
              </w:rPr>
              <w:t>）</w:t>
            </w:r>
          </w:p>
        </w:tc>
        <w:tc>
          <w:tcPr>
            <w:tcW w:w="613" w:type="pct"/>
            <w:tcBorders>
              <w:tl2br w:val="nil"/>
              <w:tr2bl w:val="nil"/>
            </w:tcBorders>
            <w:vAlign w:val="center"/>
          </w:tcPr>
          <w:p w14:paraId="04F05533">
            <w:pPr>
              <w:ind w:firstLine="0" w:firstLineChars="0"/>
              <w:jc w:val="center"/>
              <w:rPr>
                <w:sz w:val="21"/>
              </w:rPr>
            </w:pPr>
          </w:p>
        </w:tc>
      </w:tr>
      <w:tr w14:paraId="0C3E0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97" w:type="pct"/>
            <w:vMerge w:val="continue"/>
            <w:tcBorders>
              <w:tl2br w:val="nil"/>
              <w:tr2bl w:val="nil"/>
            </w:tcBorders>
            <w:textDirection w:val="tbRlV"/>
            <w:vAlign w:val="center"/>
          </w:tcPr>
          <w:p w14:paraId="30C3CF3C">
            <w:pPr>
              <w:ind w:firstLine="0" w:firstLineChars="0"/>
              <w:jc w:val="center"/>
              <w:rPr>
                <w:rFonts w:cs="宋体"/>
                <w:sz w:val="21"/>
                <w:szCs w:val="21"/>
              </w:rPr>
            </w:pPr>
          </w:p>
        </w:tc>
        <w:tc>
          <w:tcPr>
            <w:tcW w:w="892" w:type="pct"/>
            <w:tcBorders>
              <w:tl2br w:val="nil"/>
              <w:tr2bl w:val="nil"/>
            </w:tcBorders>
            <w:vAlign w:val="center"/>
          </w:tcPr>
          <w:p w14:paraId="62F20384">
            <w:pPr>
              <w:ind w:firstLine="0" w:firstLineChars="0"/>
              <w:jc w:val="center"/>
              <w:rPr>
                <w:rFonts w:cs="宋体"/>
                <w:sz w:val="21"/>
                <w:szCs w:val="21"/>
              </w:rPr>
            </w:pPr>
            <w:r>
              <w:rPr>
                <w:rFonts w:cs="宋体"/>
                <w:sz w:val="21"/>
                <w:szCs w:val="21"/>
              </w:rPr>
              <w:t>预测结论</w:t>
            </w:r>
          </w:p>
        </w:tc>
        <w:tc>
          <w:tcPr>
            <w:tcW w:w="3196" w:type="pct"/>
            <w:gridSpan w:val="5"/>
            <w:tcBorders>
              <w:tl2br w:val="nil"/>
              <w:tr2bl w:val="nil"/>
            </w:tcBorders>
            <w:vAlign w:val="center"/>
          </w:tcPr>
          <w:p w14:paraId="797DCD2B">
            <w:pPr>
              <w:ind w:firstLine="0" w:firstLineChars="0"/>
              <w:jc w:val="center"/>
              <w:rPr>
                <w:sz w:val="21"/>
                <w:szCs w:val="21"/>
              </w:rPr>
            </w:pPr>
            <w:r>
              <w:rPr>
                <w:rFonts w:cs="宋体"/>
                <w:sz w:val="21"/>
                <w:szCs w:val="21"/>
              </w:rPr>
              <w:t>达标结论：</w:t>
            </w:r>
            <w:r>
              <w:rPr>
                <w:sz w:val="21"/>
                <w:szCs w:val="21"/>
              </w:rPr>
              <w:t>a</w:t>
            </w:r>
            <w:r>
              <w:rPr>
                <w:rFonts w:hint="eastAsia" w:cs="宋体"/>
                <w:sz w:val="21"/>
                <w:szCs w:val="21"/>
              </w:rPr>
              <w:t>）</w:t>
            </w:r>
            <w:r>
              <w:rPr>
                <w:rFonts w:cs="Segoe UI Symbol"/>
                <w:sz w:val="21"/>
                <w:szCs w:val="21"/>
              </w:rPr>
              <w:t>☑</w:t>
            </w:r>
            <w:r>
              <w:rPr>
                <w:rFonts w:cs="宋体"/>
                <w:sz w:val="21"/>
                <w:szCs w:val="21"/>
              </w:rPr>
              <w:t>；</w:t>
            </w:r>
            <w:r>
              <w:rPr>
                <w:sz w:val="21"/>
                <w:szCs w:val="21"/>
              </w:rPr>
              <w:t>b</w:t>
            </w:r>
            <w:r>
              <w:rPr>
                <w:rFonts w:hint="eastAsia" w:cs="宋体"/>
                <w:sz w:val="21"/>
                <w:szCs w:val="21"/>
              </w:rPr>
              <w:t>）</w:t>
            </w:r>
            <w:r>
              <w:rPr>
                <w:sz w:val="21"/>
                <w:szCs w:val="21"/>
              </w:rPr>
              <w:t>□</w:t>
            </w:r>
            <w:r>
              <w:rPr>
                <w:rFonts w:cs="宋体"/>
                <w:sz w:val="21"/>
                <w:szCs w:val="21"/>
              </w:rPr>
              <w:t>；</w:t>
            </w:r>
            <w:r>
              <w:rPr>
                <w:sz w:val="21"/>
                <w:szCs w:val="21"/>
              </w:rPr>
              <w:t>c</w:t>
            </w:r>
            <w:r>
              <w:rPr>
                <w:rFonts w:hint="eastAsia" w:cs="宋体"/>
                <w:sz w:val="21"/>
                <w:szCs w:val="21"/>
              </w:rPr>
              <w:t>）</w:t>
            </w:r>
            <w:r>
              <w:rPr>
                <w:sz w:val="21"/>
                <w:szCs w:val="21"/>
              </w:rPr>
              <w:t>□</w:t>
            </w:r>
            <w:r>
              <w:rPr>
                <w:rFonts w:cs="宋体"/>
                <w:sz w:val="21"/>
                <w:szCs w:val="21"/>
              </w:rPr>
              <w:t>不达标结论：</w:t>
            </w:r>
            <w:r>
              <w:rPr>
                <w:sz w:val="21"/>
                <w:szCs w:val="21"/>
              </w:rPr>
              <w:t>a</w:t>
            </w:r>
            <w:r>
              <w:rPr>
                <w:rFonts w:hint="eastAsia" w:cs="宋体"/>
                <w:sz w:val="21"/>
                <w:szCs w:val="21"/>
              </w:rPr>
              <w:t>）</w:t>
            </w:r>
            <w:r>
              <w:rPr>
                <w:sz w:val="21"/>
                <w:szCs w:val="21"/>
              </w:rPr>
              <w:t>□</w:t>
            </w:r>
            <w:r>
              <w:rPr>
                <w:rFonts w:cs="宋体"/>
                <w:sz w:val="21"/>
                <w:szCs w:val="21"/>
              </w:rPr>
              <w:t>；</w:t>
            </w:r>
            <w:r>
              <w:rPr>
                <w:sz w:val="21"/>
                <w:szCs w:val="21"/>
              </w:rPr>
              <w:t>b</w:t>
            </w:r>
            <w:r>
              <w:rPr>
                <w:rFonts w:hint="eastAsia" w:cs="宋体"/>
                <w:sz w:val="21"/>
                <w:szCs w:val="21"/>
              </w:rPr>
              <w:t>）</w:t>
            </w:r>
            <w:r>
              <w:rPr>
                <w:sz w:val="21"/>
                <w:szCs w:val="21"/>
              </w:rPr>
              <w:t>□</w:t>
            </w:r>
          </w:p>
        </w:tc>
        <w:tc>
          <w:tcPr>
            <w:tcW w:w="613" w:type="pct"/>
            <w:tcBorders>
              <w:tl2br w:val="nil"/>
              <w:tr2bl w:val="nil"/>
            </w:tcBorders>
            <w:vAlign w:val="center"/>
          </w:tcPr>
          <w:p w14:paraId="6A34F23D">
            <w:pPr>
              <w:ind w:firstLine="0" w:firstLineChars="0"/>
              <w:jc w:val="center"/>
              <w:rPr>
                <w:sz w:val="21"/>
              </w:rPr>
            </w:pPr>
          </w:p>
        </w:tc>
      </w:tr>
      <w:tr w14:paraId="573B3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restart"/>
            <w:tcBorders>
              <w:tl2br w:val="nil"/>
              <w:tr2bl w:val="nil"/>
            </w:tcBorders>
            <w:textDirection w:val="tbRlV"/>
            <w:vAlign w:val="center"/>
          </w:tcPr>
          <w:p w14:paraId="426C6675">
            <w:pPr>
              <w:ind w:firstLine="0" w:firstLineChars="0"/>
              <w:jc w:val="center"/>
              <w:rPr>
                <w:rFonts w:cs="宋体"/>
                <w:sz w:val="21"/>
                <w:szCs w:val="21"/>
              </w:rPr>
            </w:pPr>
            <w:r>
              <w:rPr>
                <w:rFonts w:cs="宋体"/>
                <w:sz w:val="21"/>
                <w:szCs w:val="21"/>
              </w:rPr>
              <w:t>防治措施</w:t>
            </w:r>
          </w:p>
        </w:tc>
        <w:tc>
          <w:tcPr>
            <w:tcW w:w="892" w:type="pct"/>
            <w:tcBorders>
              <w:tl2br w:val="nil"/>
              <w:tr2bl w:val="nil"/>
            </w:tcBorders>
            <w:vAlign w:val="center"/>
          </w:tcPr>
          <w:p w14:paraId="53A38193">
            <w:pPr>
              <w:ind w:firstLine="0" w:firstLineChars="0"/>
              <w:jc w:val="center"/>
              <w:rPr>
                <w:rFonts w:cs="宋体"/>
                <w:sz w:val="21"/>
                <w:szCs w:val="21"/>
              </w:rPr>
            </w:pPr>
            <w:r>
              <w:rPr>
                <w:rFonts w:cs="宋体"/>
                <w:sz w:val="21"/>
                <w:szCs w:val="21"/>
              </w:rPr>
              <w:t>防控措施</w:t>
            </w:r>
          </w:p>
        </w:tc>
        <w:tc>
          <w:tcPr>
            <w:tcW w:w="3196" w:type="pct"/>
            <w:gridSpan w:val="5"/>
            <w:tcBorders>
              <w:tl2br w:val="nil"/>
              <w:tr2bl w:val="nil"/>
            </w:tcBorders>
            <w:vAlign w:val="center"/>
          </w:tcPr>
          <w:p w14:paraId="42AED3E5">
            <w:pPr>
              <w:ind w:firstLine="0" w:firstLineChars="0"/>
              <w:jc w:val="center"/>
              <w:rPr>
                <w:rFonts w:cs="宋体"/>
                <w:sz w:val="21"/>
                <w:szCs w:val="21"/>
              </w:rPr>
            </w:pPr>
            <w:r>
              <w:rPr>
                <w:rFonts w:cs="宋体"/>
                <w:sz w:val="21"/>
                <w:szCs w:val="21"/>
              </w:rPr>
              <w:t>土壤环境质量现状保障</w:t>
            </w:r>
            <w:r>
              <w:rPr>
                <w:sz w:val="21"/>
                <w:szCs w:val="21"/>
              </w:rPr>
              <w:t>□</w:t>
            </w:r>
            <w:r>
              <w:rPr>
                <w:rFonts w:cs="宋体"/>
                <w:sz w:val="21"/>
                <w:szCs w:val="21"/>
              </w:rPr>
              <w:t>；源头控制</w:t>
            </w:r>
            <w:r>
              <w:rPr>
                <w:rFonts w:cs="Segoe UI Symbol"/>
                <w:sz w:val="21"/>
                <w:szCs w:val="21"/>
              </w:rPr>
              <w:t>☑</w:t>
            </w:r>
            <w:r>
              <w:rPr>
                <w:rFonts w:cs="宋体"/>
                <w:sz w:val="21"/>
                <w:szCs w:val="21"/>
              </w:rPr>
              <w:t>；过程防控</w:t>
            </w:r>
            <w:r>
              <w:rPr>
                <w:sz w:val="21"/>
                <w:szCs w:val="21"/>
              </w:rPr>
              <w:t>□</w:t>
            </w:r>
            <w:r>
              <w:rPr>
                <w:rFonts w:cs="宋体"/>
                <w:sz w:val="21"/>
                <w:szCs w:val="21"/>
              </w:rPr>
              <w:t>；其他</w:t>
            </w:r>
            <w:r>
              <w:rPr>
                <w:rFonts w:hint="eastAsia" w:cs="宋体"/>
                <w:sz w:val="21"/>
                <w:szCs w:val="21"/>
              </w:rPr>
              <w:t>（））</w:t>
            </w:r>
          </w:p>
        </w:tc>
        <w:tc>
          <w:tcPr>
            <w:tcW w:w="613" w:type="pct"/>
            <w:tcBorders>
              <w:tl2br w:val="nil"/>
              <w:tr2bl w:val="nil"/>
            </w:tcBorders>
            <w:vAlign w:val="center"/>
          </w:tcPr>
          <w:p w14:paraId="4803DCD2">
            <w:pPr>
              <w:ind w:firstLine="0" w:firstLineChars="0"/>
              <w:jc w:val="center"/>
              <w:rPr>
                <w:sz w:val="21"/>
              </w:rPr>
            </w:pPr>
          </w:p>
        </w:tc>
      </w:tr>
      <w:tr w14:paraId="22B1D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1677ED6A">
            <w:pPr>
              <w:ind w:firstLine="0" w:firstLineChars="0"/>
              <w:jc w:val="center"/>
              <w:rPr>
                <w:sz w:val="21"/>
              </w:rPr>
            </w:pPr>
          </w:p>
        </w:tc>
        <w:tc>
          <w:tcPr>
            <w:tcW w:w="892" w:type="pct"/>
            <w:vMerge w:val="restart"/>
            <w:tcBorders>
              <w:tl2br w:val="nil"/>
              <w:tr2bl w:val="nil"/>
            </w:tcBorders>
            <w:vAlign w:val="center"/>
          </w:tcPr>
          <w:p w14:paraId="11DBB2F5">
            <w:pPr>
              <w:ind w:firstLine="0" w:firstLineChars="0"/>
              <w:jc w:val="center"/>
              <w:rPr>
                <w:rFonts w:cs="宋体"/>
                <w:sz w:val="21"/>
                <w:szCs w:val="21"/>
              </w:rPr>
            </w:pPr>
            <w:r>
              <w:rPr>
                <w:rFonts w:cs="宋体"/>
                <w:sz w:val="21"/>
                <w:szCs w:val="21"/>
              </w:rPr>
              <w:t>跟踪监测</w:t>
            </w:r>
          </w:p>
        </w:tc>
        <w:tc>
          <w:tcPr>
            <w:tcW w:w="751" w:type="pct"/>
            <w:tcBorders>
              <w:tl2br w:val="nil"/>
              <w:tr2bl w:val="nil"/>
            </w:tcBorders>
            <w:vAlign w:val="center"/>
          </w:tcPr>
          <w:p w14:paraId="346D245E">
            <w:pPr>
              <w:ind w:firstLine="0" w:firstLineChars="0"/>
              <w:jc w:val="center"/>
              <w:rPr>
                <w:rFonts w:cs="宋体"/>
                <w:sz w:val="21"/>
                <w:szCs w:val="21"/>
              </w:rPr>
            </w:pPr>
            <w:r>
              <w:rPr>
                <w:rFonts w:cs="宋体"/>
                <w:sz w:val="21"/>
                <w:szCs w:val="21"/>
              </w:rPr>
              <w:t>监测点数</w:t>
            </w:r>
          </w:p>
        </w:tc>
        <w:tc>
          <w:tcPr>
            <w:tcW w:w="1387" w:type="pct"/>
            <w:gridSpan w:val="2"/>
            <w:tcBorders>
              <w:tl2br w:val="nil"/>
              <w:tr2bl w:val="nil"/>
            </w:tcBorders>
            <w:vAlign w:val="center"/>
          </w:tcPr>
          <w:p w14:paraId="5A18E8F0">
            <w:pPr>
              <w:ind w:firstLine="0" w:firstLineChars="0"/>
              <w:jc w:val="center"/>
              <w:rPr>
                <w:rFonts w:cs="宋体"/>
                <w:sz w:val="21"/>
                <w:szCs w:val="21"/>
              </w:rPr>
            </w:pPr>
            <w:r>
              <w:rPr>
                <w:rFonts w:cs="宋体"/>
                <w:sz w:val="21"/>
                <w:szCs w:val="21"/>
              </w:rPr>
              <w:t>监测指标</w:t>
            </w:r>
          </w:p>
        </w:tc>
        <w:tc>
          <w:tcPr>
            <w:tcW w:w="1057" w:type="pct"/>
            <w:gridSpan w:val="2"/>
            <w:tcBorders>
              <w:tl2br w:val="nil"/>
              <w:tr2bl w:val="nil"/>
            </w:tcBorders>
            <w:vAlign w:val="center"/>
          </w:tcPr>
          <w:p w14:paraId="08AD2146">
            <w:pPr>
              <w:ind w:firstLine="0" w:firstLineChars="0"/>
              <w:jc w:val="center"/>
              <w:rPr>
                <w:rFonts w:cs="宋体"/>
                <w:sz w:val="21"/>
                <w:szCs w:val="21"/>
              </w:rPr>
            </w:pPr>
            <w:r>
              <w:rPr>
                <w:rFonts w:cs="宋体"/>
                <w:sz w:val="21"/>
                <w:szCs w:val="21"/>
              </w:rPr>
              <w:t>监测频次</w:t>
            </w:r>
          </w:p>
        </w:tc>
        <w:tc>
          <w:tcPr>
            <w:tcW w:w="613" w:type="pct"/>
            <w:vMerge w:val="restart"/>
            <w:tcBorders>
              <w:tl2br w:val="nil"/>
              <w:tr2bl w:val="nil"/>
            </w:tcBorders>
            <w:vAlign w:val="center"/>
          </w:tcPr>
          <w:p w14:paraId="74E224FC">
            <w:pPr>
              <w:ind w:firstLine="0" w:firstLineChars="0"/>
              <w:jc w:val="center"/>
              <w:rPr>
                <w:sz w:val="21"/>
              </w:rPr>
            </w:pPr>
          </w:p>
        </w:tc>
      </w:tr>
      <w:tr w14:paraId="3162B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14:paraId="1CABA71E">
            <w:pPr>
              <w:ind w:firstLine="0" w:firstLineChars="0"/>
              <w:jc w:val="center"/>
              <w:rPr>
                <w:sz w:val="21"/>
              </w:rPr>
            </w:pPr>
          </w:p>
        </w:tc>
        <w:tc>
          <w:tcPr>
            <w:tcW w:w="892" w:type="pct"/>
            <w:vMerge w:val="continue"/>
            <w:tcBorders>
              <w:tl2br w:val="nil"/>
              <w:tr2bl w:val="nil"/>
            </w:tcBorders>
            <w:vAlign w:val="center"/>
          </w:tcPr>
          <w:p w14:paraId="0036F8E1">
            <w:pPr>
              <w:ind w:firstLine="0" w:firstLineChars="0"/>
              <w:jc w:val="center"/>
              <w:rPr>
                <w:sz w:val="21"/>
              </w:rPr>
            </w:pPr>
          </w:p>
        </w:tc>
        <w:tc>
          <w:tcPr>
            <w:tcW w:w="751" w:type="pct"/>
            <w:tcBorders>
              <w:tl2br w:val="nil"/>
              <w:tr2bl w:val="nil"/>
            </w:tcBorders>
            <w:vAlign w:val="center"/>
          </w:tcPr>
          <w:p w14:paraId="57F66E15">
            <w:pPr>
              <w:ind w:firstLine="0" w:firstLineChars="0"/>
              <w:jc w:val="center"/>
              <w:rPr>
                <w:sz w:val="21"/>
                <w:szCs w:val="21"/>
              </w:rPr>
            </w:pPr>
            <w:r>
              <w:rPr>
                <w:sz w:val="21"/>
                <w:szCs w:val="21"/>
              </w:rPr>
              <w:t>/</w:t>
            </w:r>
          </w:p>
        </w:tc>
        <w:tc>
          <w:tcPr>
            <w:tcW w:w="1387" w:type="pct"/>
            <w:gridSpan w:val="2"/>
            <w:tcBorders>
              <w:tl2br w:val="nil"/>
              <w:tr2bl w:val="nil"/>
            </w:tcBorders>
            <w:vAlign w:val="center"/>
          </w:tcPr>
          <w:p w14:paraId="23EA0B20">
            <w:pPr>
              <w:ind w:firstLine="0" w:firstLineChars="0"/>
              <w:jc w:val="center"/>
              <w:rPr>
                <w:sz w:val="21"/>
                <w:szCs w:val="21"/>
              </w:rPr>
            </w:pPr>
            <w:r>
              <w:rPr>
                <w:sz w:val="21"/>
                <w:szCs w:val="21"/>
              </w:rPr>
              <w:t>/</w:t>
            </w:r>
          </w:p>
        </w:tc>
        <w:tc>
          <w:tcPr>
            <w:tcW w:w="1057" w:type="pct"/>
            <w:gridSpan w:val="2"/>
            <w:tcBorders>
              <w:tl2br w:val="nil"/>
              <w:tr2bl w:val="nil"/>
            </w:tcBorders>
            <w:vAlign w:val="center"/>
          </w:tcPr>
          <w:p w14:paraId="64B99746">
            <w:pPr>
              <w:ind w:firstLine="0" w:firstLineChars="0"/>
              <w:jc w:val="center"/>
              <w:rPr>
                <w:sz w:val="21"/>
                <w:szCs w:val="21"/>
              </w:rPr>
            </w:pPr>
            <w:r>
              <w:rPr>
                <w:sz w:val="21"/>
                <w:szCs w:val="21"/>
              </w:rPr>
              <w:t>/</w:t>
            </w:r>
          </w:p>
        </w:tc>
        <w:tc>
          <w:tcPr>
            <w:tcW w:w="613" w:type="pct"/>
            <w:vMerge w:val="continue"/>
            <w:tcBorders>
              <w:tl2br w:val="nil"/>
              <w:tr2bl w:val="nil"/>
            </w:tcBorders>
            <w:vAlign w:val="center"/>
          </w:tcPr>
          <w:p w14:paraId="3EED51AA">
            <w:pPr>
              <w:ind w:firstLine="0" w:firstLineChars="0"/>
              <w:jc w:val="center"/>
              <w:rPr>
                <w:sz w:val="21"/>
              </w:rPr>
            </w:pPr>
          </w:p>
        </w:tc>
      </w:tr>
      <w:tr w14:paraId="16AA4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33E8463D">
            <w:pPr>
              <w:ind w:firstLine="0" w:firstLineChars="0"/>
              <w:jc w:val="center"/>
              <w:rPr>
                <w:sz w:val="21"/>
              </w:rPr>
            </w:pPr>
          </w:p>
        </w:tc>
        <w:tc>
          <w:tcPr>
            <w:tcW w:w="892" w:type="pct"/>
            <w:tcBorders>
              <w:tl2br w:val="nil"/>
              <w:tr2bl w:val="nil"/>
            </w:tcBorders>
            <w:vAlign w:val="center"/>
          </w:tcPr>
          <w:p w14:paraId="70DB63E7">
            <w:pPr>
              <w:ind w:firstLine="0" w:firstLineChars="0"/>
              <w:jc w:val="center"/>
              <w:rPr>
                <w:rFonts w:cs="宋体"/>
                <w:sz w:val="21"/>
                <w:szCs w:val="21"/>
              </w:rPr>
            </w:pPr>
            <w:r>
              <w:rPr>
                <w:rFonts w:cs="宋体"/>
                <w:sz w:val="21"/>
                <w:szCs w:val="21"/>
              </w:rPr>
              <w:t>信息公开指标</w:t>
            </w:r>
          </w:p>
        </w:tc>
        <w:tc>
          <w:tcPr>
            <w:tcW w:w="3196" w:type="pct"/>
            <w:gridSpan w:val="5"/>
            <w:tcBorders>
              <w:tl2br w:val="nil"/>
              <w:tr2bl w:val="nil"/>
            </w:tcBorders>
            <w:vAlign w:val="center"/>
          </w:tcPr>
          <w:p w14:paraId="2B949BA4">
            <w:pPr>
              <w:ind w:firstLine="0" w:firstLineChars="0"/>
              <w:jc w:val="center"/>
              <w:rPr>
                <w:sz w:val="21"/>
                <w:szCs w:val="21"/>
              </w:rPr>
            </w:pPr>
            <w:r>
              <w:rPr>
                <w:sz w:val="21"/>
                <w:szCs w:val="21"/>
              </w:rPr>
              <w:t>/</w:t>
            </w:r>
          </w:p>
        </w:tc>
        <w:tc>
          <w:tcPr>
            <w:tcW w:w="613" w:type="pct"/>
            <w:vMerge w:val="continue"/>
            <w:tcBorders>
              <w:tl2br w:val="nil"/>
              <w:tr2bl w:val="nil"/>
            </w:tcBorders>
            <w:vAlign w:val="center"/>
          </w:tcPr>
          <w:p w14:paraId="7F23ACD4">
            <w:pPr>
              <w:ind w:firstLine="0" w:firstLineChars="0"/>
              <w:jc w:val="center"/>
              <w:rPr>
                <w:sz w:val="21"/>
              </w:rPr>
            </w:pPr>
          </w:p>
        </w:tc>
      </w:tr>
      <w:tr w14:paraId="3F0C3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90" w:type="pct"/>
            <w:gridSpan w:val="2"/>
            <w:tcBorders>
              <w:tl2br w:val="nil"/>
              <w:tr2bl w:val="nil"/>
            </w:tcBorders>
            <w:vAlign w:val="center"/>
          </w:tcPr>
          <w:p w14:paraId="1C9D72C8">
            <w:pPr>
              <w:ind w:firstLine="0" w:firstLineChars="0"/>
              <w:jc w:val="center"/>
              <w:rPr>
                <w:rFonts w:cs="宋体"/>
                <w:sz w:val="21"/>
                <w:szCs w:val="21"/>
              </w:rPr>
            </w:pPr>
            <w:r>
              <w:rPr>
                <w:rFonts w:cs="宋体"/>
                <w:sz w:val="21"/>
                <w:szCs w:val="21"/>
              </w:rPr>
              <w:t>评价结论</w:t>
            </w:r>
          </w:p>
        </w:tc>
        <w:tc>
          <w:tcPr>
            <w:tcW w:w="3196" w:type="pct"/>
            <w:gridSpan w:val="5"/>
            <w:tcBorders>
              <w:tl2br w:val="nil"/>
              <w:tr2bl w:val="nil"/>
            </w:tcBorders>
            <w:vAlign w:val="center"/>
          </w:tcPr>
          <w:p w14:paraId="5F491741">
            <w:pPr>
              <w:ind w:firstLine="0" w:firstLineChars="0"/>
              <w:jc w:val="center"/>
              <w:rPr>
                <w:rFonts w:cs="宋体"/>
                <w:sz w:val="21"/>
                <w:szCs w:val="21"/>
              </w:rPr>
            </w:pPr>
            <w:r>
              <w:rPr>
                <w:rFonts w:cs="宋体"/>
                <w:sz w:val="21"/>
                <w:szCs w:val="21"/>
              </w:rPr>
              <w:t>项目建设对土壤环境影响可接受</w:t>
            </w:r>
          </w:p>
        </w:tc>
        <w:tc>
          <w:tcPr>
            <w:tcW w:w="613" w:type="pct"/>
            <w:tcBorders>
              <w:tl2br w:val="nil"/>
              <w:tr2bl w:val="nil"/>
            </w:tcBorders>
            <w:vAlign w:val="center"/>
          </w:tcPr>
          <w:p w14:paraId="120E0616">
            <w:pPr>
              <w:ind w:firstLine="0" w:firstLineChars="0"/>
              <w:jc w:val="center"/>
              <w:rPr>
                <w:sz w:val="21"/>
              </w:rPr>
            </w:pPr>
          </w:p>
        </w:tc>
      </w:tr>
      <w:tr w14:paraId="3B93A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5000" w:type="pct"/>
            <w:gridSpan w:val="8"/>
            <w:tcBorders>
              <w:tl2br w:val="nil"/>
              <w:tr2bl w:val="nil"/>
            </w:tcBorders>
            <w:vAlign w:val="center"/>
          </w:tcPr>
          <w:p w14:paraId="5363ED4E">
            <w:pPr>
              <w:ind w:firstLine="0" w:firstLineChars="0"/>
              <w:jc w:val="center"/>
              <w:rPr>
                <w:rFonts w:cs="宋体"/>
                <w:sz w:val="21"/>
                <w:szCs w:val="21"/>
              </w:rPr>
            </w:pPr>
            <w:r>
              <w:rPr>
                <w:rFonts w:cs="宋体"/>
                <w:sz w:val="21"/>
                <w:szCs w:val="21"/>
              </w:rPr>
              <w:t>注</w:t>
            </w:r>
            <w:r>
              <w:rPr>
                <w:sz w:val="21"/>
                <w:szCs w:val="21"/>
              </w:rPr>
              <w:t>1</w:t>
            </w:r>
            <w:r>
              <w:rPr>
                <w:rFonts w:cs="宋体"/>
                <w:sz w:val="21"/>
                <w:szCs w:val="21"/>
              </w:rPr>
              <w:t>：</w:t>
            </w:r>
            <w:r>
              <w:rPr>
                <w:rFonts w:hint="eastAsia"/>
                <w:sz w:val="21"/>
                <w:szCs w:val="21"/>
              </w:rPr>
              <w:t>”</w:t>
            </w:r>
            <w:r>
              <w:rPr>
                <w:sz w:val="21"/>
                <w:szCs w:val="21"/>
              </w:rPr>
              <w:t>□</w:t>
            </w:r>
            <w:r>
              <w:rPr>
                <w:rFonts w:hint="eastAsia"/>
                <w:sz w:val="21"/>
                <w:szCs w:val="21"/>
              </w:rPr>
              <w:t>”</w:t>
            </w:r>
            <w:r>
              <w:rPr>
                <w:rFonts w:cs="宋体"/>
                <w:sz w:val="21"/>
                <w:szCs w:val="21"/>
              </w:rPr>
              <w:t>为勾选项，可</w:t>
            </w:r>
            <w:r>
              <w:rPr>
                <w:sz w:val="21"/>
                <w:szCs w:val="21"/>
              </w:rPr>
              <w:t>√</w:t>
            </w:r>
            <w:r>
              <w:rPr>
                <w:rFonts w:cs="宋体"/>
                <w:sz w:val="21"/>
                <w:szCs w:val="21"/>
              </w:rPr>
              <w:t>；</w:t>
            </w:r>
            <w:r>
              <w:rPr>
                <w:rFonts w:hint="eastAsia"/>
                <w:sz w:val="21"/>
                <w:szCs w:val="21"/>
              </w:rPr>
              <w:t>”</w:t>
            </w:r>
            <w:r>
              <w:rPr>
                <w:rFonts w:hint="eastAsia" w:cs="宋体"/>
                <w:sz w:val="21"/>
                <w:szCs w:val="21"/>
              </w:rPr>
              <w:t>（）</w:t>
            </w:r>
            <w:r>
              <w:rPr>
                <w:rFonts w:hint="eastAsia"/>
                <w:sz w:val="21"/>
                <w:szCs w:val="21"/>
              </w:rPr>
              <w:t>”</w:t>
            </w:r>
            <w:r>
              <w:rPr>
                <w:rFonts w:cs="宋体"/>
                <w:sz w:val="21"/>
                <w:szCs w:val="21"/>
              </w:rPr>
              <w:t>为内容填写项；</w:t>
            </w:r>
            <w:r>
              <w:rPr>
                <w:rFonts w:hint="eastAsia"/>
                <w:sz w:val="21"/>
                <w:szCs w:val="21"/>
              </w:rPr>
              <w:t>”</w:t>
            </w:r>
            <w:r>
              <w:rPr>
                <w:rFonts w:cs="宋体"/>
                <w:sz w:val="21"/>
                <w:szCs w:val="21"/>
              </w:rPr>
              <w:t>备注</w:t>
            </w:r>
            <w:r>
              <w:rPr>
                <w:rFonts w:hint="eastAsia"/>
                <w:sz w:val="21"/>
                <w:szCs w:val="21"/>
              </w:rPr>
              <w:t>”</w:t>
            </w:r>
            <w:r>
              <w:rPr>
                <w:rFonts w:cs="宋体"/>
                <w:sz w:val="21"/>
                <w:szCs w:val="21"/>
              </w:rPr>
              <w:t>为其他补充内容</w:t>
            </w:r>
            <w:r>
              <w:rPr>
                <w:rFonts w:hint="eastAsia" w:cs="宋体"/>
                <w:sz w:val="21"/>
                <w:szCs w:val="21"/>
              </w:rPr>
              <w:t>。</w:t>
            </w:r>
            <w:r>
              <w:rPr>
                <w:rFonts w:cs="宋体"/>
                <w:sz w:val="21"/>
                <w:szCs w:val="21"/>
              </w:rPr>
              <w:t>注</w:t>
            </w:r>
            <w:r>
              <w:rPr>
                <w:sz w:val="21"/>
                <w:szCs w:val="21"/>
              </w:rPr>
              <w:t>2</w:t>
            </w:r>
            <w:r>
              <w:rPr>
                <w:rFonts w:cs="宋体"/>
                <w:sz w:val="21"/>
                <w:szCs w:val="21"/>
              </w:rPr>
              <w:t>：需要分别开展土壤环境影响评级工作的，分别填写自查表</w:t>
            </w:r>
            <w:r>
              <w:rPr>
                <w:rFonts w:hint="eastAsia" w:cs="宋体"/>
                <w:sz w:val="21"/>
                <w:szCs w:val="21"/>
              </w:rPr>
              <w:t>。</w:t>
            </w:r>
          </w:p>
        </w:tc>
      </w:tr>
    </w:tbl>
    <w:p w14:paraId="2B605614">
      <w:pPr>
        <w:pStyle w:val="5"/>
      </w:pPr>
      <w:bookmarkStart w:id="178" w:name="_Toc106663505"/>
      <w:r>
        <w:rPr>
          <w:rFonts w:hint="eastAsia"/>
        </w:rPr>
        <w:t>5.2.6生态环境影响分析</w:t>
      </w:r>
      <w:bookmarkEnd w:id="178"/>
    </w:p>
    <w:p w14:paraId="29D313E2">
      <w:pPr>
        <w:pStyle w:val="161"/>
        <w:keepNext w:val="0"/>
        <w:spacing w:line="360" w:lineRule="auto"/>
        <w:ind w:firstLine="480" w:firstLineChars="200"/>
        <w:outlineLvl w:val="9"/>
        <w:rPr>
          <w:rFonts w:ascii="Times New Roman" w:hAnsi="Times New Roman" w:eastAsia="宋体"/>
          <w:bCs/>
          <w:szCs w:val="18"/>
        </w:rPr>
      </w:pPr>
      <w:r>
        <w:rPr>
          <w:rFonts w:hint="eastAsia" w:ascii="Times New Roman" w:hAnsi="Times New Roman" w:eastAsia="宋体"/>
          <w:bCs/>
          <w:szCs w:val="18"/>
        </w:rPr>
        <w:t>1、评价等级</w:t>
      </w:r>
    </w:p>
    <w:p w14:paraId="21AE9E0B">
      <w:pPr>
        <w:ind w:firstLine="480"/>
      </w:pPr>
      <w:r>
        <w:rPr>
          <w:rFonts w:hint="eastAsia"/>
        </w:rPr>
        <w:t>根据《环境影响评价技术导则生态影响》（HJ1.9-2022），确定生态环境评价工作等级。根据生态影响评价工作等级划分内容。生态影响评价工作等级划分如下原则确定：</w:t>
      </w:r>
    </w:p>
    <w:p w14:paraId="42F1D6C6">
      <w:pPr>
        <w:ind w:firstLine="480"/>
      </w:pPr>
      <w:r>
        <w:rPr>
          <w:rFonts w:hint="eastAsia"/>
        </w:rPr>
        <w:t>a）涉及国家公园、自然保护区、世界自然遗产、重要生境时，评价等级为一级；</w:t>
      </w:r>
    </w:p>
    <w:p w14:paraId="52C94E68">
      <w:pPr>
        <w:ind w:firstLine="480"/>
      </w:pPr>
      <w:r>
        <w:rPr>
          <w:rFonts w:hint="eastAsia"/>
        </w:rPr>
        <w:t>b）涉及自然公园时，评价等级为二级；</w:t>
      </w:r>
    </w:p>
    <w:p w14:paraId="0FD1DBE1">
      <w:pPr>
        <w:ind w:firstLine="480"/>
      </w:pPr>
      <w:r>
        <w:rPr>
          <w:rFonts w:hint="eastAsia"/>
        </w:rPr>
        <w:t>c）涉及生态保护红线时，评价等级不低于二级：</w:t>
      </w:r>
    </w:p>
    <w:p w14:paraId="00ECF007">
      <w:pPr>
        <w:ind w:firstLine="480"/>
      </w:pPr>
      <w:r>
        <w:rPr>
          <w:rFonts w:hint="eastAsia"/>
        </w:rPr>
        <w:t>d）根据HJ2.3判断属于水文要素影响型且地表水评价等级不低于二级的建设项目，生态影响评价等级不低于二级；</w:t>
      </w:r>
    </w:p>
    <w:p w14:paraId="1CC0F33E">
      <w:pPr>
        <w:ind w:firstLine="480"/>
      </w:pPr>
      <w:r>
        <w:rPr>
          <w:rFonts w:hint="eastAsia"/>
        </w:rPr>
        <w:t>e）根据HJ610、HJ964判断地下水水位或土壤影响范围内分布有天然林、公益林、湿地等生态保护目标的建设项目，生态影响评价等级不低于二级；</w:t>
      </w:r>
    </w:p>
    <w:p w14:paraId="31405BEE">
      <w:pPr>
        <w:ind w:firstLine="480"/>
      </w:pPr>
      <w:r>
        <w:rPr>
          <w:rFonts w:hint="eastAsia"/>
        </w:rPr>
        <w:t>f）当工程占地规模大于20km</w:t>
      </w:r>
      <w:r>
        <w:rPr>
          <w:vertAlign w:val="superscript"/>
        </w:rPr>
        <w:t>2</w:t>
      </w:r>
      <w:r>
        <w:rPr>
          <w:rFonts w:hint="eastAsia"/>
        </w:rPr>
        <w:t>时（包括永久和临时占用陆域和水域），评价等级不低于二级：改扩建项目的占地范围以新增占地（包括陆域和水域）确定；</w:t>
      </w:r>
    </w:p>
    <w:p w14:paraId="0D13869A">
      <w:pPr>
        <w:ind w:firstLine="480"/>
      </w:pPr>
      <w:r>
        <w:rPr>
          <w:rFonts w:hint="eastAsia"/>
        </w:rPr>
        <w:t>g）除本条a）、b）、c）、d）、e）、f）以外的情况，评价等级为三级；</w:t>
      </w:r>
    </w:p>
    <w:p w14:paraId="411F8891">
      <w:pPr>
        <w:ind w:firstLine="480"/>
      </w:pPr>
      <w:r>
        <w:rPr>
          <w:rFonts w:hint="eastAsia"/>
        </w:rPr>
        <w:t>h）当评价等级判定同时符合上述多种情况时，应采用其中最高的评价等级。</w:t>
      </w:r>
    </w:p>
    <w:p w14:paraId="71C6F0DC">
      <w:pPr>
        <w:ind w:firstLine="480"/>
      </w:pPr>
      <w:r>
        <w:rPr>
          <w:rFonts w:hint="eastAsia"/>
        </w:rPr>
        <w:t>（2）工程占地范围及环境敏感情况</w:t>
      </w:r>
    </w:p>
    <w:p w14:paraId="781329B2">
      <w:pPr>
        <w:ind w:firstLine="480"/>
      </w:pPr>
      <w:r>
        <w:rPr>
          <w:rFonts w:hint="eastAsia"/>
        </w:rPr>
        <w:t>本项目总占地面积24757.78m</w:t>
      </w:r>
      <w:r>
        <w:rPr>
          <w:rFonts w:hint="eastAsia"/>
          <w:vertAlign w:val="superscript"/>
        </w:rPr>
        <w:t>2</w:t>
      </w:r>
      <w:r>
        <w:rPr>
          <w:rFonts w:hint="eastAsia"/>
        </w:rPr>
        <w:t>（折0.0247578km</w:t>
      </w:r>
      <w:r>
        <w:rPr>
          <w:rFonts w:hint="eastAsia"/>
          <w:vertAlign w:val="superscript"/>
        </w:rPr>
        <w:t>2</w:t>
      </w:r>
      <w:r>
        <w:rPr>
          <w:rFonts w:hint="eastAsia"/>
        </w:rPr>
        <w:t>），小于2</w:t>
      </w:r>
      <w:r>
        <w:t>0</w:t>
      </w:r>
      <w:r>
        <w:rPr>
          <w:rFonts w:hint="eastAsia"/>
        </w:rPr>
        <w:t>km</w:t>
      </w:r>
      <w:r>
        <w:rPr>
          <w:rFonts w:hint="eastAsia"/>
          <w:vertAlign w:val="superscript"/>
        </w:rPr>
        <w:t>2</w:t>
      </w:r>
      <w:r>
        <w:rPr>
          <w:rFonts w:hint="eastAsia"/>
        </w:rPr>
        <w:t>。本项目周边不涉及国家公园、自然保护区、世界自然遗产、重要生境时，不涉及自然公园，不涉及生态保护红线。</w:t>
      </w:r>
    </w:p>
    <w:p w14:paraId="12338296">
      <w:pPr>
        <w:ind w:firstLine="480"/>
      </w:pPr>
      <w:r>
        <w:rPr>
          <w:rFonts w:hint="eastAsia"/>
        </w:rPr>
        <w:t>综上所述，本项目生态影响评价等级为三级。</w:t>
      </w:r>
    </w:p>
    <w:p w14:paraId="5D255DC7">
      <w:pPr>
        <w:pStyle w:val="161"/>
        <w:keepNext w:val="0"/>
        <w:spacing w:line="360" w:lineRule="auto"/>
        <w:ind w:firstLine="480" w:firstLineChars="200"/>
        <w:outlineLvl w:val="9"/>
        <w:rPr>
          <w:rFonts w:ascii="Times New Roman" w:hAnsi="Times New Roman" w:eastAsia="宋体"/>
          <w:bCs/>
          <w:szCs w:val="18"/>
        </w:rPr>
      </w:pPr>
      <w:r>
        <w:rPr>
          <w:rFonts w:ascii="Times New Roman" w:hAnsi="Times New Roman" w:eastAsia="宋体"/>
          <w:bCs/>
          <w:szCs w:val="18"/>
        </w:rPr>
        <w:t>2</w:t>
      </w:r>
      <w:r>
        <w:rPr>
          <w:rFonts w:hint="eastAsia" w:ascii="Times New Roman" w:hAnsi="Times New Roman" w:eastAsia="宋体"/>
          <w:bCs/>
          <w:szCs w:val="18"/>
        </w:rPr>
        <w:t>、</w:t>
      </w:r>
      <w:r>
        <w:rPr>
          <w:rFonts w:hint="eastAsia" w:ascii="Times New Roman" w:hAnsi="Times New Roman" w:eastAsia="宋体"/>
          <w:bCs/>
          <w:szCs w:val="21"/>
        </w:rPr>
        <w:t>生态环境</w:t>
      </w:r>
      <w:r>
        <w:rPr>
          <w:rFonts w:hint="eastAsia" w:ascii="Times New Roman" w:hAnsi="Times New Roman" w:eastAsia="宋体"/>
          <w:bCs/>
          <w:szCs w:val="18"/>
        </w:rPr>
        <w:t>影响评价</w:t>
      </w:r>
    </w:p>
    <w:p w14:paraId="7D8B785A">
      <w:pPr>
        <w:ind w:firstLine="480"/>
      </w:pPr>
      <w:r>
        <w:rPr>
          <w:rFonts w:hint="eastAsia"/>
          <w:szCs w:val="16"/>
        </w:rPr>
        <w:t>本项目为三级评价，</w:t>
      </w:r>
      <w:r>
        <w:rPr>
          <w:rFonts w:hint="eastAsia"/>
        </w:rPr>
        <w:t>根据《环境影响评价技术导则生态影响》（HJ1.9-2022）采取生态机理分析法对本项目生态影响进行评价。</w:t>
      </w:r>
    </w:p>
    <w:p w14:paraId="6A950576">
      <w:pPr>
        <w:ind w:firstLine="480"/>
        <w:rPr>
          <w:szCs w:val="16"/>
        </w:rPr>
      </w:pPr>
      <w:r>
        <w:rPr>
          <w:rFonts w:hint="eastAsia"/>
          <w:szCs w:val="16"/>
        </w:rPr>
        <w:t>1）环境背景现状调查</w:t>
      </w:r>
    </w:p>
    <w:p w14:paraId="71FF67F1">
      <w:pPr>
        <w:ind w:firstLine="480"/>
        <w:rPr>
          <w:szCs w:val="16"/>
        </w:rPr>
      </w:pPr>
      <w:r>
        <w:rPr>
          <w:rFonts w:hint="eastAsia"/>
          <w:szCs w:val="16"/>
        </w:rPr>
        <w:t>项目拟建养殖场场地植物分布较为单一，没有珍稀植被，项目区建设前土地利用状况为荒草地；</w:t>
      </w:r>
    </w:p>
    <w:p w14:paraId="6E436DDA">
      <w:pPr>
        <w:ind w:firstLine="480"/>
        <w:rPr>
          <w:szCs w:val="16"/>
        </w:rPr>
      </w:pPr>
      <w:r>
        <w:rPr>
          <w:rFonts w:hint="eastAsia"/>
          <w:szCs w:val="16"/>
        </w:rPr>
        <w:t>2）植物和动物分布</w:t>
      </w:r>
    </w:p>
    <w:p w14:paraId="2BDA3437">
      <w:pPr>
        <w:ind w:firstLine="480"/>
      </w:pPr>
      <w:r>
        <w:rPr>
          <w:rFonts w:hint="eastAsia"/>
          <w:snapToGrid w:val="0"/>
          <w:szCs w:val="22"/>
        </w:rPr>
        <w:t>经</w:t>
      </w:r>
      <w:r>
        <w:rPr>
          <w:snapToGrid w:val="0"/>
          <w:szCs w:val="22"/>
        </w:rPr>
        <w:t>实地调查，评价区</w:t>
      </w:r>
      <w:r>
        <w:rPr>
          <w:rFonts w:hint="eastAsia"/>
          <w:snapToGrid w:val="0"/>
          <w:szCs w:val="22"/>
        </w:rPr>
        <w:t>区域植被类型为温性荒漠类草原，植被主要有绢篙、猪毛菜、叉毛蓬等，植被长势良好。</w:t>
      </w:r>
    </w:p>
    <w:p w14:paraId="6D11EABC">
      <w:pPr>
        <w:ind w:firstLine="480"/>
      </w:pPr>
      <w:r>
        <w:rPr>
          <w:rFonts w:hint="eastAsia"/>
        </w:rPr>
        <w:t>本项目土地原有类型为荒地，由昌吉木垒县雀仁乡正格勒得村村委会使用，未承包到户。本项目所在地块已经在木垒县自然资源局办理相关了设施农用地备案手续，土地属性已转变为设施农业用地</w:t>
      </w:r>
    </w:p>
    <w:p w14:paraId="63671672">
      <w:pPr>
        <w:ind w:firstLine="480"/>
        <w:rPr>
          <w:szCs w:val="16"/>
        </w:rPr>
      </w:pPr>
      <w:r>
        <w:rPr>
          <w:rFonts w:hint="eastAsia"/>
          <w:szCs w:val="16"/>
        </w:rPr>
        <w:t>本项目建成后，部分土地被硬化，植被破坏，对植物生态系统造成了一定程度的损坏，但项目完成后，在养殖场内部空地和场界四周加强绿化，绿化以乔、灌、草等相结合的形式，场界主要种植高大乔木辅以灌木，场内以灌木草坪为主，相对增加了植被生态系统的多样性。</w:t>
      </w:r>
    </w:p>
    <w:p w14:paraId="04D4FFD7">
      <w:pPr>
        <w:ind w:firstLine="480"/>
        <w:rPr>
          <w:szCs w:val="16"/>
        </w:rPr>
      </w:pPr>
      <w:r>
        <w:rPr>
          <w:rFonts w:hint="eastAsia"/>
          <w:szCs w:val="16"/>
        </w:rPr>
        <w:t>本项目实施后，产生的粪污可以生产农肥和沼肥。农肥施用于农田可减少化肥施用量，增加农肥施用量；无疑将提高土壤肥力，改变土壤理、化性质，增加下垫面的抗蚀能力，改善生态环境；沼肥含多种植物易吸收的营养养分，有利于作物生长；既节约了水资源，又减少了废水排放量，降低了对环境的污染，提高了水资源的利用率。</w:t>
      </w:r>
    </w:p>
    <w:p w14:paraId="7A678836">
      <w:pPr>
        <w:ind w:firstLine="480"/>
      </w:pPr>
      <w:r>
        <w:rPr>
          <w:rFonts w:hint="eastAsia"/>
          <w:szCs w:val="16"/>
        </w:rPr>
        <w:t>综上，项目建设对于生态环境具有一定的环境影响，但影响在可接受范围内。经分析可知，本项目实施后对当地动植物生态环境影响不大。</w:t>
      </w:r>
    </w:p>
    <w:p w14:paraId="70E166CA">
      <w:pPr>
        <w:pStyle w:val="161"/>
        <w:keepNext w:val="0"/>
        <w:spacing w:line="360" w:lineRule="auto"/>
        <w:ind w:firstLine="480" w:firstLineChars="200"/>
        <w:outlineLvl w:val="9"/>
        <w:rPr>
          <w:rFonts w:ascii="Times New Roman" w:hAnsi="Times New Roman" w:eastAsia="宋体"/>
          <w:bCs/>
          <w:szCs w:val="21"/>
        </w:rPr>
      </w:pPr>
      <w:bookmarkStart w:id="179" w:name="_Toc86740209"/>
      <w:bookmarkStart w:id="180" w:name="_Toc106663506"/>
      <w:r>
        <w:rPr>
          <w:rFonts w:ascii="Times New Roman" w:hAnsi="Times New Roman" w:eastAsia="宋体"/>
          <w:bCs/>
          <w:szCs w:val="21"/>
        </w:rPr>
        <w:t>3</w:t>
      </w:r>
      <w:r>
        <w:rPr>
          <w:rFonts w:hint="eastAsia" w:ascii="Times New Roman" w:hAnsi="Times New Roman" w:eastAsia="宋体"/>
          <w:bCs/>
          <w:szCs w:val="21"/>
        </w:rPr>
        <w:t>、对景观生态的影响</w:t>
      </w:r>
      <w:bookmarkEnd w:id="179"/>
      <w:bookmarkEnd w:id="180"/>
    </w:p>
    <w:p w14:paraId="1231583C">
      <w:pPr>
        <w:ind w:firstLine="480"/>
        <w:rPr>
          <w:szCs w:val="16"/>
        </w:rPr>
      </w:pPr>
      <w:r>
        <w:rPr>
          <w:rFonts w:hint="eastAsia"/>
          <w:szCs w:val="16"/>
        </w:rPr>
        <w:t>项目养殖场属于地上建筑，因此在设计时需考虑周边景观要求，加强对建构筑物及道路以外的空地进行绿化，植物配置以乡土物种为主，疏密适当，高低错落，形成一定的层次感；色彩丰富，主要以常绿树种作为“背景”，四季不同花色的花草灌木进行搭配。尽量避免裸露地面，广泛进行垂直绿化，以及各种灌木和草本类花卉、播撒草籽加以点缀，增加</w:t>
      </w:r>
      <w:r>
        <w:t>绿化面积</w:t>
      </w:r>
      <w:r>
        <w:rPr>
          <w:rFonts w:hint="eastAsia"/>
        </w:rPr>
        <w:t>，</w:t>
      </w:r>
      <w:r>
        <w:rPr>
          <w:rFonts w:hint="eastAsia"/>
          <w:szCs w:val="16"/>
        </w:rPr>
        <w:t>尽可能的减轻了养殖场建设对周边景观的影响，对周边景观影响较小。</w:t>
      </w:r>
    </w:p>
    <w:p w14:paraId="0A12AB39">
      <w:pPr>
        <w:pStyle w:val="4"/>
      </w:pPr>
      <w:bookmarkStart w:id="181" w:name="_Toc89619345"/>
      <w:bookmarkStart w:id="182" w:name="_Toc106663507"/>
      <w:r>
        <w:rPr>
          <w:rFonts w:hint="eastAsia"/>
        </w:rPr>
        <w:t>5.3、环境风险评价</w:t>
      </w:r>
      <w:bookmarkEnd w:id="181"/>
      <w:bookmarkEnd w:id="182"/>
    </w:p>
    <w:p w14:paraId="093F70BE">
      <w:pPr>
        <w:ind w:firstLine="480"/>
      </w:pPr>
      <w:r>
        <w:rPr>
          <w:rFonts w:hint="eastAsia"/>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61D4E3FE">
      <w:pPr>
        <w:ind w:firstLine="480"/>
      </w:pPr>
      <w:r>
        <w:rPr>
          <w:rFonts w:hint="eastAsia"/>
        </w:rPr>
        <w:t>根据《建设项目环境风险评价技术导则》（HJ169-2018）、《关于切实加强风险防范严格环境影响评价管理的通知》（环发[2012]98号）、《关于进一步加强环境影响评价管理防范环境风险的通知》（环发[2012]77号）等要求，对本项目进行环境风险评价，通过对建设项目的环境风险进行分析、预测和评估，提出环境风险预防、控制、减缓措施，明确环境风险监控及应急建议要求，为建设项目环境风险防控提出科学依据。</w:t>
      </w:r>
    </w:p>
    <w:p w14:paraId="3F3B5F3D">
      <w:pPr>
        <w:pStyle w:val="5"/>
      </w:pPr>
      <w:bookmarkStart w:id="183" w:name="_Toc106663508"/>
      <w:r>
        <w:rPr>
          <w:rFonts w:hint="eastAsia"/>
        </w:rPr>
        <w:t>5.3.1环境风险评价原则</w:t>
      </w:r>
      <w:bookmarkEnd w:id="183"/>
    </w:p>
    <w:p w14:paraId="63C18A70">
      <w:pPr>
        <w:ind w:firstLine="480"/>
      </w:pPr>
      <w:r>
        <w:rPr>
          <w:rFonts w:hint="eastAsia"/>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12E8DE61">
      <w:pPr>
        <w:pStyle w:val="5"/>
      </w:pPr>
      <w:bookmarkStart w:id="184" w:name="_Toc106663509"/>
      <w:r>
        <w:rPr>
          <w:rFonts w:hint="eastAsia"/>
        </w:rPr>
        <w:t>5.3.2评价程序</w:t>
      </w:r>
      <w:bookmarkEnd w:id="184"/>
    </w:p>
    <w:p w14:paraId="0AA7F41A">
      <w:pPr>
        <w:ind w:firstLine="480"/>
      </w:pPr>
      <w:r>
        <w:rPr>
          <w:rFonts w:hint="eastAsia"/>
        </w:rPr>
        <w:t>环境风险评价程序见图5.3-1。</w:t>
      </w:r>
    </w:p>
    <w:p w14:paraId="684C3A26">
      <w:pPr>
        <w:spacing w:line="240" w:lineRule="auto"/>
        <w:ind w:firstLine="0" w:firstLineChars="0"/>
        <w:jc w:val="center"/>
      </w:pPr>
      <w:r>
        <w:drawing>
          <wp:inline distT="0" distB="0" distL="0" distR="0">
            <wp:extent cx="5149850" cy="5300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7"/>
                    <a:stretch>
                      <a:fillRect/>
                    </a:stretch>
                  </pic:blipFill>
                  <pic:spPr>
                    <a:xfrm>
                      <a:off x="0" y="0"/>
                      <a:ext cx="5152588" cy="5304065"/>
                    </a:xfrm>
                    <a:prstGeom prst="rect">
                      <a:avLst/>
                    </a:prstGeom>
                  </pic:spPr>
                </pic:pic>
              </a:graphicData>
            </a:graphic>
          </wp:inline>
        </w:drawing>
      </w:r>
    </w:p>
    <w:p w14:paraId="4F5FA031">
      <w:pPr>
        <w:pStyle w:val="11"/>
      </w:pPr>
      <w:r>
        <w:rPr>
          <w:rFonts w:hint="eastAsia"/>
        </w:rPr>
        <w:t>图5.3-1环境风险评价流程框图</w:t>
      </w:r>
    </w:p>
    <w:p w14:paraId="22915038">
      <w:pPr>
        <w:pStyle w:val="5"/>
      </w:pPr>
      <w:bookmarkStart w:id="185" w:name="_Toc106663510"/>
      <w:r>
        <w:rPr>
          <w:rFonts w:hint="eastAsia"/>
        </w:rPr>
        <w:t>5.3.3风险调查</w:t>
      </w:r>
      <w:bookmarkEnd w:id="185"/>
    </w:p>
    <w:p w14:paraId="3BBF34B5">
      <w:pPr>
        <w:pStyle w:val="6"/>
        <w:ind w:firstLine="482"/>
      </w:pPr>
      <w:r>
        <w:rPr>
          <w:rFonts w:hint="eastAsia"/>
        </w:rPr>
        <w:t>5.3.3.1建设项目风险源调查</w:t>
      </w:r>
    </w:p>
    <w:p w14:paraId="3155DEB8">
      <w:pPr>
        <w:ind w:firstLine="480"/>
      </w:pPr>
      <w:r>
        <w:t>本项目为畜禽养殖项目，根据《建设项目环境风险评价技术导则》</w:t>
      </w:r>
      <w:r>
        <w:rPr>
          <w:rFonts w:hint="eastAsia"/>
        </w:rPr>
        <w:t>（</w:t>
      </w:r>
      <w:r>
        <w:t>HJ169-2018</w:t>
      </w:r>
      <w:r>
        <w:rPr>
          <w:rFonts w:hint="eastAsia"/>
        </w:rPr>
        <w:t>）</w:t>
      </w:r>
      <w:r>
        <w:t>中附录B判定，项目不涉及风险物质</w:t>
      </w:r>
      <w:r>
        <w:rPr>
          <w:rFonts w:hint="eastAsia"/>
        </w:rPr>
        <w:t>。</w:t>
      </w:r>
    </w:p>
    <w:p w14:paraId="464DFFF3">
      <w:pPr>
        <w:pStyle w:val="6"/>
        <w:ind w:firstLine="482"/>
      </w:pPr>
      <w:r>
        <w:rPr>
          <w:rFonts w:hint="eastAsia"/>
        </w:rPr>
        <w:t>5.3.2.2环境敏感目标调查</w:t>
      </w:r>
    </w:p>
    <w:p w14:paraId="3960F594">
      <w:pPr>
        <w:ind w:firstLine="480"/>
      </w:pPr>
      <w:r>
        <w:rPr>
          <w:rFonts w:hint="eastAsia"/>
        </w:rPr>
        <w:t>根据现场勘查及相关资料查阅，项目所属区域内无自然保护区、风景名胜区和文物古迹等需要特殊保护的敏感目标。</w:t>
      </w:r>
    </w:p>
    <w:p w14:paraId="57BA029C">
      <w:pPr>
        <w:ind w:firstLine="0" w:firstLineChars="0"/>
        <w:jc w:val="center"/>
        <w:rPr>
          <w:b/>
          <w:bCs/>
        </w:rPr>
      </w:pPr>
      <w:r>
        <w:rPr>
          <w:rFonts w:hint="eastAsia"/>
          <w:b/>
          <w:bCs/>
        </w:rPr>
        <w:t>表5.3-1主要环境保护目标一览表</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9"/>
        <w:gridCol w:w="1874"/>
        <w:gridCol w:w="710"/>
        <w:gridCol w:w="710"/>
        <w:gridCol w:w="1137"/>
        <w:gridCol w:w="3199"/>
      </w:tblGrid>
      <w:tr w14:paraId="207A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09" w:type="pct"/>
            <w:vAlign w:val="center"/>
          </w:tcPr>
          <w:p w14:paraId="1602FE54">
            <w:pPr>
              <w:spacing w:line="240" w:lineRule="auto"/>
              <w:ind w:firstLine="0" w:firstLineChars="0"/>
              <w:jc w:val="center"/>
              <w:rPr>
                <w:rFonts w:cs="宋体"/>
                <w:sz w:val="21"/>
                <w:szCs w:val="21"/>
              </w:rPr>
            </w:pPr>
            <w:r>
              <w:rPr>
                <w:rFonts w:cs="宋体"/>
                <w:sz w:val="21"/>
                <w:szCs w:val="21"/>
              </w:rPr>
              <w:t>环境要素</w:t>
            </w:r>
          </w:p>
        </w:tc>
        <w:tc>
          <w:tcPr>
            <w:tcW w:w="1128" w:type="pct"/>
            <w:vAlign w:val="center"/>
          </w:tcPr>
          <w:p w14:paraId="0BE3A653">
            <w:pPr>
              <w:spacing w:line="240" w:lineRule="auto"/>
              <w:ind w:firstLine="0" w:firstLineChars="0"/>
              <w:jc w:val="center"/>
              <w:rPr>
                <w:rFonts w:cs="宋体"/>
                <w:sz w:val="21"/>
                <w:szCs w:val="21"/>
              </w:rPr>
            </w:pPr>
            <w:r>
              <w:rPr>
                <w:rFonts w:cs="宋体"/>
                <w:sz w:val="21"/>
                <w:szCs w:val="21"/>
              </w:rPr>
              <w:t>环境保护目标</w:t>
            </w:r>
          </w:p>
        </w:tc>
        <w:tc>
          <w:tcPr>
            <w:tcW w:w="427" w:type="pct"/>
            <w:vAlign w:val="center"/>
          </w:tcPr>
          <w:p w14:paraId="37706E68">
            <w:pPr>
              <w:spacing w:line="240" w:lineRule="auto"/>
              <w:ind w:firstLine="0" w:firstLineChars="0"/>
              <w:jc w:val="center"/>
              <w:rPr>
                <w:rFonts w:cs="宋体"/>
                <w:sz w:val="21"/>
                <w:szCs w:val="21"/>
              </w:rPr>
            </w:pPr>
            <w:r>
              <w:rPr>
                <w:rFonts w:cs="宋体"/>
                <w:sz w:val="21"/>
                <w:szCs w:val="21"/>
              </w:rPr>
              <w:t>距离</w:t>
            </w:r>
            <w:r>
              <w:rPr>
                <w:rFonts w:hint="eastAsia" w:cs="宋体"/>
                <w:sz w:val="21"/>
                <w:szCs w:val="21"/>
              </w:rPr>
              <w:t>（</w:t>
            </w:r>
            <w:r>
              <w:rPr>
                <w:sz w:val="21"/>
                <w:szCs w:val="21"/>
              </w:rPr>
              <w:t>km</w:t>
            </w:r>
            <w:r>
              <w:rPr>
                <w:rFonts w:hint="eastAsia" w:cs="宋体"/>
                <w:sz w:val="21"/>
                <w:szCs w:val="21"/>
              </w:rPr>
              <w:t>）</w:t>
            </w:r>
          </w:p>
        </w:tc>
        <w:tc>
          <w:tcPr>
            <w:tcW w:w="427" w:type="pct"/>
            <w:vAlign w:val="center"/>
          </w:tcPr>
          <w:p w14:paraId="6F4864B8">
            <w:pPr>
              <w:spacing w:line="240" w:lineRule="auto"/>
              <w:ind w:firstLine="0" w:firstLineChars="0"/>
              <w:jc w:val="center"/>
              <w:rPr>
                <w:rFonts w:cs="宋体"/>
                <w:sz w:val="21"/>
                <w:szCs w:val="21"/>
              </w:rPr>
            </w:pPr>
            <w:r>
              <w:rPr>
                <w:rFonts w:cs="宋体"/>
                <w:sz w:val="21"/>
                <w:szCs w:val="21"/>
              </w:rPr>
              <w:t>方位</w:t>
            </w:r>
          </w:p>
        </w:tc>
        <w:tc>
          <w:tcPr>
            <w:tcW w:w="684" w:type="pct"/>
            <w:vAlign w:val="center"/>
          </w:tcPr>
          <w:p w14:paraId="474CD7FC">
            <w:pPr>
              <w:spacing w:line="240" w:lineRule="auto"/>
              <w:ind w:firstLine="0" w:firstLineChars="0"/>
              <w:jc w:val="center"/>
              <w:rPr>
                <w:rFonts w:cs="宋体"/>
                <w:sz w:val="21"/>
                <w:szCs w:val="21"/>
              </w:rPr>
            </w:pPr>
            <w:r>
              <w:rPr>
                <w:rFonts w:cs="宋体"/>
                <w:sz w:val="21"/>
                <w:szCs w:val="21"/>
              </w:rPr>
              <w:t>人数</w:t>
            </w:r>
            <w:r>
              <w:rPr>
                <w:rFonts w:hint="eastAsia" w:cs="宋体"/>
                <w:sz w:val="21"/>
                <w:szCs w:val="21"/>
              </w:rPr>
              <w:t>（</w:t>
            </w:r>
            <w:r>
              <w:rPr>
                <w:rFonts w:cs="宋体"/>
                <w:sz w:val="21"/>
                <w:szCs w:val="21"/>
              </w:rPr>
              <w:t>人</w:t>
            </w:r>
            <w:r>
              <w:rPr>
                <w:rFonts w:hint="eastAsia" w:cs="宋体"/>
                <w:sz w:val="21"/>
                <w:szCs w:val="21"/>
              </w:rPr>
              <w:t>）</w:t>
            </w:r>
          </w:p>
        </w:tc>
        <w:tc>
          <w:tcPr>
            <w:tcW w:w="1926" w:type="pct"/>
            <w:vAlign w:val="center"/>
          </w:tcPr>
          <w:p w14:paraId="6A06C32C">
            <w:pPr>
              <w:spacing w:line="240" w:lineRule="auto"/>
              <w:ind w:firstLine="0" w:firstLineChars="0"/>
              <w:jc w:val="center"/>
              <w:rPr>
                <w:rFonts w:cs="宋体"/>
                <w:sz w:val="21"/>
                <w:szCs w:val="21"/>
              </w:rPr>
            </w:pPr>
            <w:r>
              <w:rPr>
                <w:rFonts w:cs="宋体"/>
                <w:sz w:val="21"/>
                <w:szCs w:val="21"/>
              </w:rPr>
              <w:t>保护级别</w:t>
            </w:r>
          </w:p>
        </w:tc>
      </w:tr>
      <w:tr w14:paraId="13848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09" w:type="pct"/>
            <w:vAlign w:val="center"/>
          </w:tcPr>
          <w:p w14:paraId="13B4F9DD">
            <w:pPr>
              <w:spacing w:line="240" w:lineRule="auto"/>
              <w:ind w:firstLine="0" w:firstLineChars="0"/>
              <w:jc w:val="center"/>
              <w:rPr>
                <w:rFonts w:cs="宋体"/>
                <w:sz w:val="21"/>
                <w:szCs w:val="21"/>
              </w:rPr>
            </w:pPr>
            <w:r>
              <w:rPr>
                <w:rFonts w:cs="宋体"/>
                <w:sz w:val="21"/>
                <w:szCs w:val="21"/>
              </w:rPr>
              <w:t>大气环境</w:t>
            </w:r>
          </w:p>
        </w:tc>
        <w:tc>
          <w:tcPr>
            <w:tcW w:w="1128" w:type="pct"/>
            <w:vAlign w:val="center"/>
          </w:tcPr>
          <w:p w14:paraId="20E24ABC">
            <w:pPr>
              <w:spacing w:line="240" w:lineRule="auto"/>
              <w:ind w:firstLine="0" w:firstLineChars="0"/>
              <w:jc w:val="center"/>
              <w:rPr>
                <w:rFonts w:cs="宋体"/>
                <w:sz w:val="21"/>
                <w:szCs w:val="21"/>
              </w:rPr>
            </w:pPr>
            <w:r>
              <w:rPr>
                <w:rFonts w:hint="eastAsia" w:cs="宋体"/>
                <w:sz w:val="21"/>
                <w:szCs w:val="21"/>
              </w:rPr>
              <w:t>正格勒得村</w:t>
            </w:r>
          </w:p>
        </w:tc>
        <w:tc>
          <w:tcPr>
            <w:tcW w:w="427" w:type="pct"/>
            <w:vAlign w:val="center"/>
          </w:tcPr>
          <w:p w14:paraId="2459D1A9">
            <w:pPr>
              <w:spacing w:line="240" w:lineRule="auto"/>
              <w:ind w:firstLine="0" w:firstLineChars="0"/>
              <w:jc w:val="center"/>
              <w:rPr>
                <w:sz w:val="21"/>
                <w:szCs w:val="21"/>
              </w:rPr>
            </w:pPr>
            <w:r>
              <w:rPr>
                <w:rFonts w:hint="eastAsia"/>
                <w:sz w:val="21"/>
                <w:szCs w:val="21"/>
              </w:rPr>
              <w:t>1.4</w:t>
            </w:r>
          </w:p>
        </w:tc>
        <w:tc>
          <w:tcPr>
            <w:tcW w:w="427" w:type="pct"/>
            <w:vAlign w:val="center"/>
          </w:tcPr>
          <w:p w14:paraId="24CCFF30">
            <w:pPr>
              <w:spacing w:line="240" w:lineRule="auto"/>
              <w:ind w:firstLine="0" w:firstLineChars="0"/>
              <w:jc w:val="center"/>
              <w:rPr>
                <w:sz w:val="21"/>
                <w:szCs w:val="21"/>
              </w:rPr>
            </w:pPr>
            <w:r>
              <w:rPr>
                <w:rFonts w:hint="eastAsia"/>
                <w:sz w:val="21"/>
                <w:szCs w:val="21"/>
              </w:rPr>
              <w:t>东</w:t>
            </w:r>
          </w:p>
        </w:tc>
        <w:tc>
          <w:tcPr>
            <w:tcW w:w="684" w:type="pct"/>
            <w:vAlign w:val="center"/>
          </w:tcPr>
          <w:p w14:paraId="67669027">
            <w:pPr>
              <w:spacing w:line="240" w:lineRule="auto"/>
              <w:ind w:firstLine="0" w:firstLineChars="0"/>
              <w:jc w:val="center"/>
              <w:rPr>
                <w:sz w:val="21"/>
                <w:szCs w:val="21"/>
              </w:rPr>
            </w:pPr>
            <w:r>
              <w:rPr>
                <w:sz w:val="21"/>
                <w:szCs w:val="21"/>
              </w:rPr>
              <w:t>1455</w:t>
            </w:r>
          </w:p>
        </w:tc>
        <w:tc>
          <w:tcPr>
            <w:tcW w:w="1926" w:type="pct"/>
            <w:vAlign w:val="center"/>
          </w:tcPr>
          <w:p w14:paraId="64B51F74">
            <w:pPr>
              <w:spacing w:line="240" w:lineRule="auto"/>
              <w:ind w:firstLine="0" w:firstLineChars="0"/>
              <w:jc w:val="center"/>
              <w:rPr>
                <w:rFonts w:cs="宋体"/>
                <w:sz w:val="21"/>
                <w:szCs w:val="21"/>
              </w:rPr>
            </w:pPr>
            <w:r>
              <w:rPr>
                <w:rFonts w:cs="宋体"/>
                <w:sz w:val="21"/>
                <w:szCs w:val="21"/>
              </w:rPr>
              <w:t>《环境空气质量标准》</w:t>
            </w:r>
            <w:r>
              <w:rPr>
                <w:rFonts w:hint="eastAsia" w:cs="宋体"/>
                <w:sz w:val="21"/>
                <w:szCs w:val="21"/>
              </w:rPr>
              <w:t>（</w:t>
            </w:r>
            <w:r>
              <w:rPr>
                <w:sz w:val="21"/>
                <w:szCs w:val="21"/>
              </w:rPr>
              <w:t>GB3095-2012</w:t>
            </w:r>
            <w:r>
              <w:rPr>
                <w:rFonts w:hint="eastAsia" w:cs="宋体"/>
                <w:sz w:val="21"/>
                <w:szCs w:val="21"/>
              </w:rPr>
              <w:t>）</w:t>
            </w:r>
            <w:r>
              <w:rPr>
                <w:rFonts w:cs="宋体"/>
                <w:sz w:val="21"/>
                <w:szCs w:val="21"/>
              </w:rPr>
              <w:t>中二级标准</w:t>
            </w:r>
          </w:p>
        </w:tc>
      </w:tr>
      <w:tr w14:paraId="54E17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09" w:type="pct"/>
            <w:vAlign w:val="center"/>
          </w:tcPr>
          <w:p w14:paraId="5E052979">
            <w:pPr>
              <w:spacing w:line="240" w:lineRule="auto"/>
              <w:ind w:firstLine="0" w:firstLineChars="0"/>
              <w:jc w:val="center"/>
              <w:rPr>
                <w:rFonts w:cs="宋体"/>
                <w:sz w:val="21"/>
                <w:szCs w:val="21"/>
              </w:rPr>
            </w:pPr>
            <w:r>
              <w:rPr>
                <w:rFonts w:cs="宋体"/>
                <w:sz w:val="21"/>
                <w:szCs w:val="21"/>
              </w:rPr>
              <w:t>地下水</w:t>
            </w:r>
          </w:p>
        </w:tc>
        <w:tc>
          <w:tcPr>
            <w:tcW w:w="1128" w:type="pct"/>
            <w:vAlign w:val="center"/>
          </w:tcPr>
          <w:p w14:paraId="0714F555">
            <w:pPr>
              <w:spacing w:line="240" w:lineRule="auto"/>
              <w:ind w:firstLine="0" w:firstLineChars="0"/>
              <w:jc w:val="center"/>
              <w:rPr>
                <w:rFonts w:cs="宋体"/>
                <w:sz w:val="21"/>
                <w:szCs w:val="21"/>
              </w:rPr>
            </w:pPr>
            <w:r>
              <w:rPr>
                <w:rFonts w:cs="宋体"/>
                <w:sz w:val="21"/>
                <w:szCs w:val="21"/>
              </w:rPr>
              <w:t>项目区地下水环境</w:t>
            </w:r>
          </w:p>
        </w:tc>
        <w:tc>
          <w:tcPr>
            <w:tcW w:w="427" w:type="pct"/>
            <w:vAlign w:val="center"/>
          </w:tcPr>
          <w:p w14:paraId="4A146058">
            <w:pPr>
              <w:spacing w:line="240" w:lineRule="auto"/>
              <w:ind w:firstLine="0" w:firstLineChars="0"/>
              <w:jc w:val="center"/>
              <w:rPr>
                <w:sz w:val="21"/>
                <w:szCs w:val="21"/>
              </w:rPr>
            </w:pPr>
            <w:r>
              <w:rPr>
                <w:sz w:val="21"/>
                <w:szCs w:val="21"/>
              </w:rPr>
              <w:t>/</w:t>
            </w:r>
          </w:p>
        </w:tc>
        <w:tc>
          <w:tcPr>
            <w:tcW w:w="427" w:type="pct"/>
            <w:vAlign w:val="center"/>
          </w:tcPr>
          <w:p w14:paraId="0AC0FF17">
            <w:pPr>
              <w:spacing w:line="240" w:lineRule="auto"/>
              <w:ind w:firstLine="0" w:firstLineChars="0"/>
              <w:jc w:val="center"/>
              <w:rPr>
                <w:sz w:val="21"/>
                <w:szCs w:val="21"/>
              </w:rPr>
            </w:pPr>
            <w:r>
              <w:rPr>
                <w:sz w:val="21"/>
                <w:szCs w:val="21"/>
              </w:rPr>
              <w:t>/</w:t>
            </w:r>
          </w:p>
        </w:tc>
        <w:tc>
          <w:tcPr>
            <w:tcW w:w="684" w:type="pct"/>
            <w:vAlign w:val="center"/>
          </w:tcPr>
          <w:p w14:paraId="2906D725">
            <w:pPr>
              <w:spacing w:line="240" w:lineRule="auto"/>
              <w:ind w:firstLine="0" w:firstLineChars="0"/>
              <w:jc w:val="center"/>
              <w:rPr>
                <w:sz w:val="21"/>
                <w:szCs w:val="21"/>
              </w:rPr>
            </w:pPr>
            <w:r>
              <w:rPr>
                <w:sz w:val="21"/>
                <w:szCs w:val="21"/>
              </w:rPr>
              <w:t>/</w:t>
            </w:r>
          </w:p>
        </w:tc>
        <w:tc>
          <w:tcPr>
            <w:tcW w:w="1926" w:type="pct"/>
            <w:vAlign w:val="center"/>
          </w:tcPr>
          <w:p w14:paraId="06786C5A">
            <w:pPr>
              <w:spacing w:line="240" w:lineRule="auto"/>
              <w:ind w:firstLine="0" w:firstLineChars="0"/>
              <w:jc w:val="center"/>
              <w:rPr>
                <w:rFonts w:cs="宋体"/>
                <w:sz w:val="21"/>
                <w:szCs w:val="21"/>
              </w:rPr>
            </w:pPr>
            <w:r>
              <w:rPr>
                <w:rFonts w:cs="宋体"/>
                <w:sz w:val="21"/>
                <w:szCs w:val="21"/>
              </w:rPr>
              <w:t>《地下水质量标准》</w:t>
            </w:r>
            <w:r>
              <w:rPr>
                <w:rFonts w:hint="eastAsia" w:cs="宋体"/>
                <w:sz w:val="21"/>
                <w:szCs w:val="21"/>
              </w:rPr>
              <w:t>（</w:t>
            </w:r>
            <w:r>
              <w:rPr>
                <w:sz w:val="21"/>
                <w:szCs w:val="21"/>
              </w:rPr>
              <w:t>GB/T14848-2017</w:t>
            </w:r>
            <w:r>
              <w:rPr>
                <w:rFonts w:hint="eastAsia" w:cs="宋体"/>
                <w:sz w:val="21"/>
                <w:szCs w:val="21"/>
              </w:rPr>
              <w:t>）</w:t>
            </w:r>
            <w:r>
              <w:rPr>
                <w:rFonts w:cs="宋体"/>
                <w:sz w:val="21"/>
                <w:szCs w:val="21"/>
              </w:rPr>
              <w:t>Ⅲ类标准</w:t>
            </w:r>
          </w:p>
        </w:tc>
      </w:tr>
      <w:tr w14:paraId="2C916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09" w:type="pct"/>
            <w:vAlign w:val="center"/>
          </w:tcPr>
          <w:p w14:paraId="69B4667D">
            <w:pPr>
              <w:spacing w:line="240" w:lineRule="auto"/>
              <w:ind w:firstLine="0" w:firstLineChars="0"/>
              <w:jc w:val="center"/>
              <w:rPr>
                <w:rFonts w:cs="宋体"/>
                <w:sz w:val="21"/>
                <w:szCs w:val="21"/>
              </w:rPr>
            </w:pPr>
            <w:r>
              <w:rPr>
                <w:rFonts w:cs="宋体"/>
                <w:sz w:val="21"/>
                <w:szCs w:val="21"/>
              </w:rPr>
              <w:t>土壤环境</w:t>
            </w:r>
          </w:p>
        </w:tc>
        <w:tc>
          <w:tcPr>
            <w:tcW w:w="1128" w:type="pct"/>
            <w:vAlign w:val="center"/>
          </w:tcPr>
          <w:p w14:paraId="48CCA712">
            <w:pPr>
              <w:spacing w:line="240" w:lineRule="auto"/>
              <w:ind w:firstLine="0" w:firstLineChars="0"/>
              <w:jc w:val="center"/>
              <w:rPr>
                <w:rFonts w:cs="宋体"/>
                <w:sz w:val="21"/>
                <w:szCs w:val="21"/>
              </w:rPr>
            </w:pPr>
            <w:r>
              <w:rPr>
                <w:rFonts w:cs="宋体"/>
                <w:sz w:val="21"/>
                <w:szCs w:val="21"/>
              </w:rPr>
              <w:t>耕地</w:t>
            </w:r>
          </w:p>
        </w:tc>
        <w:tc>
          <w:tcPr>
            <w:tcW w:w="427" w:type="pct"/>
            <w:vAlign w:val="center"/>
          </w:tcPr>
          <w:p w14:paraId="6E323953">
            <w:pPr>
              <w:spacing w:line="240" w:lineRule="auto"/>
              <w:ind w:firstLine="0" w:firstLineChars="0"/>
              <w:jc w:val="center"/>
              <w:rPr>
                <w:sz w:val="21"/>
                <w:szCs w:val="21"/>
              </w:rPr>
            </w:pPr>
            <w:r>
              <w:rPr>
                <w:sz w:val="21"/>
                <w:szCs w:val="21"/>
              </w:rPr>
              <w:t>0.005</w:t>
            </w:r>
          </w:p>
        </w:tc>
        <w:tc>
          <w:tcPr>
            <w:tcW w:w="427" w:type="pct"/>
            <w:vAlign w:val="center"/>
          </w:tcPr>
          <w:p w14:paraId="17CE128D">
            <w:pPr>
              <w:spacing w:line="240" w:lineRule="auto"/>
              <w:ind w:firstLine="0" w:firstLineChars="0"/>
              <w:jc w:val="center"/>
              <w:rPr>
                <w:sz w:val="21"/>
                <w:szCs w:val="21"/>
              </w:rPr>
            </w:pPr>
            <w:r>
              <w:rPr>
                <w:rFonts w:hint="eastAsia"/>
                <w:sz w:val="21"/>
                <w:szCs w:val="21"/>
              </w:rPr>
              <w:t>四周</w:t>
            </w:r>
          </w:p>
        </w:tc>
        <w:tc>
          <w:tcPr>
            <w:tcW w:w="684" w:type="pct"/>
            <w:vAlign w:val="center"/>
          </w:tcPr>
          <w:p w14:paraId="57AA6631">
            <w:pPr>
              <w:spacing w:line="240" w:lineRule="auto"/>
              <w:ind w:firstLine="0" w:firstLineChars="0"/>
              <w:jc w:val="center"/>
              <w:rPr>
                <w:sz w:val="21"/>
                <w:szCs w:val="21"/>
              </w:rPr>
            </w:pPr>
            <w:r>
              <w:rPr>
                <w:sz w:val="21"/>
                <w:szCs w:val="21"/>
              </w:rPr>
              <w:t>/</w:t>
            </w:r>
          </w:p>
        </w:tc>
        <w:tc>
          <w:tcPr>
            <w:tcW w:w="1926" w:type="pct"/>
            <w:vAlign w:val="center"/>
          </w:tcPr>
          <w:p w14:paraId="3F1F3DC4">
            <w:pPr>
              <w:spacing w:line="240" w:lineRule="auto"/>
              <w:ind w:firstLine="0" w:firstLineChars="0"/>
              <w:jc w:val="center"/>
              <w:rPr>
                <w:rFonts w:cs="宋体"/>
                <w:sz w:val="21"/>
                <w:szCs w:val="21"/>
              </w:rPr>
            </w:pPr>
            <w:r>
              <w:rPr>
                <w:rFonts w:cs="宋体"/>
                <w:sz w:val="21"/>
                <w:szCs w:val="21"/>
              </w:rPr>
              <w:t>《土壤环境质量农用地土壤污染风险管控标准</w:t>
            </w:r>
            <w:r>
              <w:rPr>
                <w:rFonts w:hint="eastAsia" w:cs="宋体"/>
                <w:sz w:val="21"/>
                <w:szCs w:val="21"/>
              </w:rPr>
              <w:t>（</w:t>
            </w:r>
            <w:r>
              <w:rPr>
                <w:rFonts w:cs="宋体"/>
                <w:sz w:val="21"/>
                <w:szCs w:val="21"/>
              </w:rPr>
              <w:t>试行</w:t>
            </w:r>
            <w:r>
              <w:rPr>
                <w:rFonts w:hint="eastAsia" w:cs="宋体"/>
                <w:sz w:val="21"/>
                <w:szCs w:val="21"/>
              </w:rPr>
              <w:t>）</w:t>
            </w:r>
            <w:r>
              <w:rPr>
                <w:rFonts w:cs="宋体"/>
                <w:sz w:val="21"/>
                <w:szCs w:val="21"/>
              </w:rPr>
              <w:t>》</w:t>
            </w:r>
            <w:r>
              <w:rPr>
                <w:rFonts w:hint="eastAsia" w:cs="宋体"/>
                <w:sz w:val="21"/>
                <w:szCs w:val="21"/>
              </w:rPr>
              <w:t>（</w:t>
            </w:r>
            <w:r>
              <w:rPr>
                <w:sz w:val="21"/>
                <w:szCs w:val="21"/>
              </w:rPr>
              <w:t>GB15618-2018</w:t>
            </w:r>
            <w:r>
              <w:rPr>
                <w:rFonts w:hint="eastAsia" w:cs="宋体"/>
                <w:sz w:val="21"/>
                <w:szCs w:val="21"/>
              </w:rPr>
              <w:t>）</w:t>
            </w:r>
            <w:r>
              <w:rPr>
                <w:rFonts w:cs="宋体"/>
                <w:sz w:val="21"/>
                <w:szCs w:val="21"/>
              </w:rPr>
              <w:t>表</w:t>
            </w:r>
            <w:r>
              <w:rPr>
                <w:sz w:val="21"/>
                <w:szCs w:val="21"/>
              </w:rPr>
              <w:t>1</w:t>
            </w:r>
            <w:r>
              <w:rPr>
                <w:rFonts w:cs="宋体"/>
                <w:sz w:val="21"/>
                <w:szCs w:val="21"/>
              </w:rPr>
              <w:t>、表</w:t>
            </w:r>
            <w:r>
              <w:rPr>
                <w:sz w:val="21"/>
                <w:szCs w:val="21"/>
              </w:rPr>
              <w:t>2</w:t>
            </w:r>
            <w:r>
              <w:rPr>
                <w:rFonts w:cs="宋体"/>
                <w:sz w:val="21"/>
                <w:szCs w:val="21"/>
              </w:rPr>
              <w:t>中风险筛选值和《畜禽养殖产地环境评价规范》</w:t>
            </w:r>
            <w:r>
              <w:rPr>
                <w:rFonts w:hint="eastAsia" w:cs="宋体"/>
                <w:sz w:val="21"/>
                <w:szCs w:val="21"/>
              </w:rPr>
              <w:t>（</w:t>
            </w:r>
            <w:r>
              <w:rPr>
                <w:sz w:val="21"/>
                <w:szCs w:val="21"/>
              </w:rPr>
              <w:t>HJ568-2010</w:t>
            </w:r>
            <w:r>
              <w:rPr>
                <w:rFonts w:hint="eastAsia" w:cs="宋体"/>
                <w:sz w:val="21"/>
                <w:szCs w:val="21"/>
              </w:rPr>
              <w:t>）</w:t>
            </w:r>
            <w:r>
              <w:rPr>
                <w:rFonts w:cs="宋体"/>
                <w:sz w:val="21"/>
                <w:szCs w:val="21"/>
              </w:rPr>
              <w:t>中表</w:t>
            </w:r>
            <w:r>
              <w:rPr>
                <w:sz w:val="21"/>
                <w:szCs w:val="21"/>
              </w:rPr>
              <w:t>4</w:t>
            </w:r>
            <w:r>
              <w:rPr>
                <w:rFonts w:cs="宋体"/>
                <w:sz w:val="21"/>
                <w:szCs w:val="21"/>
              </w:rPr>
              <w:t>的要求</w:t>
            </w:r>
          </w:p>
        </w:tc>
      </w:tr>
    </w:tbl>
    <w:p w14:paraId="61D5415F">
      <w:pPr>
        <w:pStyle w:val="5"/>
      </w:pPr>
      <w:bookmarkStart w:id="186" w:name="_Toc106663511"/>
      <w:r>
        <w:rPr>
          <w:rFonts w:hint="eastAsia"/>
        </w:rPr>
        <w:t>5.3.4环境风险潜势初判</w:t>
      </w:r>
      <w:bookmarkEnd w:id="186"/>
    </w:p>
    <w:p w14:paraId="4D39C4BC">
      <w:pPr>
        <w:ind w:firstLine="480"/>
      </w:pPr>
      <w:r>
        <w:rPr>
          <w:rFonts w:hint="eastAsia"/>
        </w:rPr>
        <w:t>根据《建设项目环境风险评价技术导则》（HJ169-2018）中附录C的规定：计算项目所涉及的每种危险物质在厂界内的最大存在总量与其在附录B中对应临界量的比值Q。当只涉及一种危险物质时，计算该物质的总量与其临界量的比值，即为Q。单元内存在多种危险物质，重大危险源判定按下面公式进行，若满足下面公式，则定为重大危险源：</w:t>
      </w:r>
    </w:p>
    <w:p w14:paraId="3C3D375D">
      <w:pPr>
        <w:spacing w:line="240" w:lineRule="auto"/>
        <w:ind w:firstLine="0" w:firstLineChars="0"/>
        <w:jc w:val="center"/>
      </w:pPr>
      <w:r>
        <w:rPr>
          <w:position w:val="-35"/>
        </w:rPr>
        <w:object>
          <v:shape id="_x0000_i1035" o:spt="75" type="#_x0000_t75" style="height:42.5pt;width:154pt;" o:ole="t" filled="f" o:preferrelative="t" stroked="f" coordsize="21600,21600">
            <v:path/>
            <v:fill on="f" focussize="0,0"/>
            <v:stroke on="f" joinstyle="miter"/>
            <v:imagedata r:id="rId89" o:title=""/>
            <o:lock v:ext="edit" aspectratio="t"/>
            <w10:wrap type="none"/>
            <w10:anchorlock/>
          </v:shape>
          <o:OLEObject Type="Embed" ProgID="Equation.AxMath" ShapeID="_x0000_i1035" DrawAspect="Content" ObjectID="_1468075738" r:id="rId88">
            <o:LockedField>false</o:LockedField>
          </o:OLEObject>
        </w:object>
      </w:r>
    </w:p>
    <w:p w14:paraId="1381C72D">
      <w:pPr>
        <w:ind w:firstLine="480"/>
      </w:pPr>
      <w:r>
        <w:rPr>
          <w:rFonts w:hint="eastAsia"/>
        </w:rPr>
        <w:t>式中：q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n</w:t>
      </w:r>
      <w:r>
        <w:rPr>
          <w:rFonts w:hint="eastAsia"/>
        </w:rPr>
        <w:t>——每种危险物质的最大存在总量，t；</w:t>
      </w:r>
    </w:p>
    <w:p w14:paraId="74C2BB66">
      <w:pPr>
        <w:ind w:firstLine="1200" w:firstLineChars="500"/>
        <w:jc w:val="left"/>
      </w:pPr>
      <w:r>
        <w:rPr>
          <w:rFonts w:hint="eastAsia"/>
        </w:rPr>
        <w:t>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n</w:t>
      </w:r>
      <w:r>
        <w:rPr>
          <w:rFonts w:hint="eastAsia"/>
        </w:rPr>
        <w:t>——每种危险物质的临界量，t。</w:t>
      </w:r>
    </w:p>
    <w:p w14:paraId="6D9C1EC7">
      <w:pPr>
        <w:ind w:firstLine="1200" w:firstLineChars="500"/>
        <w:jc w:val="left"/>
      </w:pPr>
      <w:r>
        <w:rPr>
          <w:rFonts w:hint="eastAsia"/>
        </w:rPr>
        <w:t>当Q≥1时，将Q值划分为：（1）1≤Q＜10；（2）10≤Q＜100；（3）Q≥100。</w:t>
      </w:r>
    </w:p>
    <w:p w14:paraId="1955B9B2">
      <w:pPr>
        <w:ind w:firstLine="480"/>
      </w:pPr>
      <w:r>
        <w:t>本项目不涉及附录B中的危险化学品，则存储量和临界量比值</w:t>
      </w:r>
      <w:r>
        <w:rPr>
          <w:rFonts w:hint="eastAsia"/>
        </w:rPr>
        <w:t>（</w:t>
      </w:r>
      <w:r>
        <w:t>Q</w:t>
      </w:r>
      <w:r>
        <w:rPr>
          <w:rFonts w:hint="eastAsia"/>
        </w:rPr>
        <w:t>）</w:t>
      </w:r>
      <w:r>
        <w:t>＜1，该项目环境风险潜势为I</w:t>
      </w:r>
      <w:r>
        <w:rPr>
          <w:rFonts w:hint="eastAsia"/>
        </w:rPr>
        <w:t>。</w:t>
      </w:r>
    </w:p>
    <w:p w14:paraId="08C1AFD1">
      <w:pPr>
        <w:pStyle w:val="5"/>
      </w:pPr>
      <w:bookmarkStart w:id="187" w:name="_Toc106663512"/>
      <w:r>
        <w:rPr>
          <w:rFonts w:hint="eastAsia"/>
        </w:rPr>
        <w:t>5.3.5环境风险评价工作等级</w:t>
      </w:r>
      <w:bookmarkEnd w:id="187"/>
    </w:p>
    <w:p w14:paraId="0982A9B7">
      <w:pPr>
        <w:ind w:firstLine="480"/>
      </w:pPr>
      <w:r>
        <w:rPr>
          <w:rFonts w:hint="eastAsia"/>
        </w:rP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5.3-2。</w:t>
      </w:r>
    </w:p>
    <w:p w14:paraId="74B57B36">
      <w:pPr>
        <w:pStyle w:val="11"/>
      </w:pPr>
      <w:r>
        <w:rPr>
          <w:rFonts w:hint="eastAsia"/>
        </w:rPr>
        <w:t>表5.3-2评价工作等级划分表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4DE6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00" w:type="pct"/>
            <w:shd w:val="clear" w:color="auto" w:fill="auto"/>
            <w:vAlign w:val="center"/>
          </w:tcPr>
          <w:p w14:paraId="7144CD7C">
            <w:pPr>
              <w:spacing w:line="240" w:lineRule="auto"/>
              <w:ind w:firstLine="0" w:firstLineChars="0"/>
              <w:jc w:val="center"/>
              <w:rPr>
                <w:kern w:val="2"/>
                <w:sz w:val="21"/>
                <w:szCs w:val="24"/>
              </w:rPr>
            </w:pPr>
            <w:r>
              <w:rPr>
                <w:rFonts w:hint="eastAsia"/>
                <w:kern w:val="2"/>
                <w:sz w:val="21"/>
                <w:szCs w:val="24"/>
              </w:rPr>
              <w:t>环境风险潜势</w:t>
            </w:r>
          </w:p>
        </w:tc>
        <w:tc>
          <w:tcPr>
            <w:tcW w:w="1000" w:type="pct"/>
            <w:shd w:val="clear" w:color="auto" w:fill="auto"/>
            <w:vAlign w:val="center"/>
          </w:tcPr>
          <w:p w14:paraId="778C0C73">
            <w:pPr>
              <w:spacing w:line="240" w:lineRule="auto"/>
              <w:ind w:firstLine="0" w:firstLineChars="0"/>
              <w:jc w:val="center"/>
              <w:rPr>
                <w:kern w:val="2"/>
                <w:sz w:val="21"/>
                <w:szCs w:val="24"/>
              </w:rPr>
            </w:pPr>
            <w:r>
              <w:rPr>
                <w:rFonts w:hint="eastAsia"/>
                <w:kern w:val="2"/>
                <w:sz w:val="21"/>
                <w:szCs w:val="24"/>
              </w:rPr>
              <w:t>Ⅳ、Ⅳ</w:t>
            </w:r>
            <w:r>
              <w:rPr>
                <w:rFonts w:hint="eastAsia"/>
                <w:kern w:val="2"/>
                <w:sz w:val="21"/>
                <w:szCs w:val="24"/>
                <w:vertAlign w:val="superscript"/>
              </w:rPr>
              <w:t>+</w:t>
            </w:r>
          </w:p>
        </w:tc>
        <w:tc>
          <w:tcPr>
            <w:tcW w:w="1000" w:type="pct"/>
            <w:shd w:val="clear" w:color="auto" w:fill="auto"/>
            <w:vAlign w:val="center"/>
          </w:tcPr>
          <w:p w14:paraId="52C6821A">
            <w:pPr>
              <w:spacing w:line="240" w:lineRule="auto"/>
              <w:ind w:firstLine="0" w:firstLineChars="0"/>
              <w:jc w:val="center"/>
              <w:rPr>
                <w:kern w:val="2"/>
                <w:sz w:val="21"/>
                <w:szCs w:val="24"/>
              </w:rPr>
            </w:pPr>
            <w:r>
              <w:rPr>
                <w:rFonts w:hint="eastAsia"/>
                <w:kern w:val="2"/>
                <w:sz w:val="21"/>
                <w:szCs w:val="24"/>
              </w:rPr>
              <w:t>Ⅲ</w:t>
            </w:r>
          </w:p>
        </w:tc>
        <w:tc>
          <w:tcPr>
            <w:tcW w:w="1000" w:type="pct"/>
            <w:shd w:val="clear" w:color="auto" w:fill="auto"/>
            <w:vAlign w:val="center"/>
          </w:tcPr>
          <w:p w14:paraId="2479EFB2">
            <w:pPr>
              <w:spacing w:line="240" w:lineRule="auto"/>
              <w:ind w:firstLine="0" w:firstLineChars="0"/>
              <w:jc w:val="center"/>
              <w:rPr>
                <w:kern w:val="2"/>
                <w:sz w:val="21"/>
                <w:szCs w:val="24"/>
              </w:rPr>
            </w:pPr>
            <w:r>
              <w:rPr>
                <w:rFonts w:hint="eastAsia"/>
                <w:kern w:val="2"/>
                <w:sz w:val="21"/>
                <w:szCs w:val="24"/>
              </w:rPr>
              <w:t>Ⅱ</w:t>
            </w:r>
          </w:p>
        </w:tc>
        <w:tc>
          <w:tcPr>
            <w:tcW w:w="1001" w:type="pct"/>
            <w:shd w:val="clear" w:color="auto" w:fill="auto"/>
            <w:vAlign w:val="center"/>
          </w:tcPr>
          <w:p w14:paraId="74ED47BE">
            <w:pPr>
              <w:spacing w:line="240" w:lineRule="auto"/>
              <w:ind w:firstLine="0" w:firstLineChars="0"/>
              <w:jc w:val="center"/>
              <w:rPr>
                <w:kern w:val="2"/>
                <w:sz w:val="21"/>
                <w:szCs w:val="24"/>
              </w:rPr>
            </w:pPr>
            <w:r>
              <w:rPr>
                <w:rFonts w:hint="eastAsia"/>
                <w:kern w:val="2"/>
                <w:sz w:val="21"/>
                <w:szCs w:val="24"/>
              </w:rPr>
              <w:t>Ⅰ</w:t>
            </w:r>
          </w:p>
        </w:tc>
      </w:tr>
      <w:tr w14:paraId="646A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00" w:type="pct"/>
            <w:shd w:val="clear" w:color="auto" w:fill="auto"/>
            <w:vAlign w:val="center"/>
          </w:tcPr>
          <w:p w14:paraId="14530826">
            <w:pPr>
              <w:spacing w:line="240" w:lineRule="auto"/>
              <w:ind w:firstLine="0" w:firstLineChars="0"/>
              <w:jc w:val="center"/>
              <w:rPr>
                <w:kern w:val="2"/>
                <w:sz w:val="21"/>
                <w:szCs w:val="24"/>
              </w:rPr>
            </w:pPr>
            <w:r>
              <w:rPr>
                <w:rFonts w:hint="eastAsia"/>
                <w:kern w:val="2"/>
                <w:sz w:val="21"/>
                <w:szCs w:val="24"/>
              </w:rPr>
              <w:t>评价工作等级</w:t>
            </w:r>
          </w:p>
        </w:tc>
        <w:tc>
          <w:tcPr>
            <w:tcW w:w="1000" w:type="pct"/>
            <w:shd w:val="clear" w:color="auto" w:fill="auto"/>
            <w:vAlign w:val="center"/>
          </w:tcPr>
          <w:p w14:paraId="506C62EF">
            <w:pPr>
              <w:spacing w:line="240" w:lineRule="auto"/>
              <w:ind w:firstLine="0" w:firstLineChars="0"/>
              <w:jc w:val="center"/>
              <w:rPr>
                <w:kern w:val="2"/>
                <w:sz w:val="21"/>
                <w:szCs w:val="24"/>
              </w:rPr>
            </w:pPr>
            <w:r>
              <w:rPr>
                <w:rFonts w:hint="eastAsia"/>
                <w:kern w:val="2"/>
                <w:sz w:val="21"/>
                <w:szCs w:val="24"/>
              </w:rPr>
              <w:t>一</w:t>
            </w:r>
          </w:p>
        </w:tc>
        <w:tc>
          <w:tcPr>
            <w:tcW w:w="1000" w:type="pct"/>
            <w:shd w:val="clear" w:color="auto" w:fill="auto"/>
            <w:vAlign w:val="center"/>
          </w:tcPr>
          <w:p w14:paraId="691C4F73">
            <w:pPr>
              <w:spacing w:line="240" w:lineRule="auto"/>
              <w:ind w:firstLine="0" w:firstLineChars="0"/>
              <w:jc w:val="center"/>
              <w:rPr>
                <w:kern w:val="2"/>
                <w:sz w:val="21"/>
                <w:szCs w:val="24"/>
              </w:rPr>
            </w:pPr>
            <w:r>
              <w:rPr>
                <w:rFonts w:hint="eastAsia"/>
                <w:kern w:val="2"/>
                <w:sz w:val="21"/>
                <w:szCs w:val="24"/>
              </w:rPr>
              <w:t>二</w:t>
            </w:r>
          </w:p>
        </w:tc>
        <w:tc>
          <w:tcPr>
            <w:tcW w:w="1000" w:type="pct"/>
            <w:shd w:val="clear" w:color="auto" w:fill="auto"/>
            <w:vAlign w:val="center"/>
          </w:tcPr>
          <w:p w14:paraId="7E20ECCE">
            <w:pPr>
              <w:spacing w:line="240" w:lineRule="auto"/>
              <w:ind w:firstLine="0" w:firstLineChars="0"/>
              <w:jc w:val="center"/>
              <w:rPr>
                <w:kern w:val="2"/>
                <w:sz w:val="21"/>
                <w:szCs w:val="24"/>
              </w:rPr>
            </w:pPr>
            <w:r>
              <w:rPr>
                <w:rFonts w:hint="eastAsia"/>
                <w:kern w:val="2"/>
                <w:sz w:val="21"/>
                <w:szCs w:val="24"/>
              </w:rPr>
              <w:t>三</w:t>
            </w:r>
          </w:p>
        </w:tc>
        <w:tc>
          <w:tcPr>
            <w:tcW w:w="1001" w:type="pct"/>
            <w:shd w:val="clear" w:color="auto" w:fill="auto"/>
            <w:vAlign w:val="center"/>
          </w:tcPr>
          <w:p w14:paraId="5029889B">
            <w:pPr>
              <w:spacing w:line="240" w:lineRule="auto"/>
              <w:ind w:firstLine="0" w:firstLineChars="0"/>
              <w:jc w:val="center"/>
              <w:rPr>
                <w:kern w:val="2"/>
                <w:sz w:val="21"/>
                <w:szCs w:val="24"/>
              </w:rPr>
            </w:pPr>
            <w:r>
              <w:rPr>
                <w:rFonts w:hint="eastAsia"/>
                <w:kern w:val="2"/>
                <w:sz w:val="21"/>
                <w:szCs w:val="24"/>
              </w:rPr>
              <w:t>简单分析</w:t>
            </w:r>
            <w:r>
              <w:rPr>
                <w:rFonts w:hint="eastAsia"/>
                <w:kern w:val="2"/>
                <w:sz w:val="21"/>
                <w:szCs w:val="24"/>
                <w:vertAlign w:val="superscript"/>
              </w:rPr>
              <w:t>a</w:t>
            </w:r>
          </w:p>
        </w:tc>
      </w:tr>
      <w:tr w14:paraId="6C4C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5"/>
            <w:shd w:val="clear" w:color="auto" w:fill="auto"/>
            <w:vAlign w:val="center"/>
          </w:tcPr>
          <w:p w14:paraId="64C4C87E">
            <w:pPr>
              <w:spacing w:line="240" w:lineRule="auto"/>
              <w:ind w:firstLine="0" w:firstLineChars="0"/>
              <w:rPr>
                <w:kern w:val="2"/>
                <w:sz w:val="21"/>
                <w:szCs w:val="24"/>
              </w:rPr>
            </w:pPr>
            <w:r>
              <w:rPr>
                <w:rFonts w:hint="eastAsia"/>
                <w:kern w:val="2"/>
                <w:sz w:val="21"/>
                <w:szCs w:val="24"/>
              </w:rPr>
              <w:t>a是相对于详细评价工作内容而言，在描述危险物质、环境影响途径、环境危害后果、风险防范措施等方面给出定性的说明。</w:t>
            </w:r>
          </w:p>
        </w:tc>
      </w:tr>
    </w:tbl>
    <w:p w14:paraId="4AAA434B">
      <w:pPr>
        <w:ind w:firstLine="480"/>
      </w:pPr>
      <w:r>
        <w:rPr>
          <w:rFonts w:hint="eastAsia"/>
        </w:rPr>
        <w:t>根据《建设项目环境风险评价技术导则》（HJ169-2018）中的规定，项目未构成重大危险源，项目环境风险潜势为Ⅰ级，因此确定本项目的环境风险评价等级为简单分析。</w:t>
      </w:r>
    </w:p>
    <w:p w14:paraId="00E461CD">
      <w:pPr>
        <w:pStyle w:val="5"/>
      </w:pPr>
      <w:bookmarkStart w:id="188" w:name="_Toc106663513"/>
      <w:r>
        <w:rPr>
          <w:rFonts w:hint="eastAsia"/>
        </w:rPr>
        <w:t>5.3.6环境风险识别</w:t>
      </w:r>
      <w:bookmarkEnd w:id="188"/>
    </w:p>
    <w:p w14:paraId="5488A8DF">
      <w:pPr>
        <w:pStyle w:val="6"/>
        <w:ind w:firstLine="482"/>
      </w:pPr>
      <w:r>
        <w:rPr>
          <w:rFonts w:hint="eastAsia"/>
        </w:rPr>
        <w:t>5.3.6.1物质危险性识别</w:t>
      </w:r>
    </w:p>
    <w:p w14:paraId="19C36415">
      <w:pPr>
        <w:ind w:firstLine="480"/>
      </w:pPr>
      <w:r>
        <w:rPr>
          <w:rFonts w:hint="eastAsia"/>
        </w:rPr>
        <w:t>本项目环境风险主要来自骆驼饲养过程中的骆驼尸体、疾病疫情、管网泄露、医疗废物污染事故等。</w:t>
      </w:r>
    </w:p>
    <w:p w14:paraId="77E33C3D">
      <w:pPr>
        <w:ind w:firstLine="480"/>
      </w:pPr>
      <w:r>
        <w:rPr>
          <w:rFonts w:hint="eastAsia"/>
        </w:rPr>
        <w:t>1、骆驼尸体</w:t>
      </w:r>
    </w:p>
    <w:p w14:paraId="638ADC5B">
      <w:pPr>
        <w:ind w:firstLine="480"/>
      </w:pPr>
      <w:r>
        <w:rPr>
          <w:rFonts w:hint="eastAsia"/>
        </w:rPr>
        <w:t>根据基本调查，骆驼尸体携带有一定量病菌，如不加以处理会使病菌得以传播，对周围环境有一定的影响。因此，必须对其进行无害化处理，防止疾病传播。</w:t>
      </w:r>
    </w:p>
    <w:p w14:paraId="613473FC">
      <w:pPr>
        <w:ind w:firstLine="480"/>
      </w:pPr>
      <w:r>
        <w:rPr>
          <w:rFonts w:hint="eastAsia"/>
        </w:rPr>
        <w:t>2、疾病疫情</w:t>
      </w:r>
    </w:p>
    <w:p w14:paraId="34527E16">
      <w:pPr>
        <w:ind w:firstLine="480"/>
      </w:pPr>
      <w:r>
        <w:rPr>
          <w:rFonts w:hint="eastAsia"/>
        </w:rPr>
        <w:t>养殖场如管理不善，会诱发常见疾病，如高致病性禽流感等，而且传播很快，造成大量骆驼死亡。</w:t>
      </w:r>
    </w:p>
    <w:p w14:paraId="5BBBEF47">
      <w:pPr>
        <w:ind w:firstLine="480"/>
      </w:pPr>
      <w:r>
        <w:rPr>
          <w:rFonts w:hint="eastAsia"/>
        </w:rPr>
        <w:t>3、管网和防渗化粪池泄露</w:t>
      </w:r>
    </w:p>
    <w:p w14:paraId="53D7561A">
      <w:pPr>
        <w:ind w:firstLine="480"/>
      </w:pPr>
      <w:r>
        <w:rPr>
          <w:rFonts w:hint="eastAsia"/>
        </w:rPr>
        <w:t>本项目排水管网运营期污水集输和防渗化粪池暂存的过程中，以污水泄漏为主要表征，存在着管道和暂存池的腐蚀、地质灾害、洪水冲刷等一系列污染环境、危害工程安全的事故风险。这些事故风险的潜在因素主要包括操作、设备缺陷、设计及施工、自然灾害等，可大致上分为两个方面，即人为风险因素和自然风险因素。</w:t>
      </w:r>
    </w:p>
    <w:p w14:paraId="070EFF16">
      <w:pPr>
        <w:ind w:firstLine="480"/>
      </w:pPr>
      <w:r>
        <w:rPr>
          <w:rFonts w:hint="eastAsia"/>
        </w:rPr>
        <w:t>（1）人为风险因素</w:t>
      </w:r>
    </w:p>
    <w:p w14:paraId="655CA816">
      <w:pPr>
        <w:ind w:firstLine="480"/>
      </w:pPr>
      <w:r>
        <w:rPr>
          <w:rFonts w:hint="eastAsia"/>
        </w:rPr>
        <w:t>人为风险因素的事故风险主要由于设备、施工质量问题、操作失误和人为蓄意破坏三种情况。分析如下：</w:t>
      </w:r>
    </w:p>
    <w:p w14:paraId="2EA93D91">
      <w:pPr>
        <w:ind w:firstLine="480"/>
      </w:pPr>
      <w:r>
        <w:rPr>
          <w:rFonts w:hint="eastAsia"/>
        </w:rPr>
        <w:t>设备、施工质量问题：</w:t>
      </w:r>
    </w:p>
    <w:p w14:paraId="2DABBAE5">
      <w:pPr>
        <w:ind w:firstLine="480"/>
      </w:pPr>
      <w:r>
        <w:rPr>
          <w:rFonts w:hint="eastAsia"/>
        </w:rPr>
        <w:t>①因选材错误而引起的设备、管线腐蚀、侵蚀；</w:t>
      </w:r>
    </w:p>
    <w:p w14:paraId="302DA727">
      <w:pPr>
        <w:ind w:firstLine="480"/>
      </w:pPr>
      <w:r>
        <w:rPr>
          <w:rFonts w:hint="eastAsia"/>
        </w:rPr>
        <w:t>②未对防渗化粪池进行充分的检查或漏检；</w:t>
      </w:r>
    </w:p>
    <w:p w14:paraId="62725357">
      <w:pPr>
        <w:ind w:firstLine="480"/>
      </w:pPr>
      <w:r>
        <w:rPr>
          <w:rFonts w:hint="eastAsia"/>
        </w:rPr>
        <w:t>③管线焊接不严，检测有误，造成泄漏；</w:t>
      </w:r>
    </w:p>
    <w:p w14:paraId="56F41815">
      <w:pPr>
        <w:ind w:firstLine="480"/>
      </w:pPr>
      <w:r>
        <w:rPr>
          <w:rFonts w:hint="eastAsia"/>
        </w:rPr>
        <w:t>④设备故障、机械失灵、老化造成的泄漏；</w:t>
      </w:r>
    </w:p>
    <w:p w14:paraId="6D4CB18C">
      <w:pPr>
        <w:ind w:firstLine="480"/>
      </w:pPr>
      <w:r>
        <w:rPr>
          <w:rFonts w:hint="eastAsia"/>
        </w:rPr>
        <w:t>⑤管道防腐涂层质量差，造成管道腐蚀；</w:t>
      </w:r>
    </w:p>
    <w:p w14:paraId="3244327C">
      <w:pPr>
        <w:ind w:firstLine="480"/>
      </w:pPr>
      <w:r>
        <w:rPr>
          <w:rFonts w:hint="eastAsia"/>
        </w:rPr>
        <w:t>⑥管材或连接缺陷，造成管道断裂、泄漏；</w:t>
      </w:r>
    </w:p>
    <w:p w14:paraId="7D5184CD">
      <w:pPr>
        <w:ind w:firstLine="480"/>
      </w:pPr>
      <w:r>
        <w:rPr>
          <w:rFonts w:hint="eastAsia"/>
        </w:rPr>
        <w:t>⑦在管道近旁或上方进行其他生产活动时的挖掘造成管道破裂；</w:t>
      </w:r>
    </w:p>
    <w:p w14:paraId="3B60B0CC">
      <w:pPr>
        <w:ind w:firstLine="480"/>
      </w:pPr>
      <w:r>
        <w:rPr>
          <w:rFonts w:hint="eastAsia"/>
        </w:rPr>
        <w:t>操作失误：</w:t>
      </w:r>
    </w:p>
    <w:p w14:paraId="076B538F">
      <w:pPr>
        <w:ind w:firstLine="480"/>
      </w:pPr>
      <w:r>
        <w:rPr>
          <w:rFonts w:hint="eastAsia"/>
        </w:rPr>
        <w:t>①操作人员没有培训上岗作业，不了解生产工艺流程，不熟悉岗位操作规程，不懂设备性能，盲目操作，遇到情况判断不准而操作失误，引发局部超压等造成的风险事故；</w:t>
      </w:r>
    </w:p>
    <w:p w14:paraId="3B71596F">
      <w:pPr>
        <w:ind w:firstLine="480"/>
      </w:pPr>
      <w:r>
        <w:rPr>
          <w:rFonts w:hint="eastAsia"/>
        </w:rPr>
        <w:t>②动力故障引发的事故，如停电造成的阀门无法关闭、通讯线路中断无法传递控制指令等导致事故发生；</w:t>
      </w:r>
    </w:p>
    <w:p w14:paraId="0680D1EB">
      <w:pPr>
        <w:ind w:firstLine="480"/>
      </w:pPr>
      <w:r>
        <w:rPr>
          <w:rFonts w:hint="eastAsia"/>
        </w:rPr>
        <w:t>③其他选线不当或设计有误导致的事故风险；</w:t>
      </w:r>
    </w:p>
    <w:p w14:paraId="1701C8A4">
      <w:pPr>
        <w:ind w:firstLine="480"/>
      </w:pPr>
      <w:r>
        <w:rPr>
          <w:rFonts w:hint="eastAsia"/>
        </w:rPr>
        <w:t>④对工作重视不够，责任心不强，操作中麻痹大意，擅离职守等造成的事故；</w:t>
      </w:r>
    </w:p>
    <w:p w14:paraId="3A7AEBC2">
      <w:pPr>
        <w:ind w:firstLine="480"/>
      </w:pPr>
      <w:r>
        <w:rPr>
          <w:rFonts w:hint="eastAsia"/>
        </w:rPr>
        <w:t>⑤管理不够健全，没有完善的检查、监督、复核手续，没有切合实际的操作规程，故障不能得到及时处理而引发事故。</w:t>
      </w:r>
    </w:p>
    <w:p w14:paraId="18B34373">
      <w:pPr>
        <w:ind w:firstLine="480"/>
      </w:pPr>
      <w:r>
        <w:rPr>
          <w:rFonts w:hint="eastAsia"/>
        </w:rPr>
        <w:t>（2）人为破坏</w:t>
      </w:r>
    </w:p>
    <w:p w14:paraId="302F61AE">
      <w:pPr>
        <w:ind w:firstLine="480"/>
      </w:pPr>
      <w:r>
        <w:rPr>
          <w:rFonts w:hint="eastAsia"/>
        </w:rPr>
        <w:t>人为蓄意破坏造成的事故，在管道上钻孔、盗窃管道附属设施的部件等，均可引起管道破坏、污水外泄，造成比较严重的直接危害和继发危害。</w:t>
      </w:r>
    </w:p>
    <w:p w14:paraId="24C30DF4">
      <w:pPr>
        <w:ind w:firstLine="480"/>
      </w:pPr>
      <w:r>
        <w:rPr>
          <w:rFonts w:hint="eastAsia"/>
        </w:rPr>
        <w:t>（二）自然风险因素</w:t>
      </w:r>
    </w:p>
    <w:p w14:paraId="69FB16E4">
      <w:pPr>
        <w:ind w:firstLine="480"/>
      </w:pPr>
      <w:r>
        <w:rPr>
          <w:rFonts w:hint="eastAsia"/>
        </w:rPr>
        <w:t>自然风险因素主要有暴雨、洪水、地震等。结合管线经过地区和防渗化粪池所在位置的自然环境、社会环境，对本项目的事故风险因素分析如下：</w:t>
      </w:r>
    </w:p>
    <w:p w14:paraId="60AA0D15">
      <w:pPr>
        <w:ind w:firstLine="480"/>
      </w:pPr>
      <w:r>
        <w:rPr>
          <w:rFonts w:hint="eastAsia"/>
        </w:rPr>
        <w:t>（1）地震</w:t>
      </w:r>
    </w:p>
    <w:p w14:paraId="76C4B9D0">
      <w:pPr>
        <w:ind w:firstLine="480"/>
      </w:pPr>
      <w:r>
        <w:rPr>
          <w:rFonts w:hint="eastAsia"/>
        </w:rPr>
        <w:t>地震对建构筑物的破坏作用明显，作用范围大，进而威胁设备和人员安全。</w:t>
      </w:r>
    </w:p>
    <w:p w14:paraId="741962EF">
      <w:pPr>
        <w:ind w:firstLine="480"/>
      </w:pPr>
      <w:r>
        <w:rPr>
          <w:rFonts w:hint="eastAsia"/>
        </w:rPr>
        <w:t>本工程主要处于地震烈度为7度区域，经强度计算校核，本项目输水管道和防渗化粪池具有抗地震波引起的拉伸和压缩能力，不会因地震波引起破坏。</w:t>
      </w:r>
    </w:p>
    <w:p w14:paraId="0CF56D21">
      <w:pPr>
        <w:ind w:firstLine="480"/>
      </w:pPr>
      <w:r>
        <w:rPr>
          <w:rFonts w:hint="eastAsia"/>
        </w:rPr>
        <w:t>（2）洪水</w:t>
      </w:r>
    </w:p>
    <w:p w14:paraId="3E6839AB">
      <w:pPr>
        <w:ind w:firstLine="480"/>
      </w:pPr>
      <w:r>
        <w:rPr>
          <w:rFonts w:hint="eastAsia"/>
        </w:rPr>
        <w:t>项目区域年降水量150mm，夏季降水量最大，洪水冲刷形成的侵蚀，很可能使管线暴露，易导致断裂。随地势趋缓洪水冲刷能力有所减缓，常常形成巨大的径流向低处集中，在局部低地形成侵蚀沟，仍可能造成管线和防渗化粪池暴露，易导致断裂和破裂。管线断裂穿孔和防渗化粪池破裂事故发生在洪水期间，将可能使污染迅速蔓延和扩大。</w:t>
      </w:r>
    </w:p>
    <w:p w14:paraId="3F79352E">
      <w:pPr>
        <w:ind w:firstLine="480"/>
      </w:pPr>
      <w:r>
        <w:rPr>
          <w:rFonts w:hint="eastAsia"/>
        </w:rPr>
        <w:t>4、医疗废物污染事故</w:t>
      </w:r>
    </w:p>
    <w:p w14:paraId="27F9FA4F">
      <w:pPr>
        <w:ind w:firstLine="480"/>
      </w:pPr>
      <w:r>
        <w:rPr>
          <w:rFonts w:hint="eastAsia"/>
        </w:rPr>
        <w:t>医疗废物若包装不严密或随意堆放则可产生大面积的污染，对环境产生不可挽回的影响。本项目医疗废物是指治疗过程中产生少量废弃药品、废针管等。据国家卫生部门的医疗检测报告表明，医疗垃圾可能受到各种病菌的污染。此外，垃圾中的有机物不仅滋生蚊蝇，造成疾病的传播，并且在腐败分解时生成多种有害物质将污染大气、危害人体健康。因此医疗垃圾具有空间污染、急性传染和潜伏性污染等特征，其病毒、病菌的危害性是普通生活垃圾的几十、几百甚至上千倍，如果处理不当，将造成水体、大气、土壤的污染及对人体的直接危害，甚至成为疫病流行的源头。医疗垃圾的随意堆放会污染大气环境，随意填埋会污染地下水源，随意焚烧会产生强烈的致癌物质二噁英。</w:t>
      </w:r>
    </w:p>
    <w:p w14:paraId="3C045EF3">
      <w:pPr>
        <w:pStyle w:val="5"/>
      </w:pPr>
      <w:bookmarkStart w:id="189" w:name="_Toc106663514"/>
      <w:r>
        <w:rPr>
          <w:rFonts w:hint="eastAsia"/>
        </w:rPr>
        <w:t>5.3.7环境风险防范措施及应急要求</w:t>
      </w:r>
      <w:bookmarkEnd w:id="189"/>
    </w:p>
    <w:p w14:paraId="0EBB573D">
      <w:pPr>
        <w:ind w:firstLine="480"/>
      </w:pPr>
      <w:r>
        <w:t>1、</w:t>
      </w:r>
      <w:r>
        <w:rPr>
          <w:rFonts w:hint="eastAsia"/>
        </w:rPr>
        <w:t>骆驼尸体</w:t>
      </w:r>
      <w:r>
        <w:t>处置措施</w:t>
      </w:r>
    </w:p>
    <w:p w14:paraId="440E7329">
      <w:pPr>
        <w:ind w:firstLine="480"/>
      </w:pPr>
      <w:r>
        <w:rPr>
          <w:rFonts w:hint="eastAsia"/>
        </w:rPr>
        <w:t>（</w:t>
      </w:r>
      <w:r>
        <w:t>1</w:t>
      </w:r>
      <w:r>
        <w:rPr>
          <w:rFonts w:hint="eastAsia"/>
        </w:rPr>
        <w:t>）</w:t>
      </w:r>
      <w:r>
        <w:t>养殖场应定期检查</w:t>
      </w:r>
      <w:r>
        <w:rPr>
          <w:rFonts w:hint="eastAsia"/>
        </w:rPr>
        <w:t>骆驼</w:t>
      </w:r>
      <w:r>
        <w:t>的健康状况，做到及时发现、及时隔离、及时救治，严格控制疾病大面积传播</w:t>
      </w:r>
      <w:r>
        <w:rPr>
          <w:rFonts w:hint="eastAsia"/>
        </w:rPr>
        <w:t>。</w:t>
      </w:r>
    </w:p>
    <w:p w14:paraId="7964C7FA">
      <w:pPr>
        <w:ind w:firstLine="480"/>
      </w:pPr>
      <w:r>
        <w:rPr>
          <w:rFonts w:hint="eastAsia"/>
        </w:rPr>
        <w:t>（</w:t>
      </w:r>
      <w:r>
        <w:t>2</w:t>
      </w:r>
      <w:r>
        <w:rPr>
          <w:rFonts w:hint="eastAsia"/>
        </w:rPr>
        <w:t>）</w:t>
      </w:r>
      <w:r>
        <w:t>死</w:t>
      </w:r>
      <w:r>
        <w:rPr>
          <w:rFonts w:hint="eastAsia"/>
        </w:rPr>
        <w:t>骆驼尸体</w:t>
      </w:r>
      <w:r>
        <w:t>要及时处理，首先要进行严格的尸体检验，如果是因中毒或者是因病而死，</w:t>
      </w:r>
      <w:r>
        <w:rPr>
          <w:rFonts w:hint="eastAsia"/>
        </w:rPr>
        <w:t>骆驼尸体</w:t>
      </w:r>
      <w:r>
        <w:t>则要严格按照防疫条例进行无害化处理后，本项目</w:t>
      </w:r>
      <w:r>
        <w:rPr>
          <w:rFonts w:hint="eastAsia"/>
        </w:rPr>
        <w:t>尸体由</w:t>
      </w:r>
      <w:bookmarkStart w:id="190" w:name="_Hlk185590294"/>
      <w:r>
        <w:rPr>
          <w:rFonts w:hint="eastAsia"/>
        </w:rPr>
        <w:t>雀仁乡农牧业发展服务中心统一处置</w:t>
      </w:r>
      <w:bookmarkEnd w:id="190"/>
      <w:r>
        <w:rPr>
          <w:rFonts w:hint="eastAsia"/>
        </w:rPr>
        <w:t>。</w:t>
      </w:r>
    </w:p>
    <w:p w14:paraId="2A58CB17">
      <w:pPr>
        <w:ind w:firstLine="480"/>
      </w:pPr>
      <w:r>
        <w:t>2、疫情防疫</w:t>
      </w:r>
    </w:p>
    <w:p w14:paraId="2B740234">
      <w:pPr>
        <w:ind w:firstLine="480"/>
      </w:pPr>
      <w:r>
        <w:rPr>
          <w:rFonts w:hint="eastAsia"/>
        </w:rPr>
        <w:t>（</w:t>
      </w:r>
      <w:r>
        <w:t>1</w:t>
      </w:r>
      <w:r>
        <w:rPr>
          <w:rFonts w:hint="eastAsia"/>
        </w:rPr>
        <w:t>）</w:t>
      </w:r>
      <w:r>
        <w:t>疫情风险防范措施</w:t>
      </w:r>
    </w:p>
    <w:p w14:paraId="1C855E5C">
      <w:pPr>
        <w:ind w:firstLine="480"/>
      </w:pPr>
      <w:r>
        <w:t>卫生防疫是规模化养殖场成败的关键，必须严格按照《中华人民共和国动物防疫法》的要求，做到</w:t>
      </w:r>
      <w:r>
        <w:rPr>
          <w:rFonts w:hint="eastAsia"/>
        </w:rPr>
        <w:t>”</w:t>
      </w:r>
      <w:r>
        <w:t>以防为主，防治结合，制度健全，责任到人</w:t>
      </w:r>
      <w:r>
        <w:rPr>
          <w:rFonts w:hint="eastAsia"/>
        </w:rPr>
        <w:t>”。</w:t>
      </w:r>
    </w:p>
    <w:p w14:paraId="43819E41">
      <w:pPr>
        <w:ind w:firstLine="480"/>
      </w:pPr>
      <w:r>
        <w:t>1</w:t>
      </w:r>
      <w:r>
        <w:rPr>
          <w:rFonts w:hint="eastAsia"/>
        </w:rPr>
        <w:t>）</w:t>
      </w:r>
      <w:r>
        <w:t>消毒制度</w:t>
      </w:r>
    </w:p>
    <w:p w14:paraId="5EA0EB3E">
      <w:pPr>
        <w:ind w:firstLine="480"/>
      </w:pPr>
      <w:r>
        <w:t>凡进入饲养场的人和车辆等都需要经过消毒</w:t>
      </w:r>
      <w:r>
        <w:rPr>
          <w:rFonts w:hint="eastAsia"/>
        </w:rPr>
        <w:t>。</w:t>
      </w:r>
      <w:r>
        <w:t>凡是进入饲养场的工作人员，一律更换工作服、工作鞋，并经紫外线照射5分钟进行消毒</w:t>
      </w:r>
      <w:r>
        <w:rPr>
          <w:rFonts w:hint="eastAsia"/>
        </w:rPr>
        <w:t>。</w:t>
      </w:r>
      <w:r>
        <w:t>外来人员必须进入生产区时，也应按照上述方法消毒，在场区管理人员的带领下，按照指定路线行走</w:t>
      </w:r>
      <w:r>
        <w:rPr>
          <w:rFonts w:hint="eastAsia"/>
        </w:rPr>
        <w:t>。</w:t>
      </w:r>
    </w:p>
    <w:p w14:paraId="5E6D9C3D">
      <w:pPr>
        <w:ind w:firstLine="480"/>
      </w:pPr>
      <w:r>
        <w:t>2</w:t>
      </w:r>
      <w:r>
        <w:rPr>
          <w:rFonts w:hint="eastAsia"/>
        </w:rPr>
        <w:t>）</w:t>
      </w:r>
      <w:r>
        <w:t>加强饲养管理，增强畜禽抵抗力</w:t>
      </w:r>
    </w:p>
    <w:p w14:paraId="2E0FAD86">
      <w:pPr>
        <w:ind w:firstLine="480"/>
      </w:pPr>
      <w:r>
        <w:t>①要按照畜禽的品种、年龄、体重、强弱等进行合理分群饲养</w:t>
      </w:r>
      <w:r>
        <w:rPr>
          <w:rFonts w:hint="eastAsia"/>
        </w:rPr>
        <w:t>。</w:t>
      </w:r>
      <w:r>
        <w:t>根据各类畜禽的营养需要、饲养标准，确定适宜的饲粮和饲喂方法</w:t>
      </w:r>
      <w:r>
        <w:rPr>
          <w:rFonts w:hint="eastAsia"/>
        </w:rPr>
        <w:t>。</w:t>
      </w:r>
    </w:p>
    <w:p w14:paraId="2A80AD98">
      <w:pPr>
        <w:ind w:firstLine="480"/>
      </w:pPr>
      <w:r>
        <w:t>②保证圈舍清洁舒适，通风良好</w:t>
      </w:r>
      <w:r>
        <w:rPr>
          <w:rFonts w:hint="eastAsia"/>
        </w:rPr>
        <w:t>。</w:t>
      </w:r>
    </w:p>
    <w:p w14:paraId="259077BD">
      <w:pPr>
        <w:ind w:firstLine="480"/>
      </w:pPr>
      <w:r>
        <w:rPr>
          <w:rFonts w:hint="eastAsia"/>
        </w:rPr>
        <w:t>（</w:t>
      </w:r>
      <w:r>
        <w:t>2</w:t>
      </w:r>
      <w:r>
        <w:rPr>
          <w:rFonts w:hint="eastAsia"/>
        </w:rPr>
        <w:t>）</w:t>
      </w:r>
      <w:r>
        <w:t>有计划地进行药物预防</w:t>
      </w:r>
    </w:p>
    <w:p w14:paraId="324E4722">
      <w:pPr>
        <w:ind w:firstLine="480"/>
      </w:pPr>
      <w:r>
        <w:t>为了提高</w:t>
      </w:r>
      <w:r>
        <w:rPr>
          <w:rFonts w:hint="eastAsia"/>
        </w:rPr>
        <w:t>骆驼</w:t>
      </w:r>
      <w:r>
        <w:t>的成活率，除加强饲养管理、及时免疫外，必要时还要辅以药物预防</w:t>
      </w:r>
      <w:r>
        <w:rPr>
          <w:rFonts w:hint="eastAsia"/>
        </w:rPr>
        <w:t>。</w:t>
      </w:r>
      <w:r>
        <w:t>目前最常用的是抗菌素类饲料添加剂</w:t>
      </w:r>
      <w:r>
        <w:rPr>
          <w:rFonts w:hint="eastAsia"/>
        </w:rPr>
        <w:t>。</w:t>
      </w:r>
    </w:p>
    <w:p w14:paraId="000BA30B">
      <w:pPr>
        <w:ind w:firstLine="480"/>
      </w:pPr>
      <w:r>
        <w:rPr>
          <w:rFonts w:hint="eastAsia"/>
        </w:rPr>
        <w:t>（</w:t>
      </w:r>
      <w:r>
        <w:t>3</w:t>
      </w:r>
      <w:r>
        <w:rPr>
          <w:rFonts w:hint="eastAsia"/>
        </w:rPr>
        <w:t>）</w:t>
      </w:r>
      <w:r>
        <w:t>发现传染病的紧急处理</w:t>
      </w:r>
    </w:p>
    <w:p w14:paraId="597A9F9B">
      <w:pPr>
        <w:ind w:firstLine="480"/>
      </w:pPr>
      <w:r>
        <w:t>对于传染病，尤其急性烈性传染病如禽流感等，发现早，诊断及时准确，又能迅速采取针对性措施，便可有效地制止传染病的蔓延</w:t>
      </w:r>
      <w:r>
        <w:rPr>
          <w:rFonts w:hint="eastAsia"/>
        </w:rPr>
        <w:t>。</w:t>
      </w:r>
    </w:p>
    <w:p w14:paraId="5049E981">
      <w:pPr>
        <w:ind w:firstLine="480"/>
      </w:pPr>
      <w:r>
        <w:t>生物安全措施包括的内容很多，严格地说生物安全措施就是为防止一切传染病源进入</w:t>
      </w:r>
      <w:r>
        <w:rPr>
          <w:rFonts w:hint="eastAsia"/>
        </w:rPr>
        <w:t>养殖场</w:t>
      </w:r>
      <w:r>
        <w:t>而采取的措施，叫作生物安全措施</w:t>
      </w:r>
      <w:r>
        <w:rPr>
          <w:rFonts w:hint="eastAsia"/>
        </w:rPr>
        <w:t>。</w:t>
      </w:r>
      <w:r>
        <w:t>通常是</w:t>
      </w:r>
      <w:r>
        <w:rPr>
          <w:rFonts w:hint="eastAsia"/>
        </w:rPr>
        <w:t>”</w:t>
      </w:r>
      <w:r>
        <w:t>一隔二养三免疫</w:t>
      </w:r>
      <w:r>
        <w:rPr>
          <w:rFonts w:hint="eastAsia"/>
        </w:rPr>
        <w:t>”。</w:t>
      </w:r>
    </w:p>
    <w:p w14:paraId="3E8FEC6E">
      <w:pPr>
        <w:ind w:firstLine="480"/>
      </w:pPr>
      <w:r>
        <w:t>一隔就是要做好隔离，一旦发生传染病，将</w:t>
      </w:r>
      <w:r>
        <w:rPr>
          <w:rFonts w:hint="eastAsia"/>
        </w:rPr>
        <w:t>病骆驼</w:t>
      </w:r>
      <w:r>
        <w:t>与</w:t>
      </w:r>
      <w:r>
        <w:rPr>
          <w:rFonts w:hint="eastAsia"/>
        </w:rPr>
        <w:t>健康骆驼</w:t>
      </w:r>
      <w:r>
        <w:t>隔离开来，将疫情控制在最小范围内；二养就是进行科学化的养殖，要千方百计地为</w:t>
      </w:r>
      <w:r>
        <w:rPr>
          <w:rFonts w:hint="eastAsia"/>
        </w:rPr>
        <w:t>骆驼</w:t>
      </w:r>
      <w:r>
        <w:t>创造一个适合</w:t>
      </w:r>
      <w:r>
        <w:rPr>
          <w:rFonts w:hint="eastAsia"/>
        </w:rPr>
        <w:t>骆驼</w:t>
      </w:r>
      <w:r>
        <w:t>生长发育的环境，最大限度地减少各种应急对</w:t>
      </w:r>
      <w:r>
        <w:rPr>
          <w:rFonts w:hint="eastAsia"/>
        </w:rPr>
        <w:t>骆驼</w:t>
      </w:r>
      <w:r>
        <w:t>造成有害影响，使</w:t>
      </w:r>
      <w:r>
        <w:rPr>
          <w:rFonts w:hint="eastAsia"/>
        </w:rPr>
        <w:t>骆驼</w:t>
      </w:r>
      <w:r>
        <w:t>体本身健康成长发育</w:t>
      </w:r>
      <w:r>
        <w:rPr>
          <w:rFonts w:hint="eastAsia"/>
        </w:rPr>
        <w:t>。</w:t>
      </w:r>
      <w:r>
        <w:t>这样就有能力抵抗外界不良因素的影响</w:t>
      </w:r>
      <w:r>
        <w:rPr>
          <w:rFonts w:hint="eastAsia"/>
        </w:rPr>
        <w:t>。</w:t>
      </w:r>
      <w:r>
        <w:t>第三就是在</w:t>
      </w:r>
      <w:r>
        <w:rPr>
          <w:rFonts w:hint="eastAsia"/>
        </w:rPr>
        <w:t>骆驼群</w:t>
      </w:r>
      <w:r>
        <w:t>健康的前提下，我们实行严格地免疫制度，使</w:t>
      </w:r>
      <w:r>
        <w:rPr>
          <w:rFonts w:hint="eastAsia"/>
        </w:rPr>
        <w:t>骆驼群</w:t>
      </w:r>
      <w:r>
        <w:t>能保证在我们的科学技术操作范围内，能准确实施100%的免疫，特别是对禽流感的免疫</w:t>
      </w:r>
      <w:r>
        <w:rPr>
          <w:rFonts w:hint="eastAsia"/>
        </w:rPr>
        <w:t>。</w:t>
      </w:r>
    </w:p>
    <w:p w14:paraId="326E0763">
      <w:pPr>
        <w:ind w:firstLine="480"/>
      </w:pPr>
      <w:r>
        <w:t>由于高致病性禽流感发病急，发病率和死亡率很高，目前尚无治疗方法</w:t>
      </w:r>
      <w:r>
        <w:rPr>
          <w:rFonts w:hint="eastAsia"/>
        </w:rPr>
        <w:t>。</w:t>
      </w:r>
      <w:r>
        <w:t>所以</w:t>
      </w:r>
      <w:r>
        <w:rPr>
          <w:rFonts w:hint="eastAsia"/>
        </w:rPr>
        <w:t>养殖者</w:t>
      </w:r>
      <w:r>
        <w:t>必须要求饲养人员要经常仔细观察</w:t>
      </w:r>
      <w:r>
        <w:rPr>
          <w:rFonts w:hint="eastAsia"/>
        </w:rPr>
        <w:t>骆驼群</w:t>
      </w:r>
      <w:r>
        <w:t>的活动及健康状况，若发现有异常表现，特别有互相传染的嫌疑，应立即报告兽医或生产管理人员，相关负责人必须立即赶到现场，认为有必要时要尽快组织力量进行诊断</w:t>
      </w:r>
      <w:r>
        <w:rPr>
          <w:rFonts w:hint="eastAsia"/>
        </w:rPr>
        <w:t>。</w:t>
      </w:r>
      <w:r>
        <w:t>在诊断过程中，疑似或确认为新城疫、禽流感、传染性法氏囊病、传染性支气管炎及传染性鼻炎等急性支气管病性，必须立即隔离</w:t>
      </w:r>
      <w:r>
        <w:rPr>
          <w:rFonts w:hint="eastAsia"/>
        </w:rPr>
        <w:t>病骆驼</w:t>
      </w:r>
      <w:r>
        <w:t>，尽可能缩小</w:t>
      </w:r>
      <w:r>
        <w:rPr>
          <w:rFonts w:hint="eastAsia"/>
        </w:rPr>
        <w:t>病骆驼</w:t>
      </w:r>
      <w:r>
        <w:t>的活动范围，对</w:t>
      </w:r>
      <w:r>
        <w:rPr>
          <w:rFonts w:hint="eastAsia"/>
        </w:rPr>
        <w:t>病骆驼</w:t>
      </w:r>
      <w:r>
        <w:t>的排泄物、分泌物污染的场地，都要用聚维酮碘溶液和复方戊二醛溶液进行喷射消毒</w:t>
      </w:r>
      <w:r>
        <w:rPr>
          <w:rFonts w:hint="eastAsia"/>
        </w:rPr>
        <w:t>。</w:t>
      </w:r>
      <w:r>
        <w:t>污染的垫草、粪便彻底清除，予以烧毁，被污染的用具、工作服、鞋，用福尔马林熏蒸消毒，场门设立标牌，禁止人、畜出入</w:t>
      </w:r>
      <w:r>
        <w:rPr>
          <w:rFonts w:hint="eastAsia"/>
        </w:rPr>
        <w:t>。</w:t>
      </w:r>
    </w:p>
    <w:p w14:paraId="421E291F">
      <w:pPr>
        <w:ind w:firstLine="480"/>
      </w:pPr>
      <w:r>
        <w:t>3、排水管网和</w:t>
      </w:r>
      <w:r>
        <w:rPr>
          <w:rFonts w:hint="eastAsia"/>
        </w:rPr>
        <w:t>防渗化粪池</w:t>
      </w:r>
      <w:r>
        <w:t>风险事故防范措施</w:t>
      </w:r>
    </w:p>
    <w:p w14:paraId="1A1C6108">
      <w:pPr>
        <w:ind w:firstLine="480"/>
      </w:pPr>
      <w:r>
        <w:t>无论是人为因素，还是自然灾害引起的事故，都必须采取以预防为主的措施，以避免事故的发生或使事故造成的危害降低到最低的程度</w:t>
      </w:r>
      <w:r>
        <w:rPr>
          <w:rFonts w:hint="eastAsia"/>
        </w:rPr>
        <w:t>。</w:t>
      </w:r>
      <w:r>
        <w:t>对于人为因素引起的事故可以通过提高作业人员素质、加强责任心以及采取技术手段和管理手段来避免，而对于自然灾害引起的事故则主要靠采取各种工程技术措施来预防</w:t>
      </w:r>
      <w:r>
        <w:rPr>
          <w:rFonts w:hint="eastAsia"/>
        </w:rPr>
        <w:t>。</w:t>
      </w:r>
    </w:p>
    <w:p w14:paraId="4DC3306B">
      <w:pPr>
        <w:ind w:firstLine="480"/>
      </w:pPr>
      <w:r>
        <w:rPr>
          <w:rFonts w:hint="eastAsia"/>
        </w:rPr>
        <w:t>（</w:t>
      </w:r>
      <w:r>
        <w:t>1</w:t>
      </w:r>
      <w:r>
        <w:rPr>
          <w:rFonts w:hint="eastAsia"/>
        </w:rPr>
        <w:t>）</w:t>
      </w:r>
      <w:r>
        <w:t>防洪、抗震等措施</w:t>
      </w:r>
    </w:p>
    <w:p w14:paraId="542561C5">
      <w:pPr>
        <w:ind w:firstLine="480"/>
      </w:pPr>
      <w:r>
        <w:t>①敷设尽量避开地震及可能引起泥石流等地段，当避开有困难时，对局部地段采取安全防护措施</w:t>
      </w:r>
      <w:r>
        <w:rPr>
          <w:rFonts w:hint="eastAsia"/>
        </w:rPr>
        <w:t>。</w:t>
      </w:r>
    </w:p>
    <w:p w14:paraId="3924A7CC">
      <w:pPr>
        <w:ind w:firstLine="480"/>
      </w:pPr>
      <w:r>
        <w:t>②管线穿越大的干沟或排碱渠时，视情况而采取到吸虹管或架空保温管线通过</w:t>
      </w:r>
      <w:r>
        <w:rPr>
          <w:rFonts w:hint="eastAsia"/>
        </w:rPr>
        <w:t>。</w:t>
      </w:r>
    </w:p>
    <w:p w14:paraId="4E45FFCC">
      <w:pPr>
        <w:ind w:firstLine="480"/>
      </w:pPr>
      <w:r>
        <w:rPr>
          <w:rFonts w:hint="eastAsia"/>
        </w:rPr>
        <w:t>（</w:t>
      </w:r>
      <w:r>
        <w:t>2</w:t>
      </w:r>
      <w:r>
        <w:rPr>
          <w:rFonts w:hint="eastAsia"/>
        </w:rPr>
        <w:t>）</w:t>
      </w:r>
      <w:r>
        <w:t>管线和</w:t>
      </w:r>
      <w:r>
        <w:rPr>
          <w:rFonts w:hint="eastAsia"/>
        </w:rPr>
        <w:t>防渗化粪池</w:t>
      </w:r>
      <w:r>
        <w:t>破裂预防措施</w:t>
      </w:r>
    </w:p>
    <w:p w14:paraId="6E7301E9">
      <w:pPr>
        <w:ind w:firstLine="480"/>
      </w:pPr>
      <w:r>
        <w:t>为尽量避免管线破裂事故的发生，减轻管线和</w:t>
      </w:r>
      <w:r>
        <w:rPr>
          <w:rFonts w:hint="eastAsia"/>
        </w:rPr>
        <w:t>防渗化粪池</w:t>
      </w:r>
      <w:r>
        <w:t>破裂、泄漏事故对环境的影响，应该采取以下的安全环保措施：</w:t>
      </w:r>
    </w:p>
    <w:p w14:paraId="4D1D2874">
      <w:pPr>
        <w:ind w:firstLine="480"/>
      </w:pPr>
      <w:r>
        <w:t>①敷设路线应设置永久性标志，提醒人们在管线两侧20~50m范围内活动可能造成伤害，防止其他单位施工造成管道损坏；</w:t>
      </w:r>
    </w:p>
    <w:p w14:paraId="72A5B7B0">
      <w:pPr>
        <w:ind w:firstLine="480"/>
      </w:pPr>
      <w:r>
        <w:t>②操作失误是出现事故的又一重要原因，为此要加强管理，提高职工技术水平和职业道德素质，以减少和杜绝此类事故的发生；</w:t>
      </w:r>
    </w:p>
    <w:p w14:paraId="5A84DB10">
      <w:pPr>
        <w:ind w:firstLine="480"/>
      </w:pPr>
      <w:r>
        <w:t>③建立完善的安全措施和监督管理机构，做好安全防护工作，以防止人为破坏事故发生；</w:t>
      </w:r>
    </w:p>
    <w:p w14:paraId="35D4E608">
      <w:pPr>
        <w:ind w:firstLine="480"/>
      </w:pPr>
      <w:r>
        <w:t>④在污水管线沿线设置截断阀，管线在发生破裂时做到及时的截断，减少排入外环境的污水量；</w:t>
      </w:r>
    </w:p>
    <w:p w14:paraId="438985FE">
      <w:pPr>
        <w:ind w:firstLine="480"/>
      </w:pPr>
      <w:r>
        <w:t>⑤为确保排水管线和</w:t>
      </w:r>
      <w:r>
        <w:rPr>
          <w:rFonts w:hint="eastAsia"/>
        </w:rPr>
        <w:t>防渗化粪池</w:t>
      </w:r>
      <w:r>
        <w:t>的安全，建设单位应在工程设计阶段合理设计，选材要结实、耐用、防腐，保证材料的质量</w:t>
      </w:r>
      <w:r>
        <w:rPr>
          <w:rFonts w:hint="eastAsia"/>
        </w:rPr>
        <w:t>。</w:t>
      </w:r>
      <w:r>
        <w:t>在工程建设中要严把质量关，保证工程质量</w:t>
      </w:r>
      <w:r>
        <w:rPr>
          <w:rFonts w:hint="eastAsia"/>
        </w:rPr>
        <w:t>。</w:t>
      </w:r>
    </w:p>
    <w:p w14:paraId="0DE626E3">
      <w:pPr>
        <w:ind w:firstLine="480"/>
      </w:pPr>
      <w:r>
        <w:t>⑥在运行管理中要从严要求，定期对管线和</w:t>
      </w:r>
      <w:r>
        <w:rPr>
          <w:rFonts w:hint="eastAsia"/>
        </w:rPr>
        <w:t>防渗化粪池</w:t>
      </w:r>
      <w:r>
        <w:t>进行巡检，及时发现问题，从快从速处理，预防事故发生</w:t>
      </w:r>
      <w:r>
        <w:rPr>
          <w:rFonts w:hint="eastAsia"/>
        </w:rPr>
        <w:t>。</w:t>
      </w:r>
      <w:r>
        <w:t>管线沿线设立明显标志物，以避免管线遭到人为破坏</w:t>
      </w:r>
      <w:r>
        <w:rPr>
          <w:rFonts w:hint="eastAsia"/>
        </w:rPr>
        <w:t>。</w:t>
      </w:r>
    </w:p>
    <w:p w14:paraId="516E7C20">
      <w:pPr>
        <w:ind w:firstLine="480"/>
      </w:pPr>
      <w:r>
        <w:rPr>
          <w:rFonts w:hint="eastAsia"/>
        </w:rPr>
        <w:t>4</w:t>
      </w:r>
      <w:r>
        <w:t>、生产及管理过程风险防范措施</w:t>
      </w:r>
    </w:p>
    <w:p w14:paraId="169CB12B">
      <w:pPr>
        <w:ind w:firstLine="480"/>
      </w:pPr>
      <w:r>
        <w:rPr>
          <w:rFonts w:hint="eastAsia"/>
        </w:rPr>
        <w:t>（</w:t>
      </w:r>
      <w:r>
        <w:t>1</w:t>
      </w:r>
      <w:r>
        <w:rPr>
          <w:rFonts w:hint="eastAsia"/>
        </w:rPr>
        <w:t>）</w:t>
      </w:r>
      <w:r>
        <w:t>生产过程风险防范措施</w:t>
      </w:r>
    </w:p>
    <w:p w14:paraId="1445746C">
      <w:pPr>
        <w:ind w:firstLine="480"/>
      </w:pPr>
      <w:r>
        <w:t>圈舍、畜禽消毒、</w:t>
      </w:r>
      <w:r>
        <w:rPr>
          <w:rFonts w:hint="eastAsia"/>
        </w:rPr>
        <w:t>防渗化粪池</w:t>
      </w:r>
      <w:r>
        <w:t>投药应有专人负责，按照规范操作，操作时配备必要的防范措施，主要消毒设备、投药设备的维修、保养工作</w:t>
      </w:r>
      <w:r>
        <w:rPr>
          <w:rFonts w:hint="eastAsia"/>
        </w:rPr>
        <w:t>。</w:t>
      </w:r>
      <w:r>
        <w:t>配备合格的工作人员，认真落实工作人员责任制，经常对供水、供电设备进行检查和维护</w:t>
      </w:r>
      <w:r>
        <w:rPr>
          <w:rFonts w:hint="eastAsia"/>
        </w:rPr>
        <w:t>。</w:t>
      </w:r>
    </w:p>
    <w:p w14:paraId="479016BF">
      <w:pPr>
        <w:ind w:firstLine="480"/>
      </w:pPr>
      <w:r>
        <w:rPr>
          <w:rFonts w:hint="eastAsia"/>
        </w:rPr>
        <w:t>（</w:t>
      </w:r>
      <w:r>
        <w:t>2</w:t>
      </w:r>
      <w:r>
        <w:rPr>
          <w:rFonts w:hint="eastAsia"/>
        </w:rPr>
        <w:t>）</w:t>
      </w:r>
      <w:r>
        <w:t>管理及操作环节风险防范措施</w:t>
      </w:r>
    </w:p>
    <w:p w14:paraId="7DC56A1C">
      <w:pPr>
        <w:ind w:firstLine="480"/>
      </w:pPr>
      <w:r>
        <w:t>①建立健全安全生产责任制，制定安全生产规章制度和操作规程</w:t>
      </w:r>
      <w:r>
        <w:rPr>
          <w:rFonts w:hint="eastAsia"/>
        </w:rPr>
        <w:t>。</w:t>
      </w:r>
    </w:p>
    <w:p w14:paraId="1984B460">
      <w:pPr>
        <w:ind w:firstLine="480"/>
      </w:pPr>
      <w:r>
        <w:t>②企业主要负责人和安全生产管理人员应当接受有关主管部门的安全生产知识和管理能力考核，合格后方可任职</w:t>
      </w:r>
      <w:r>
        <w:rPr>
          <w:rFonts w:hint="eastAsia"/>
        </w:rPr>
        <w:t>。</w:t>
      </w:r>
    </w:p>
    <w:p w14:paraId="130898A0">
      <w:pPr>
        <w:ind w:firstLine="480"/>
      </w:pPr>
      <w:r>
        <w:t>③对工作人员应进行教育和培训并进行考核，保证工作人员具备必要的资质和能力</w:t>
      </w:r>
      <w:r>
        <w:rPr>
          <w:rFonts w:hint="eastAsia"/>
        </w:rPr>
        <w:t>。</w:t>
      </w:r>
    </w:p>
    <w:p w14:paraId="4BD3EC1E">
      <w:pPr>
        <w:ind w:firstLine="480"/>
      </w:pPr>
      <w:r>
        <w:t>④各生产岗位工作人员严格按照规程进行操作，并按照要求穿戴劳保用品</w:t>
      </w:r>
      <w:r>
        <w:rPr>
          <w:rFonts w:hint="eastAsia"/>
        </w:rPr>
        <w:t>。</w:t>
      </w:r>
    </w:p>
    <w:p w14:paraId="1C162B5E">
      <w:pPr>
        <w:ind w:firstLine="480"/>
      </w:pPr>
      <w:r>
        <w:t>⑤安排专人定时巡查，检查各设施设备是否正常运行</w:t>
      </w:r>
      <w:r>
        <w:rPr>
          <w:rFonts w:hint="eastAsia"/>
        </w:rPr>
        <w:t>。</w:t>
      </w:r>
    </w:p>
    <w:p w14:paraId="198A8147">
      <w:pPr>
        <w:pStyle w:val="5"/>
      </w:pPr>
      <w:bookmarkStart w:id="191" w:name="_Toc106663515"/>
      <w:r>
        <w:rPr>
          <w:rFonts w:hint="eastAsia"/>
        </w:rPr>
        <w:t>5.3.8环境风险应急预案</w:t>
      </w:r>
      <w:bookmarkEnd w:id="191"/>
    </w:p>
    <w:p w14:paraId="718E493F">
      <w:pPr>
        <w:ind w:firstLine="480"/>
      </w:pPr>
      <w:r>
        <w:t>建设单位应根据《国家突发公共事件总体应急预案》、《国家事故应急预案框架指南》、《危险化学品事故应急救援预案编制导则》等相关规定的要求，制订和完善本项目风险事故应急预案</w:t>
      </w:r>
      <w:r>
        <w:rPr>
          <w:rFonts w:hint="eastAsia"/>
        </w:rPr>
        <w:t>。</w:t>
      </w:r>
    </w:p>
    <w:p w14:paraId="7A9CE886">
      <w:pPr>
        <w:numPr>
          <w:ilvl w:val="0"/>
          <w:numId w:val="3"/>
        </w:numPr>
        <w:ind w:firstLine="480"/>
      </w:pPr>
      <w:r>
        <w:t>企业内部应急预案</w:t>
      </w:r>
    </w:p>
    <w:p w14:paraId="70915995">
      <w:pPr>
        <w:ind w:firstLine="480"/>
      </w:pPr>
      <w:r>
        <w:t>建设单位应按照国家《事故应急预案框架指南》，开展经常性的安全预案演练，加强应急救援专业队伍建设，配备相应的安全防护和救援器材，提高快速反应救援能力，及时有效处置可能发生的应急事故</w:t>
      </w:r>
      <w:r>
        <w:rPr>
          <w:rFonts w:hint="eastAsia"/>
        </w:rPr>
        <w:t>。</w:t>
      </w:r>
      <w:r>
        <w:t>项目应建立应急预案，应急预案应包括以下的内容和要求：</w:t>
      </w:r>
    </w:p>
    <w:p w14:paraId="1326A18B">
      <w:pPr>
        <w:ind w:firstLine="480"/>
      </w:pPr>
      <w:r>
        <w:rPr>
          <w:rFonts w:hint="eastAsia" w:cs="宋体"/>
        </w:rPr>
        <w:t>①</w:t>
      </w:r>
      <w:r>
        <w:t>建立企业—乡镇人民政府—市人民政府的联防应急组织机构，并配备相应的人员</w:t>
      </w:r>
      <w:r>
        <w:rPr>
          <w:rFonts w:hint="eastAsia"/>
        </w:rPr>
        <w:t>。要求建立的应急预案应与木垒县应急预案衔接，做好应急联动。</w:t>
      </w:r>
    </w:p>
    <w:p w14:paraId="4C100113">
      <w:pPr>
        <w:ind w:firstLine="480"/>
      </w:pPr>
      <w:r>
        <w:rPr>
          <w:rFonts w:hint="eastAsia" w:cs="宋体"/>
        </w:rPr>
        <w:t>②</w:t>
      </w:r>
      <w:r>
        <w:t>规定预案的级别及分级响应程序，并设置应急设施，设备与器材等</w:t>
      </w:r>
      <w:r>
        <w:rPr>
          <w:rFonts w:hint="eastAsia"/>
        </w:rPr>
        <w:t>。</w:t>
      </w:r>
    </w:p>
    <w:p w14:paraId="1D061CDB">
      <w:pPr>
        <w:ind w:firstLine="480"/>
      </w:pPr>
      <w:r>
        <w:rPr>
          <w:rFonts w:hint="eastAsia" w:cs="宋体"/>
        </w:rPr>
        <w:t>③</w:t>
      </w:r>
      <w:r>
        <w:t>规定应急状态下的报警通讯方式、通知方式和交通保障、管制</w:t>
      </w:r>
      <w:r>
        <w:rPr>
          <w:rFonts w:hint="eastAsia"/>
        </w:rPr>
        <w:t>。</w:t>
      </w:r>
    </w:p>
    <w:p w14:paraId="0E8DC711">
      <w:pPr>
        <w:ind w:firstLine="480"/>
      </w:pPr>
      <w:r>
        <w:rPr>
          <w:rFonts w:hint="eastAsia" w:cs="宋体"/>
        </w:rPr>
        <w:t>④</w:t>
      </w:r>
      <w:r>
        <w:t>由专业队伍负责对事故现场进行侦察监测，对事故性质、参数与后果进行评估，为指挥部门提供决策依据</w:t>
      </w:r>
      <w:r>
        <w:rPr>
          <w:rFonts w:hint="eastAsia"/>
        </w:rPr>
        <w:t>。</w:t>
      </w:r>
      <w:r>
        <w:t>组织人员成立抢险队，及时拦截危险品泄漏至水体或打捞落入水体中的物件，同时采取相应的处置措施，最大限度地减轻影响范围和程度</w:t>
      </w:r>
      <w:r>
        <w:rPr>
          <w:rFonts w:hint="eastAsia"/>
        </w:rPr>
        <w:t>。</w:t>
      </w:r>
    </w:p>
    <w:p w14:paraId="701A91EB">
      <w:pPr>
        <w:ind w:firstLine="480"/>
      </w:pPr>
      <w:r>
        <w:rPr>
          <w:rFonts w:hint="eastAsia" w:cs="宋体"/>
        </w:rPr>
        <w:t>⑤</w:t>
      </w:r>
      <w:r>
        <w:t>应急检测、防护措施、清除泄漏措施和器材</w:t>
      </w:r>
      <w:r>
        <w:rPr>
          <w:rFonts w:hint="eastAsia"/>
        </w:rPr>
        <w:t>。</w:t>
      </w:r>
    </w:p>
    <w:p w14:paraId="465CCDCC">
      <w:pPr>
        <w:ind w:firstLine="480"/>
      </w:pPr>
      <w:r>
        <w:rPr>
          <w:rFonts w:hint="eastAsia" w:cs="宋体"/>
        </w:rPr>
        <w:t>⑥</w:t>
      </w:r>
      <w:r>
        <w:t>事故现场、受事故影响的区域人员及公众对毒物应急剂量控制规定，撤离组织计划及救护，医疗救护与公众健康</w:t>
      </w:r>
      <w:r>
        <w:rPr>
          <w:rFonts w:hint="eastAsia"/>
        </w:rPr>
        <w:t>。</w:t>
      </w:r>
    </w:p>
    <w:p w14:paraId="714FD476">
      <w:pPr>
        <w:ind w:firstLine="480"/>
      </w:pPr>
      <w:r>
        <w:rPr>
          <w:rFonts w:hint="eastAsia" w:cs="宋体"/>
        </w:rPr>
        <w:t>⑦</w:t>
      </w:r>
      <w:r>
        <w:t>规定应急状态终止程序，事故现场善后处理，恢复措施，邻近区域解除事故警戒及善后恢复措施</w:t>
      </w:r>
      <w:r>
        <w:rPr>
          <w:rFonts w:hint="eastAsia"/>
        </w:rPr>
        <w:t>。</w:t>
      </w:r>
    </w:p>
    <w:p w14:paraId="1E96AC67">
      <w:pPr>
        <w:ind w:firstLine="480"/>
      </w:pPr>
      <w:r>
        <w:rPr>
          <w:rFonts w:hint="eastAsia" w:cs="宋体"/>
        </w:rPr>
        <w:t>⑧</w:t>
      </w:r>
      <w:r>
        <w:t>应急计划制定后，平时安排人员培训与演练</w:t>
      </w:r>
      <w:r>
        <w:rPr>
          <w:rFonts w:hint="eastAsia"/>
        </w:rPr>
        <w:t>。</w:t>
      </w:r>
    </w:p>
    <w:p w14:paraId="1560B6E0">
      <w:pPr>
        <w:ind w:firstLine="480"/>
      </w:pPr>
      <w:r>
        <w:rPr>
          <w:rFonts w:hint="eastAsia" w:cs="宋体"/>
        </w:rPr>
        <w:t>⑨</w:t>
      </w:r>
      <w:r>
        <w:t>对邻近地区开展公众教育、培训和发布有关信息</w:t>
      </w:r>
      <w:r>
        <w:rPr>
          <w:rFonts w:hint="eastAsia"/>
        </w:rPr>
        <w:t>。</w:t>
      </w:r>
    </w:p>
    <w:p w14:paraId="3A545F7B">
      <w:pPr>
        <w:ind w:firstLine="480"/>
      </w:pPr>
      <w:r>
        <w:t>事故应急处置程序如图</w:t>
      </w:r>
      <w:r>
        <w:rPr>
          <w:rFonts w:hint="eastAsia"/>
        </w:rPr>
        <w:t>5.3-2</w:t>
      </w:r>
      <w:r>
        <w:t>所示</w:t>
      </w:r>
      <w:r>
        <w:rPr>
          <w:rFonts w:hint="eastAsia"/>
        </w:rPr>
        <w:t>。</w:t>
      </w:r>
    </w:p>
    <w:p w14:paraId="51DFBCB0">
      <w:pPr>
        <w:ind w:firstLine="0" w:firstLineChars="0"/>
        <w:jc w:val="center"/>
      </w:pPr>
      <w:r>
        <w:drawing>
          <wp:inline distT="0" distB="0" distL="0" distR="0">
            <wp:extent cx="4465955" cy="3171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475576" cy="3178057"/>
                    </a:xfrm>
                    <a:prstGeom prst="rect">
                      <a:avLst/>
                    </a:prstGeom>
                    <a:noFill/>
                    <a:ln>
                      <a:noFill/>
                    </a:ln>
                  </pic:spPr>
                </pic:pic>
              </a:graphicData>
            </a:graphic>
          </wp:inline>
        </w:drawing>
      </w:r>
    </w:p>
    <w:p w14:paraId="0F567EF6">
      <w:pPr>
        <w:pStyle w:val="11"/>
        <w:rPr>
          <w:sz w:val="24"/>
          <w:szCs w:val="22"/>
        </w:rPr>
      </w:pPr>
      <w:r>
        <w:rPr>
          <w:rFonts w:hint="eastAsia"/>
          <w:sz w:val="24"/>
          <w:szCs w:val="22"/>
        </w:rPr>
        <w:t>图5.3-2事故应急处置程序</w:t>
      </w:r>
    </w:p>
    <w:p w14:paraId="045160BD">
      <w:pPr>
        <w:ind w:firstLine="480"/>
      </w:pPr>
      <w:r>
        <w:rPr>
          <w:rFonts w:hint="eastAsia"/>
        </w:rPr>
        <w:t>（2）</w:t>
      </w:r>
      <w:r>
        <w:t>应急救援保障</w:t>
      </w:r>
    </w:p>
    <w:p w14:paraId="40F8DD12">
      <w:pPr>
        <w:ind w:firstLine="480"/>
      </w:pPr>
      <w:r>
        <w:t>企业需具备应急救援保障设备及器材，包括防护服、消防水泵、灭火器材、氧气呼吸器、防爆手电、对讲机、警戒围绳等</w:t>
      </w:r>
      <w:r>
        <w:rPr>
          <w:rFonts w:hint="eastAsia"/>
        </w:rPr>
        <w:t>。</w:t>
      </w:r>
    </w:p>
    <w:p w14:paraId="2645CE09">
      <w:pPr>
        <w:ind w:firstLine="480"/>
      </w:pPr>
      <w:r>
        <w:rPr>
          <w:rFonts w:hint="eastAsia"/>
        </w:rPr>
        <w:t>（3）</w:t>
      </w:r>
      <w:r>
        <w:t>事故应急措施</w:t>
      </w:r>
    </w:p>
    <w:p w14:paraId="5EFE0895">
      <w:pPr>
        <w:ind w:firstLine="480"/>
      </w:pPr>
      <w:r>
        <w:rPr>
          <w:rFonts w:hint="eastAsia" w:cs="宋体"/>
        </w:rPr>
        <w:t>①</w:t>
      </w:r>
      <w:r>
        <w:t>污水渗漏事故应急措施</w:t>
      </w:r>
    </w:p>
    <w:p w14:paraId="529C29C0">
      <w:pPr>
        <w:ind w:firstLine="480"/>
      </w:pPr>
      <w:r>
        <w:t>一旦发现污水渗漏，应及时对渗漏处进行处理，同时对周边地下水进行监测，如发现地下水受到污染，可以采取水力抽取截获的方法，将受到污染的区域的地下水用水泵抽出，防止受污染的地下水向周围迁移，减少污染扩散，同时应上报环保及水利部门采取进一步应急措施</w:t>
      </w:r>
      <w:r>
        <w:rPr>
          <w:rFonts w:hint="eastAsia"/>
        </w:rPr>
        <w:t>。</w:t>
      </w:r>
    </w:p>
    <w:p w14:paraId="4BFA7AA0">
      <w:pPr>
        <w:ind w:firstLine="480"/>
      </w:pPr>
      <w:r>
        <w:rPr>
          <w:rFonts w:hint="eastAsia" w:cs="宋体"/>
        </w:rPr>
        <w:t>②</w:t>
      </w:r>
      <w:r>
        <w:t>疫病事故应急措施</w:t>
      </w:r>
    </w:p>
    <w:p w14:paraId="633F17BA">
      <w:pPr>
        <w:ind w:firstLine="480"/>
      </w:pPr>
      <w:r>
        <w:t>兽医应及时诊断、调查疫源，根据疫病种类做好隔离、消毒、紧急防疫、</w:t>
      </w:r>
      <w:r>
        <w:rPr>
          <w:rFonts w:hint="eastAsia"/>
        </w:rPr>
        <w:t>骆驼</w:t>
      </w:r>
      <w:r>
        <w:t>病治疗和淘汰等工作，把疫情控制在最小范围内；发生人畜共患病时，及时报告卫生部门，共同采取扑灭措施；在最后一只</w:t>
      </w:r>
      <w:r>
        <w:rPr>
          <w:rFonts w:hint="eastAsia"/>
        </w:rPr>
        <w:t>病骆驼</w:t>
      </w:r>
      <w:r>
        <w:t>淘汰或痊愈后，需经该传染病最长潜伏期的观察，不再出现新病例，并经严格消毒后，可撤消隔离或申请解除</w:t>
      </w:r>
      <w:r>
        <w:rPr>
          <w:rFonts w:hint="eastAsia"/>
        </w:rPr>
        <w:t>。</w:t>
      </w:r>
    </w:p>
    <w:p w14:paraId="067E1EFA">
      <w:pPr>
        <w:ind w:firstLine="480"/>
      </w:pPr>
      <w:r>
        <w:rPr>
          <w:rFonts w:hint="eastAsia"/>
        </w:rPr>
        <w:t>（4）</w:t>
      </w:r>
      <w:r>
        <w:t>应急终止</w:t>
      </w:r>
    </w:p>
    <w:p w14:paraId="2F771F95">
      <w:pPr>
        <w:ind w:firstLine="480"/>
      </w:pPr>
      <w:r>
        <w:rPr>
          <w:rFonts w:hint="eastAsia" w:cs="宋体"/>
        </w:rPr>
        <w:t>①</w:t>
      </w:r>
      <w:r>
        <w:t>应急终止的条件</w:t>
      </w:r>
    </w:p>
    <w:p w14:paraId="08036AE7">
      <w:pPr>
        <w:ind w:firstLine="480"/>
      </w:pPr>
      <w:r>
        <w:t>a、事件现场得到控制，事件条件已经消除；</w:t>
      </w:r>
    </w:p>
    <w:p w14:paraId="0628D63F">
      <w:pPr>
        <w:ind w:firstLine="480"/>
      </w:pPr>
      <w:r>
        <w:t>b、污染源的释放已降至规定限值以内；</w:t>
      </w:r>
    </w:p>
    <w:p w14:paraId="67AFD672">
      <w:pPr>
        <w:ind w:firstLine="480"/>
      </w:pPr>
      <w:r>
        <w:t>c、事件所造成的危害已经被彻底消除，无继发可能；</w:t>
      </w:r>
    </w:p>
    <w:p w14:paraId="5FC2D005">
      <w:pPr>
        <w:ind w:firstLine="480"/>
      </w:pPr>
      <w:r>
        <w:t>d、事件现场的各种专业应急处置行动已无继续的必要；</w:t>
      </w:r>
    </w:p>
    <w:p w14:paraId="4FB32C47">
      <w:pPr>
        <w:ind w:firstLine="480"/>
      </w:pPr>
      <w:r>
        <w:t>e、采取一切必要的防护措施以保护公众再次免受危害，并使事件可能引起的中长期影响趋于合理且尽量低的水平</w:t>
      </w:r>
      <w:r>
        <w:rPr>
          <w:rFonts w:hint="eastAsia"/>
        </w:rPr>
        <w:t>。</w:t>
      </w:r>
    </w:p>
    <w:p w14:paraId="27B67F2E">
      <w:pPr>
        <w:ind w:firstLine="480"/>
      </w:pPr>
      <w:r>
        <w:rPr>
          <w:rFonts w:hint="eastAsia" w:cs="宋体"/>
        </w:rPr>
        <w:t>②</w:t>
      </w:r>
      <w:r>
        <w:t>应急终止的程序</w:t>
      </w:r>
    </w:p>
    <w:p w14:paraId="1F39C3F5">
      <w:pPr>
        <w:ind w:firstLine="480"/>
      </w:pPr>
      <w:r>
        <w:t>a、指挥领导小组确认终止时机或由事故责任单位提出，经指挥领导小组批准；</w:t>
      </w:r>
    </w:p>
    <w:p w14:paraId="061F42FB">
      <w:pPr>
        <w:ind w:firstLine="480"/>
      </w:pPr>
      <w:r>
        <w:t>b、指挥领导小组向所属各专业应急响应队伍下达应急终止命令；</w:t>
      </w:r>
    </w:p>
    <w:p w14:paraId="78595AC4">
      <w:pPr>
        <w:ind w:firstLine="480"/>
      </w:pPr>
      <w:r>
        <w:t>c、应急状态终止后，相关类别环境事件专业应急工作组应根据政府有关指示和实际情况，继续进行环境监测和评价工作，直至其他补救措施无须继续进行为止</w:t>
      </w:r>
      <w:r>
        <w:rPr>
          <w:rFonts w:hint="eastAsia"/>
        </w:rPr>
        <w:t>。</w:t>
      </w:r>
    </w:p>
    <w:p w14:paraId="16FC0B44">
      <w:pPr>
        <w:ind w:firstLine="480"/>
      </w:pPr>
      <w:r>
        <w:rPr>
          <w:rFonts w:hint="eastAsia" w:cs="宋体"/>
        </w:rPr>
        <w:t>③</w:t>
      </w:r>
      <w:r>
        <w:t>应急终止后的后续工作</w:t>
      </w:r>
    </w:p>
    <w:p w14:paraId="5E48DF22">
      <w:pPr>
        <w:ind w:firstLine="480"/>
      </w:pPr>
      <w:r>
        <w:t>a、污染物进入周围环境后，随着稀释、扩散和降解等作用，其浓度会逐渐降低</w:t>
      </w:r>
      <w:r>
        <w:rPr>
          <w:rFonts w:hint="eastAsia"/>
        </w:rPr>
        <w:t>。</w:t>
      </w:r>
      <w:r>
        <w:t>为了掌握事故发生后的污染程度、范围及变化趋势，在应急状态终止后，环境安全监测组人员应进行污染物的跟踪监测，直至环境恢复正常或达标</w:t>
      </w:r>
      <w:r>
        <w:rPr>
          <w:rFonts w:hint="eastAsia"/>
        </w:rPr>
        <w:t>。</w:t>
      </w:r>
    </w:p>
    <w:p w14:paraId="2CA4F45E">
      <w:pPr>
        <w:ind w:firstLine="480"/>
      </w:pPr>
      <w:r>
        <w:t>b、向本单位相关部门、周边村庄等受影响区域，通知本事件危险已解除</w:t>
      </w:r>
      <w:r>
        <w:rPr>
          <w:rFonts w:hint="eastAsia"/>
        </w:rPr>
        <w:t>。</w:t>
      </w:r>
    </w:p>
    <w:p w14:paraId="4F3F8BE5">
      <w:pPr>
        <w:ind w:firstLine="480"/>
      </w:pPr>
      <w:r>
        <w:t>c、应急终止后，应急指挥组应做好现场的保护，用隔离警示带围住事故现场区域</w:t>
      </w:r>
      <w:r>
        <w:rPr>
          <w:rFonts w:hint="eastAsia"/>
        </w:rPr>
        <w:t>。</w:t>
      </w:r>
      <w:r>
        <w:t>应急指挥组还要配合有关部门查找事件原因，防止类似问题的重复出现</w:t>
      </w:r>
      <w:r>
        <w:rPr>
          <w:rFonts w:hint="eastAsia"/>
        </w:rPr>
        <w:t>。</w:t>
      </w:r>
    </w:p>
    <w:p w14:paraId="53E6B08C">
      <w:pPr>
        <w:ind w:firstLine="480"/>
      </w:pPr>
      <w:r>
        <w:t>d、撰写突发环境事件总结报告，于应急终止后上报</w:t>
      </w:r>
      <w:r>
        <w:rPr>
          <w:rFonts w:hint="eastAsia"/>
        </w:rPr>
        <w:t>。</w:t>
      </w:r>
    </w:p>
    <w:p w14:paraId="540FDB53">
      <w:pPr>
        <w:ind w:firstLine="480"/>
      </w:pPr>
      <w:r>
        <w:t>e、根据环境事件的类别，由相关专业主管部门组织对环境应急预案进行评估，并及时修订</w:t>
      </w:r>
      <w:r>
        <w:rPr>
          <w:rFonts w:hint="eastAsia"/>
        </w:rPr>
        <w:t>。</w:t>
      </w:r>
    </w:p>
    <w:p w14:paraId="7F5DF1A4">
      <w:pPr>
        <w:ind w:firstLine="480"/>
      </w:pPr>
      <w:r>
        <w:t>f、参加应急行动的部门分别组织、指导环境应急救援队伍维护、保养应急仪器设备，使之始终保持良好的技术状态</w:t>
      </w:r>
      <w:r>
        <w:rPr>
          <w:rFonts w:hint="eastAsia"/>
        </w:rPr>
        <w:t>。</w:t>
      </w:r>
    </w:p>
    <w:p w14:paraId="520C0F65">
      <w:pPr>
        <w:ind w:firstLine="480"/>
      </w:pPr>
      <w:r>
        <w:t>g、根据事故调查结果，对公司现有的防范措施与应急预案进行评价，指出其有效性和不足之处，提出整改意见</w:t>
      </w:r>
      <w:r>
        <w:rPr>
          <w:rFonts w:hint="eastAsia"/>
        </w:rPr>
        <w:t>。</w:t>
      </w:r>
    </w:p>
    <w:p w14:paraId="33B78868">
      <w:pPr>
        <w:ind w:firstLine="480"/>
      </w:pPr>
      <w:r>
        <w:rPr>
          <w:rFonts w:hint="eastAsia"/>
        </w:rPr>
        <w:t>（5）</w:t>
      </w:r>
      <w:r>
        <w:t>应急救援培训计划</w:t>
      </w:r>
    </w:p>
    <w:p w14:paraId="22F8DB25">
      <w:pPr>
        <w:ind w:firstLine="480"/>
      </w:pPr>
      <w:r>
        <w:rPr>
          <w:rFonts w:hint="eastAsia" w:cs="宋体"/>
        </w:rPr>
        <w:t>①</w:t>
      </w:r>
      <w:r>
        <w:t>应急救援人员培训</w:t>
      </w:r>
    </w:p>
    <w:p w14:paraId="3FFBDA5B">
      <w:pPr>
        <w:ind w:firstLine="480"/>
      </w:pPr>
      <w:r>
        <w:t>建设单位应定期对应急救援人员进行应急事故处理及紧急救援培训，应急救援人员的培训由领导小组统一安排制定专人进行</w:t>
      </w:r>
      <w:r>
        <w:rPr>
          <w:rFonts w:hint="eastAsia"/>
        </w:rPr>
        <w:t>。</w:t>
      </w:r>
    </w:p>
    <w:p w14:paraId="3BF4AC93">
      <w:pPr>
        <w:ind w:firstLine="480"/>
      </w:pPr>
      <w:r>
        <w:rPr>
          <w:rFonts w:hint="eastAsia" w:cs="宋体"/>
        </w:rPr>
        <w:t>②</w:t>
      </w:r>
      <w:r>
        <w:t>员工应急响应培训</w:t>
      </w:r>
    </w:p>
    <w:p w14:paraId="348D633D">
      <w:pPr>
        <w:ind w:firstLine="480"/>
      </w:pPr>
      <w:r>
        <w:t>由建设单位组织应急救援人员定期对员工进行应急事故处理及紧急救援培训，提高员工风险防范意识及自救能力</w:t>
      </w:r>
      <w:r>
        <w:rPr>
          <w:rFonts w:hint="eastAsia"/>
        </w:rPr>
        <w:t>。</w:t>
      </w:r>
    </w:p>
    <w:p w14:paraId="2F24DADA">
      <w:pPr>
        <w:ind w:firstLine="480"/>
      </w:pPr>
      <w:r>
        <w:rPr>
          <w:rFonts w:hint="eastAsia" w:cs="宋体"/>
        </w:rPr>
        <w:t>③</w:t>
      </w:r>
      <w:r>
        <w:t>演练计划</w:t>
      </w:r>
    </w:p>
    <w:p w14:paraId="33EC9FCF">
      <w:pPr>
        <w:ind w:firstLine="480"/>
      </w:pPr>
      <w:r>
        <w:t>建设单位须定期进行突发事件紧急响应演习，至少每半年组织一次，由公司应急救援领导小组组织</w:t>
      </w:r>
      <w:r>
        <w:rPr>
          <w:rFonts w:hint="eastAsia"/>
        </w:rPr>
        <w:t>。</w:t>
      </w:r>
    </w:p>
    <w:p w14:paraId="17BB8E09">
      <w:pPr>
        <w:ind w:firstLine="480"/>
      </w:pPr>
      <w:r>
        <w:rPr>
          <w:rFonts w:hint="eastAsia"/>
        </w:rPr>
        <w:t>（6）</w:t>
      </w:r>
      <w:r>
        <w:t>应急预案演习</w:t>
      </w:r>
    </w:p>
    <w:p w14:paraId="1144ADD6">
      <w:pPr>
        <w:ind w:firstLine="480"/>
      </w:pPr>
      <w:r>
        <w:t>为验证应急预案的可操作性和合理性，确保所有职工都了解该应急预案，同时为了增强各部门之间的相互协作能力，应对各类可能发生事故进行培训和应急演练，从而确保预案的适时改进</w:t>
      </w:r>
      <w:r>
        <w:rPr>
          <w:rFonts w:hint="eastAsia"/>
        </w:rPr>
        <w:t>。</w:t>
      </w:r>
      <w:r>
        <w:t>所有运作人员参与污染事故应急演习的时间间隔不得超过一年，并做好演练记录</w:t>
      </w:r>
      <w:r>
        <w:rPr>
          <w:rFonts w:hint="eastAsia"/>
        </w:rPr>
        <w:t>。</w:t>
      </w:r>
    </w:p>
    <w:p w14:paraId="12CDB7EC">
      <w:pPr>
        <w:ind w:firstLine="480"/>
      </w:pPr>
      <w:r>
        <w:t>根据本项目的实际情况，企业还应从以下几方面加强事故应急防范：</w:t>
      </w:r>
    </w:p>
    <w:p w14:paraId="79158FA7">
      <w:pPr>
        <w:ind w:firstLine="480"/>
      </w:pPr>
      <w:r>
        <w:rPr>
          <w:rFonts w:hint="eastAsia" w:cs="宋体"/>
        </w:rPr>
        <w:t>①</w:t>
      </w:r>
      <w:r>
        <w:t>建立应急救援指挥系统</w:t>
      </w:r>
    </w:p>
    <w:p w14:paraId="4B34FF57">
      <w:pPr>
        <w:ind w:firstLine="480"/>
      </w:pPr>
      <w:r>
        <w:t>企业应组建指挥小组</w:t>
      </w:r>
      <w:r>
        <w:rPr>
          <w:rFonts w:hint="eastAsia"/>
        </w:rPr>
        <w:t>。</w:t>
      </w:r>
      <w:r>
        <w:t>指挥小组负责重大事故应急预案的制定及修订；组建应急救援专业队伍，定时组织工作人员进行培训，并组织实施平时的演练；经常性检查应急预案的各项准备工作，以确保系统能正常工作</w:t>
      </w:r>
      <w:r>
        <w:rPr>
          <w:rFonts w:hint="eastAsia"/>
        </w:rPr>
        <w:t>。</w:t>
      </w:r>
      <w:r>
        <w:t>及时向上级汇报事故情况，并对事故做总结</w:t>
      </w:r>
      <w:r>
        <w:rPr>
          <w:rFonts w:hint="eastAsia"/>
        </w:rPr>
        <w:t>。</w:t>
      </w:r>
    </w:p>
    <w:p w14:paraId="4B34883E">
      <w:pPr>
        <w:ind w:firstLine="480"/>
      </w:pPr>
      <w:r>
        <w:rPr>
          <w:rFonts w:hint="eastAsia" w:cs="宋体"/>
        </w:rPr>
        <w:t>②</w:t>
      </w:r>
      <w:r>
        <w:t>现场事故处置</w:t>
      </w:r>
    </w:p>
    <w:p w14:paraId="395B91FC">
      <w:pPr>
        <w:ind w:firstLine="480"/>
      </w:pPr>
      <w:r>
        <w:t>发生重大事故时，应紧急疏散场区工作人员，危险区域实行隔离，禁止进入，无关人员不得靠近</w:t>
      </w:r>
      <w:r>
        <w:rPr>
          <w:rFonts w:hint="eastAsia"/>
        </w:rPr>
        <w:t>。</w:t>
      </w:r>
      <w:r>
        <w:t>现场扑救人员应佩戴氧气隔离防毒面具，穿专用防护服</w:t>
      </w:r>
      <w:r>
        <w:rPr>
          <w:rFonts w:hint="eastAsia"/>
        </w:rPr>
        <w:t>。</w:t>
      </w:r>
    </w:p>
    <w:p w14:paraId="08FC33C3">
      <w:pPr>
        <w:ind w:firstLine="480"/>
      </w:pPr>
      <w:r>
        <w:rPr>
          <w:rFonts w:hint="eastAsia"/>
        </w:rPr>
        <w:t>建设单位应按照《企业突发环境事件风险评估指南（试行）》（环境保护部环办[2014]34号）的要求建立环境风险事故应急预案，应急预案所要求的基本内容可参照表5.3-6中的相关内容。</w:t>
      </w:r>
    </w:p>
    <w:p w14:paraId="4E5A70B1">
      <w:pPr>
        <w:pStyle w:val="11"/>
      </w:pPr>
      <w:r>
        <w:rPr>
          <w:rFonts w:hint="eastAsia"/>
        </w:rPr>
        <w:t>表5.3-6应急预案内容一览表</w:t>
      </w:r>
    </w:p>
    <w:tbl>
      <w:tblPr>
        <w:tblStyle w:val="39"/>
        <w:tblW w:w="8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054"/>
        <w:gridCol w:w="5282"/>
      </w:tblGrid>
      <w:tr w14:paraId="3F3A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shd w:val="clear" w:color="auto" w:fill="auto"/>
            <w:vAlign w:val="center"/>
          </w:tcPr>
          <w:p w14:paraId="7EA2209F">
            <w:pPr>
              <w:spacing w:line="240" w:lineRule="auto"/>
              <w:ind w:firstLine="0" w:firstLineChars="0"/>
              <w:jc w:val="center"/>
              <w:rPr>
                <w:kern w:val="2"/>
                <w:sz w:val="21"/>
                <w:szCs w:val="24"/>
              </w:rPr>
            </w:pPr>
            <w:r>
              <w:rPr>
                <w:rFonts w:hint="eastAsia"/>
                <w:kern w:val="2"/>
                <w:sz w:val="21"/>
                <w:szCs w:val="24"/>
              </w:rPr>
              <w:t>序号</w:t>
            </w:r>
          </w:p>
        </w:tc>
        <w:tc>
          <w:tcPr>
            <w:tcW w:w="1282" w:type="pct"/>
            <w:shd w:val="clear" w:color="auto" w:fill="auto"/>
            <w:vAlign w:val="center"/>
          </w:tcPr>
          <w:p w14:paraId="2CCA6A4D">
            <w:pPr>
              <w:spacing w:line="240" w:lineRule="auto"/>
              <w:ind w:firstLine="0" w:firstLineChars="0"/>
              <w:jc w:val="center"/>
              <w:rPr>
                <w:kern w:val="2"/>
                <w:sz w:val="21"/>
                <w:szCs w:val="24"/>
              </w:rPr>
            </w:pPr>
            <w:r>
              <w:rPr>
                <w:rFonts w:hint="eastAsia"/>
                <w:kern w:val="2"/>
                <w:sz w:val="21"/>
                <w:szCs w:val="24"/>
              </w:rPr>
              <w:t>项目</w:t>
            </w:r>
          </w:p>
        </w:tc>
        <w:tc>
          <w:tcPr>
            <w:tcW w:w="3295" w:type="pct"/>
            <w:shd w:val="clear" w:color="auto" w:fill="auto"/>
            <w:vAlign w:val="center"/>
          </w:tcPr>
          <w:p w14:paraId="6C5CCD3C">
            <w:pPr>
              <w:spacing w:line="240" w:lineRule="auto"/>
              <w:ind w:firstLine="0" w:firstLineChars="0"/>
              <w:jc w:val="center"/>
              <w:rPr>
                <w:kern w:val="2"/>
                <w:sz w:val="21"/>
                <w:szCs w:val="24"/>
              </w:rPr>
            </w:pPr>
            <w:r>
              <w:rPr>
                <w:rFonts w:hint="eastAsia"/>
                <w:kern w:val="2"/>
                <w:sz w:val="21"/>
                <w:szCs w:val="24"/>
              </w:rPr>
              <w:t>内容及要求</w:t>
            </w:r>
          </w:p>
        </w:tc>
      </w:tr>
      <w:tr w14:paraId="2F14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3C67E133">
            <w:pPr>
              <w:spacing w:line="240" w:lineRule="auto"/>
              <w:ind w:firstLine="0" w:firstLineChars="0"/>
              <w:jc w:val="center"/>
              <w:rPr>
                <w:kern w:val="2"/>
                <w:sz w:val="21"/>
                <w:szCs w:val="24"/>
              </w:rPr>
            </w:pPr>
            <w:r>
              <w:rPr>
                <w:rFonts w:hint="eastAsia"/>
                <w:kern w:val="2"/>
                <w:sz w:val="21"/>
                <w:szCs w:val="24"/>
              </w:rPr>
              <w:t>1</w:t>
            </w:r>
          </w:p>
        </w:tc>
        <w:tc>
          <w:tcPr>
            <w:tcW w:w="1282" w:type="pct"/>
            <w:shd w:val="clear" w:color="auto" w:fill="auto"/>
            <w:vAlign w:val="center"/>
          </w:tcPr>
          <w:p w14:paraId="783735E5">
            <w:pPr>
              <w:spacing w:line="240" w:lineRule="auto"/>
              <w:ind w:firstLine="0" w:firstLineChars="0"/>
              <w:rPr>
                <w:kern w:val="2"/>
                <w:sz w:val="21"/>
                <w:szCs w:val="24"/>
              </w:rPr>
            </w:pPr>
            <w:r>
              <w:rPr>
                <w:rFonts w:hint="eastAsia"/>
                <w:kern w:val="2"/>
                <w:sz w:val="21"/>
                <w:szCs w:val="24"/>
              </w:rPr>
              <w:t>应急计划区</w:t>
            </w:r>
          </w:p>
        </w:tc>
        <w:tc>
          <w:tcPr>
            <w:tcW w:w="3295" w:type="pct"/>
            <w:shd w:val="clear" w:color="auto" w:fill="auto"/>
            <w:vAlign w:val="center"/>
          </w:tcPr>
          <w:p w14:paraId="791B8042">
            <w:pPr>
              <w:spacing w:line="240" w:lineRule="auto"/>
              <w:ind w:firstLine="0" w:firstLineChars="0"/>
              <w:rPr>
                <w:kern w:val="2"/>
                <w:sz w:val="21"/>
                <w:szCs w:val="24"/>
              </w:rPr>
            </w:pPr>
            <w:r>
              <w:rPr>
                <w:rFonts w:hint="eastAsia"/>
                <w:kern w:val="2"/>
                <w:sz w:val="21"/>
                <w:szCs w:val="24"/>
              </w:rPr>
              <w:t>危险目标，环境保护目标</w:t>
            </w:r>
          </w:p>
        </w:tc>
      </w:tr>
      <w:tr w14:paraId="7A4C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3B5CD595">
            <w:pPr>
              <w:spacing w:line="240" w:lineRule="auto"/>
              <w:ind w:firstLine="0" w:firstLineChars="0"/>
              <w:jc w:val="center"/>
              <w:rPr>
                <w:kern w:val="2"/>
                <w:sz w:val="21"/>
                <w:szCs w:val="24"/>
              </w:rPr>
            </w:pPr>
            <w:r>
              <w:rPr>
                <w:rFonts w:hint="eastAsia"/>
                <w:kern w:val="2"/>
                <w:sz w:val="21"/>
                <w:szCs w:val="24"/>
              </w:rPr>
              <w:t>2</w:t>
            </w:r>
          </w:p>
        </w:tc>
        <w:tc>
          <w:tcPr>
            <w:tcW w:w="1282" w:type="pct"/>
            <w:shd w:val="clear" w:color="auto" w:fill="auto"/>
            <w:vAlign w:val="center"/>
          </w:tcPr>
          <w:p w14:paraId="737A7843">
            <w:pPr>
              <w:spacing w:line="240" w:lineRule="auto"/>
              <w:ind w:firstLine="0" w:firstLineChars="0"/>
              <w:rPr>
                <w:kern w:val="2"/>
                <w:sz w:val="21"/>
                <w:szCs w:val="24"/>
              </w:rPr>
            </w:pPr>
            <w:r>
              <w:rPr>
                <w:rFonts w:hint="eastAsia"/>
                <w:kern w:val="2"/>
                <w:sz w:val="21"/>
                <w:szCs w:val="24"/>
              </w:rPr>
              <w:t>应急组织机构、人员</w:t>
            </w:r>
          </w:p>
        </w:tc>
        <w:tc>
          <w:tcPr>
            <w:tcW w:w="3295" w:type="pct"/>
            <w:shd w:val="clear" w:color="auto" w:fill="auto"/>
            <w:vAlign w:val="center"/>
          </w:tcPr>
          <w:p w14:paraId="3C6498F4">
            <w:pPr>
              <w:spacing w:line="240" w:lineRule="auto"/>
              <w:ind w:firstLine="0" w:firstLineChars="0"/>
              <w:rPr>
                <w:kern w:val="2"/>
                <w:sz w:val="21"/>
                <w:szCs w:val="24"/>
              </w:rPr>
            </w:pPr>
            <w:r>
              <w:rPr>
                <w:rFonts w:hint="eastAsia"/>
                <w:kern w:val="2"/>
                <w:sz w:val="21"/>
                <w:szCs w:val="24"/>
              </w:rPr>
              <w:t>厂区、地区应急组织机构、人员</w:t>
            </w:r>
          </w:p>
        </w:tc>
      </w:tr>
      <w:tr w14:paraId="236A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665BB8E0">
            <w:pPr>
              <w:spacing w:line="240" w:lineRule="auto"/>
              <w:ind w:firstLine="0" w:firstLineChars="0"/>
              <w:jc w:val="center"/>
              <w:rPr>
                <w:kern w:val="2"/>
                <w:sz w:val="21"/>
                <w:szCs w:val="24"/>
              </w:rPr>
            </w:pPr>
            <w:r>
              <w:rPr>
                <w:rFonts w:hint="eastAsia"/>
                <w:kern w:val="2"/>
                <w:sz w:val="21"/>
                <w:szCs w:val="24"/>
              </w:rPr>
              <w:t>3</w:t>
            </w:r>
          </w:p>
        </w:tc>
        <w:tc>
          <w:tcPr>
            <w:tcW w:w="1282" w:type="pct"/>
            <w:shd w:val="clear" w:color="auto" w:fill="auto"/>
            <w:vAlign w:val="center"/>
          </w:tcPr>
          <w:p w14:paraId="67D05066">
            <w:pPr>
              <w:spacing w:line="240" w:lineRule="auto"/>
              <w:ind w:firstLine="0" w:firstLineChars="0"/>
              <w:rPr>
                <w:kern w:val="2"/>
                <w:sz w:val="21"/>
                <w:szCs w:val="24"/>
              </w:rPr>
            </w:pPr>
            <w:r>
              <w:rPr>
                <w:rFonts w:hint="eastAsia"/>
                <w:kern w:val="2"/>
                <w:sz w:val="21"/>
                <w:szCs w:val="24"/>
              </w:rPr>
              <w:t>预案分级响应条件</w:t>
            </w:r>
          </w:p>
        </w:tc>
        <w:tc>
          <w:tcPr>
            <w:tcW w:w="3295" w:type="pct"/>
            <w:shd w:val="clear" w:color="auto" w:fill="auto"/>
            <w:vAlign w:val="center"/>
          </w:tcPr>
          <w:p w14:paraId="3DA94FE4">
            <w:pPr>
              <w:spacing w:line="240" w:lineRule="auto"/>
              <w:ind w:firstLine="0" w:firstLineChars="0"/>
              <w:rPr>
                <w:kern w:val="2"/>
                <w:sz w:val="21"/>
                <w:szCs w:val="24"/>
              </w:rPr>
            </w:pPr>
            <w:r>
              <w:rPr>
                <w:rFonts w:hint="eastAsia"/>
                <w:kern w:val="2"/>
                <w:sz w:val="21"/>
                <w:szCs w:val="24"/>
              </w:rPr>
              <w:t>规定预案的级别及分级响应程序</w:t>
            </w:r>
          </w:p>
        </w:tc>
      </w:tr>
      <w:tr w14:paraId="639D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2" w:type="pct"/>
            <w:shd w:val="clear" w:color="auto" w:fill="auto"/>
            <w:vAlign w:val="center"/>
          </w:tcPr>
          <w:p w14:paraId="508DA75C">
            <w:pPr>
              <w:spacing w:line="240" w:lineRule="auto"/>
              <w:ind w:firstLine="0" w:firstLineChars="0"/>
              <w:jc w:val="center"/>
              <w:rPr>
                <w:kern w:val="2"/>
                <w:sz w:val="21"/>
                <w:szCs w:val="24"/>
              </w:rPr>
            </w:pPr>
            <w:r>
              <w:rPr>
                <w:rFonts w:hint="eastAsia"/>
                <w:kern w:val="2"/>
                <w:sz w:val="21"/>
                <w:szCs w:val="24"/>
              </w:rPr>
              <w:t>4</w:t>
            </w:r>
          </w:p>
        </w:tc>
        <w:tc>
          <w:tcPr>
            <w:tcW w:w="1282" w:type="pct"/>
            <w:shd w:val="clear" w:color="auto" w:fill="auto"/>
            <w:vAlign w:val="center"/>
          </w:tcPr>
          <w:p w14:paraId="655A608B">
            <w:pPr>
              <w:spacing w:line="240" w:lineRule="auto"/>
              <w:ind w:firstLine="0" w:firstLineChars="0"/>
              <w:rPr>
                <w:kern w:val="2"/>
                <w:sz w:val="21"/>
                <w:szCs w:val="24"/>
              </w:rPr>
            </w:pPr>
            <w:r>
              <w:rPr>
                <w:rFonts w:hint="eastAsia"/>
                <w:kern w:val="2"/>
                <w:sz w:val="21"/>
                <w:szCs w:val="24"/>
              </w:rPr>
              <w:t>应急救援保障</w:t>
            </w:r>
          </w:p>
        </w:tc>
        <w:tc>
          <w:tcPr>
            <w:tcW w:w="3295" w:type="pct"/>
            <w:shd w:val="clear" w:color="auto" w:fill="auto"/>
            <w:vAlign w:val="center"/>
          </w:tcPr>
          <w:p w14:paraId="57369275">
            <w:pPr>
              <w:spacing w:line="240" w:lineRule="auto"/>
              <w:ind w:firstLine="0" w:firstLineChars="0"/>
              <w:rPr>
                <w:kern w:val="2"/>
                <w:sz w:val="21"/>
                <w:szCs w:val="24"/>
              </w:rPr>
            </w:pPr>
            <w:r>
              <w:rPr>
                <w:rFonts w:hint="eastAsia"/>
                <w:kern w:val="2"/>
                <w:sz w:val="21"/>
                <w:szCs w:val="24"/>
              </w:rPr>
              <w:t>应急设施，设备与器材</w:t>
            </w:r>
          </w:p>
        </w:tc>
      </w:tr>
      <w:tr w14:paraId="4DD1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280A8C63">
            <w:pPr>
              <w:spacing w:line="240" w:lineRule="auto"/>
              <w:ind w:firstLine="0" w:firstLineChars="0"/>
              <w:jc w:val="center"/>
              <w:rPr>
                <w:kern w:val="2"/>
                <w:sz w:val="21"/>
                <w:szCs w:val="24"/>
              </w:rPr>
            </w:pPr>
            <w:r>
              <w:rPr>
                <w:rFonts w:hint="eastAsia"/>
                <w:kern w:val="2"/>
                <w:sz w:val="21"/>
                <w:szCs w:val="24"/>
              </w:rPr>
              <w:t>5</w:t>
            </w:r>
          </w:p>
        </w:tc>
        <w:tc>
          <w:tcPr>
            <w:tcW w:w="1282" w:type="pct"/>
            <w:shd w:val="clear" w:color="auto" w:fill="auto"/>
            <w:vAlign w:val="center"/>
          </w:tcPr>
          <w:p w14:paraId="37B86E6F">
            <w:pPr>
              <w:spacing w:line="240" w:lineRule="auto"/>
              <w:ind w:firstLine="0" w:firstLineChars="0"/>
              <w:rPr>
                <w:kern w:val="2"/>
                <w:sz w:val="21"/>
                <w:szCs w:val="24"/>
              </w:rPr>
            </w:pPr>
            <w:r>
              <w:rPr>
                <w:rFonts w:hint="eastAsia"/>
                <w:kern w:val="2"/>
                <w:sz w:val="21"/>
                <w:szCs w:val="24"/>
              </w:rPr>
              <w:t>报警、通讯联络方式</w:t>
            </w:r>
          </w:p>
        </w:tc>
        <w:tc>
          <w:tcPr>
            <w:tcW w:w="3295" w:type="pct"/>
            <w:shd w:val="clear" w:color="auto" w:fill="auto"/>
            <w:vAlign w:val="center"/>
          </w:tcPr>
          <w:p w14:paraId="39716234">
            <w:pPr>
              <w:spacing w:line="240" w:lineRule="auto"/>
              <w:ind w:firstLine="0" w:firstLineChars="0"/>
              <w:rPr>
                <w:kern w:val="2"/>
                <w:sz w:val="21"/>
                <w:szCs w:val="24"/>
              </w:rPr>
            </w:pPr>
            <w:r>
              <w:rPr>
                <w:rFonts w:hint="eastAsia"/>
                <w:kern w:val="2"/>
                <w:sz w:val="21"/>
                <w:szCs w:val="24"/>
              </w:rPr>
              <w:t>规定应急状态下的报警通讯方式、通知方式和交通保障、管制</w:t>
            </w:r>
          </w:p>
        </w:tc>
      </w:tr>
      <w:tr w14:paraId="60B2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6FF01723">
            <w:pPr>
              <w:spacing w:line="240" w:lineRule="auto"/>
              <w:ind w:firstLine="0" w:firstLineChars="0"/>
              <w:jc w:val="center"/>
              <w:rPr>
                <w:kern w:val="2"/>
                <w:sz w:val="21"/>
                <w:szCs w:val="24"/>
              </w:rPr>
            </w:pPr>
            <w:r>
              <w:rPr>
                <w:rFonts w:hint="eastAsia"/>
                <w:kern w:val="2"/>
                <w:sz w:val="21"/>
                <w:szCs w:val="24"/>
              </w:rPr>
              <w:t>6</w:t>
            </w:r>
          </w:p>
        </w:tc>
        <w:tc>
          <w:tcPr>
            <w:tcW w:w="1282" w:type="pct"/>
            <w:shd w:val="clear" w:color="auto" w:fill="auto"/>
            <w:vAlign w:val="center"/>
          </w:tcPr>
          <w:p w14:paraId="68B48B3B">
            <w:pPr>
              <w:spacing w:line="240" w:lineRule="auto"/>
              <w:ind w:firstLine="0" w:firstLineChars="0"/>
              <w:rPr>
                <w:kern w:val="2"/>
                <w:sz w:val="21"/>
                <w:szCs w:val="24"/>
              </w:rPr>
            </w:pPr>
            <w:r>
              <w:rPr>
                <w:rFonts w:hint="eastAsia"/>
                <w:kern w:val="2"/>
                <w:sz w:val="21"/>
                <w:szCs w:val="24"/>
              </w:rPr>
              <w:t>应急环境监测、抢险、救援及控制措施</w:t>
            </w:r>
          </w:p>
        </w:tc>
        <w:tc>
          <w:tcPr>
            <w:tcW w:w="3295" w:type="pct"/>
            <w:shd w:val="clear" w:color="auto" w:fill="auto"/>
            <w:vAlign w:val="center"/>
          </w:tcPr>
          <w:p w14:paraId="714E3777">
            <w:pPr>
              <w:spacing w:line="240" w:lineRule="auto"/>
              <w:ind w:firstLine="0" w:firstLineChars="0"/>
              <w:rPr>
                <w:kern w:val="2"/>
                <w:sz w:val="21"/>
                <w:szCs w:val="24"/>
              </w:rPr>
            </w:pPr>
            <w:r>
              <w:rPr>
                <w:rFonts w:hint="eastAsia"/>
                <w:kern w:val="2"/>
                <w:sz w:val="21"/>
                <w:szCs w:val="24"/>
              </w:rPr>
              <w:t>由专业队伍负责对事故现场进行侦查监测，对事故性质、参数与后果进行评估，为指挥部门提供决策依据</w:t>
            </w:r>
          </w:p>
        </w:tc>
      </w:tr>
      <w:tr w14:paraId="70B7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427DD77D">
            <w:pPr>
              <w:spacing w:line="240" w:lineRule="auto"/>
              <w:ind w:firstLine="0" w:firstLineChars="0"/>
              <w:jc w:val="center"/>
              <w:rPr>
                <w:kern w:val="2"/>
                <w:sz w:val="21"/>
                <w:szCs w:val="24"/>
              </w:rPr>
            </w:pPr>
            <w:r>
              <w:rPr>
                <w:rFonts w:hint="eastAsia"/>
                <w:kern w:val="2"/>
                <w:sz w:val="21"/>
                <w:szCs w:val="24"/>
              </w:rPr>
              <w:t>7</w:t>
            </w:r>
          </w:p>
        </w:tc>
        <w:tc>
          <w:tcPr>
            <w:tcW w:w="1282" w:type="pct"/>
            <w:shd w:val="clear" w:color="auto" w:fill="auto"/>
            <w:vAlign w:val="center"/>
          </w:tcPr>
          <w:p w14:paraId="70C0B02C">
            <w:pPr>
              <w:spacing w:line="240" w:lineRule="auto"/>
              <w:ind w:firstLine="0" w:firstLineChars="0"/>
              <w:rPr>
                <w:kern w:val="2"/>
                <w:sz w:val="21"/>
                <w:szCs w:val="24"/>
              </w:rPr>
            </w:pPr>
            <w:r>
              <w:rPr>
                <w:rFonts w:hint="eastAsia"/>
                <w:kern w:val="2"/>
                <w:sz w:val="21"/>
                <w:szCs w:val="24"/>
              </w:rPr>
              <w:t>应急检测、防护措施、清楚泄露措施和器材</w:t>
            </w:r>
          </w:p>
        </w:tc>
        <w:tc>
          <w:tcPr>
            <w:tcW w:w="3295" w:type="pct"/>
            <w:shd w:val="clear" w:color="auto" w:fill="auto"/>
            <w:vAlign w:val="center"/>
          </w:tcPr>
          <w:p w14:paraId="2B33790E">
            <w:pPr>
              <w:spacing w:line="240" w:lineRule="auto"/>
              <w:ind w:firstLine="0" w:firstLineChars="0"/>
              <w:rPr>
                <w:kern w:val="2"/>
                <w:sz w:val="21"/>
                <w:szCs w:val="24"/>
              </w:rPr>
            </w:pPr>
            <w:r>
              <w:rPr>
                <w:rFonts w:hint="eastAsia"/>
                <w:kern w:val="2"/>
                <w:sz w:val="21"/>
                <w:szCs w:val="24"/>
              </w:rPr>
              <w:t>事故现场、临近区域、控制防火措施，控制和清楚污染措施及相应设备</w:t>
            </w:r>
          </w:p>
        </w:tc>
      </w:tr>
      <w:tr w14:paraId="5AA4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55193C84">
            <w:pPr>
              <w:spacing w:line="240" w:lineRule="auto"/>
              <w:ind w:firstLine="0" w:firstLineChars="0"/>
              <w:jc w:val="center"/>
              <w:rPr>
                <w:kern w:val="2"/>
                <w:sz w:val="21"/>
                <w:szCs w:val="24"/>
              </w:rPr>
            </w:pPr>
            <w:r>
              <w:rPr>
                <w:rFonts w:hint="eastAsia"/>
                <w:kern w:val="2"/>
                <w:sz w:val="21"/>
                <w:szCs w:val="24"/>
              </w:rPr>
              <w:t>8</w:t>
            </w:r>
          </w:p>
        </w:tc>
        <w:tc>
          <w:tcPr>
            <w:tcW w:w="1282" w:type="pct"/>
            <w:shd w:val="clear" w:color="auto" w:fill="auto"/>
            <w:vAlign w:val="center"/>
          </w:tcPr>
          <w:p w14:paraId="44338578">
            <w:pPr>
              <w:spacing w:line="240" w:lineRule="auto"/>
              <w:ind w:firstLine="0" w:firstLineChars="0"/>
              <w:rPr>
                <w:kern w:val="2"/>
                <w:sz w:val="21"/>
                <w:szCs w:val="24"/>
              </w:rPr>
            </w:pPr>
            <w:r>
              <w:rPr>
                <w:rFonts w:hint="eastAsia"/>
                <w:kern w:val="2"/>
                <w:sz w:val="21"/>
                <w:szCs w:val="24"/>
              </w:rPr>
              <w:t>人员紧急撤离、疏散，应急剂量控制、撤离组织计划</w:t>
            </w:r>
          </w:p>
        </w:tc>
        <w:tc>
          <w:tcPr>
            <w:tcW w:w="3295" w:type="pct"/>
            <w:shd w:val="clear" w:color="auto" w:fill="auto"/>
            <w:vAlign w:val="center"/>
          </w:tcPr>
          <w:p w14:paraId="07942D8E">
            <w:pPr>
              <w:spacing w:line="240" w:lineRule="auto"/>
              <w:ind w:firstLine="0" w:firstLineChars="0"/>
              <w:rPr>
                <w:kern w:val="2"/>
                <w:sz w:val="21"/>
                <w:szCs w:val="24"/>
              </w:rPr>
            </w:pPr>
            <w:r>
              <w:rPr>
                <w:rFonts w:hint="eastAsia"/>
                <w:kern w:val="2"/>
                <w:sz w:val="21"/>
                <w:szCs w:val="24"/>
              </w:rPr>
              <w:t>事故现场、厂区临近区、受事故影响的区域人员及公众对毒物应急剂量控制规定，撤离组织计划及救护，医疗救护与公众健康</w:t>
            </w:r>
          </w:p>
        </w:tc>
      </w:tr>
      <w:tr w14:paraId="0D91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6D78F8A3">
            <w:pPr>
              <w:spacing w:line="240" w:lineRule="auto"/>
              <w:ind w:firstLine="0" w:firstLineChars="0"/>
              <w:jc w:val="center"/>
              <w:rPr>
                <w:kern w:val="2"/>
                <w:sz w:val="21"/>
                <w:szCs w:val="24"/>
              </w:rPr>
            </w:pPr>
            <w:r>
              <w:rPr>
                <w:rFonts w:hint="eastAsia"/>
                <w:kern w:val="2"/>
                <w:sz w:val="21"/>
                <w:szCs w:val="24"/>
              </w:rPr>
              <w:t>9</w:t>
            </w:r>
          </w:p>
        </w:tc>
        <w:tc>
          <w:tcPr>
            <w:tcW w:w="1282" w:type="pct"/>
            <w:shd w:val="clear" w:color="auto" w:fill="auto"/>
            <w:vAlign w:val="center"/>
          </w:tcPr>
          <w:p w14:paraId="54E77708">
            <w:pPr>
              <w:spacing w:line="240" w:lineRule="auto"/>
              <w:ind w:firstLine="0" w:firstLineChars="0"/>
              <w:rPr>
                <w:kern w:val="2"/>
                <w:sz w:val="21"/>
                <w:szCs w:val="24"/>
              </w:rPr>
            </w:pPr>
            <w:r>
              <w:rPr>
                <w:rFonts w:hint="eastAsia"/>
                <w:kern w:val="2"/>
                <w:sz w:val="21"/>
                <w:szCs w:val="24"/>
              </w:rPr>
              <w:t>事故应急救援关闭程序与恢复措施</w:t>
            </w:r>
          </w:p>
        </w:tc>
        <w:tc>
          <w:tcPr>
            <w:tcW w:w="3295" w:type="pct"/>
            <w:shd w:val="clear" w:color="auto" w:fill="auto"/>
            <w:vAlign w:val="center"/>
          </w:tcPr>
          <w:p w14:paraId="4ECE4473">
            <w:pPr>
              <w:spacing w:line="240" w:lineRule="auto"/>
              <w:ind w:firstLine="0" w:firstLineChars="0"/>
              <w:rPr>
                <w:kern w:val="2"/>
                <w:sz w:val="21"/>
                <w:szCs w:val="24"/>
              </w:rPr>
            </w:pPr>
            <w:r>
              <w:rPr>
                <w:rFonts w:hint="eastAsia"/>
                <w:kern w:val="2"/>
                <w:sz w:val="21"/>
                <w:szCs w:val="24"/>
              </w:rPr>
              <w:t>规定应急状态终止程序；</w:t>
            </w:r>
          </w:p>
          <w:p w14:paraId="5A24C1BF">
            <w:pPr>
              <w:spacing w:line="240" w:lineRule="auto"/>
              <w:ind w:firstLine="0" w:firstLineChars="0"/>
              <w:rPr>
                <w:kern w:val="2"/>
                <w:sz w:val="21"/>
                <w:szCs w:val="24"/>
              </w:rPr>
            </w:pPr>
            <w:r>
              <w:rPr>
                <w:rFonts w:hint="eastAsia"/>
                <w:kern w:val="2"/>
                <w:sz w:val="21"/>
                <w:szCs w:val="24"/>
              </w:rPr>
              <w:t>事故现场善后处理，恢复措施；</w:t>
            </w:r>
          </w:p>
          <w:p w14:paraId="4F29B1A6">
            <w:pPr>
              <w:spacing w:line="240" w:lineRule="auto"/>
              <w:ind w:firstLine="0" w:firstLineChars="0"/>
              <w:rPr>
                <w:kern w:val="2"/>
                <w:sz w:val="21"/>
                <w:szCs w:val="24"/>
              </w:rPr>
            </w:pPr>
            <w:r>
              <w:rPr>
                <w:rFonts w:hint="eastAsia"/>
                <w:kern w:val="2"/>
                <w:sz w:val="21"/>
                <w:szCs w:val="24"/>
              </w:rPr>
              <w:t>临近区域解除事故警戒及善后恢复措施</w:t>
            </w:r>
          </w:p>
        </w:tc>
      </w:tr>
      <w:tr w14:paraId="08CE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1155B666">
            <w:pPr>
              <w:spacing w:line="240" w:lineRule="auto"/>
              <w:ind w:firstLine="0" w:firstLineChars="0"/>
              <w:jc w:val="center"/>
              <w:rPr>
                <w:kern w:val="2"/>
                <w:sz w:val="21"/>
                <w:szCs w:val="24"/>
              </w:rPr>
            </w:pPr>
            <w:r>
              <w:rPr>
                <w:rFonts w:hint="eastAsia"/>
                <w:kern w:val="2"/>
                <w:sz w:val="21"/>
                <w:szCs w:val="24"/>
              </w:rPr>
              <w:t>10</w:t>
            </w:r>
          </w:p>
        </w:tc>
        <w:tc>
          <w:tcPr>
            <w:tcW w:w="1282" w:type="pct"/>
            <w:shd w:val="clear" w:color="auto" w:fill="auto"/>
            <w:vAlign w:val="center"/>
          </w:tcPr>
          <w:p w14:paraId="204324F3">
            <w:pPr>
              <w:spacing w:line="240" w:lineRule="auto"/>
              <w:ind w:firstLine="0" w:firstLineChars="0"/>
              <w:rPr>
                <w:kern w:val="2"/>
                <w:sz w:val="21"/>
                <w:szCs w:val="24"/>
              </w:rPr>
            </w:pPr>
            <w:r>
              <w:rPr>
                <w:rFonts w:hint="eastAsia"/>
                <w:kern w:val="2"/>
                <w:sz w:val="21"/>
                <w:szCs w:val="24"/>
              </w:rPr>
              <w:t>应急培训计划</w:t>
            </w:r>
          </w:p>
        </w:tc>
        <w:tc>
          <w:tcPr>
            <w:tcW w:w="3295" w:type="pct"/>
            <w:shd w:val="clear" w:color="auto" w:fill="auto"/>
            <w:vAlign w:val="center"/>
          </w:tcPr>
          <w:p w14:paraId="4AED331A">
            <w:pPr>
              <w:spacing w:line="240" w:lineRule="auto"/>
              <w:ind w:firstLine="0" w:firstLineChars="0"/>
              <w:rPr>
                <w:kern w:val="2"/>
                <w:sz w:val="21"/>
                <w:szCs w:val="24"/>
              </w:rPr>
            </w:pPr>
            <w:r>
              <w:rPr>
                <w:rFonts w:hint="eastAsia"/>
                <w:kern w:val="2"/>
                <w:sz w:val="21"/>
                <w:szCs w:val="24"/>
              </w:rPr>
              <w:t>应急计划制定后，平时安排人员培训与演练</w:t>
            </w:r>
          </w:p>
        </w:tc>
      </w:tr>
      <w:tr w14:paraId="54E1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6CBE8C70">
            <w:pPr>
              <w:spacing w:line="240" w:lineRule="auto"/>
              <w:ind w:firstLine="0" w:firstLineChars="0"/>
              <w:jc w:val="center"/>
              <w:rPr>
                <w:kern w:val="2"/>
                <w:sz w:val="21"/>
                <w:szCs w:val="24"/>
              </w:rPr>
            </w:pPr>
            <w:r>
              <w:rPr>
                <w:rFonts w:hint="eastAsia"/>
                <w:kern w:val="2"/>
                <w:sz w:val="21"/>
                <w:szCs w:val="24"/>
              </w:rPr>
              <w:t>11</w:t>
            </w:r>
          </w:p>
        </w:tc>
        <w:tc>
          <w:tcPr>
            <w:tcW w:w="1282" w:type="pct"/>
            <w:shd w:val="clear" w:color="auto" w:fill="auto"/>
            <w:vAlign w:val="center"/>
          </w:tcPr>
          <w:p w14:paraId="651EA004">
            <w:pPr>
              <w:spacing w:line="240" w:lineRule="auto"/>
              <w:ind w:firstLine="0" w:firstLineChars="0"/>
              <w:rPr>
                <w:kern w:val="2"/>
                <w:sz w:val="21"/>
                <w:szCs w:val="24"/>
              </w:rPr>
            </w:pPr>
            <w:r>
              <w:rPr>
                <w:rFonts w:hint="eastAsia"/>
                <w:kern w:val="2"/>
                <w:sz w:val="21"/>
                <w:szCs w:val="24"/>
              </w:rPr>
              <w:t>公众教育和信息</w:t>
            </w:r>
          </w:p>
        </w:tc>
        <w:tc>
          <w:tcPr>
            <w:tcW w:w="3295" w:type="pct"/>
            <w:shd w:val="clear" w:color="auto" w:fill="auto"/>
            <w:vAlign w:val="center"/>
          </w:tcPr>
          <w:p w14:paraId="62EDB90E">
            <w:pPr>
              <w:spacing w:line="240" w:lineRule="auto"/>
              <w:ind w:firstLine="0" w:firstLineChars="0"/>
              <w:rPr>
                <w:kern w:val="2"/>
                <w:sz w:val="21"/>
                <w:szCs w:val="24"/>
              </w:rPr>
            </w:pPr>
            <w:r>
              <w:rPr>
                <w:rFonts w:hint="eastAsia"/>
                <w:kern w:val="2"/>
                <w:sz w:val="21"/>
                <w:szCs w:val="24"/>
              </w:rPr>
              <w:t>对临近地区开展公众教育、培训和发布有关信息</w:t>
            </w:r>
          </w:p>
        </w:tc>
      </w:tr>
    </w:tbl>
    <w:p w14:paraId="5EB10AA7">
      <w:pPr>
        <w:pStyle w:val="4"/>
      </w:pPr>
      <w:bookmarkStart w:id="192" w:name="_Toc106663516"/>
      <w:bookmarkStart w:id="193" w:name="_Toc89619346"/>
      <w:r>
        <w:rPr>
          <w:rFonts w:hint="eastAsia"/>
        </w:rPr>
        <w:t>5.3.9项目风险评价结论与建议</w:t>
      </w:r>
      <w:bookmarkEnd w:id="192"/>
      <w:bookmarkEnd w:id="193"/>
    </w:p>
    <w:p w14:paraId="48F29A42">
      <w:pPr>
        <w:ind w:firstLine="480"/>
      </w:pPr>
      <w:r>
        <w:t>1、风险评价结论</w:t>
      </w:r>
    </w:p>
    <w:p w14:paraId="1E14BDE8">
      <w:pPr>
        <w:ind w:firstLine="480"/>
      </w:pPr>
      <w:r>
        <w:t>风险评价的结果表明，本项目环境风险主要来自</w:t>
      </w:r>
      <w:r>
        <w:rPr>
          <w:rFonts w:hint="eastAsia"/>
        </w:rPr>
        <w:t>骆驼</w:t>
      </w:r>
      <w:r>
        <w:t>饲养过程中的</w:t>
      </w:r>
      <w:r>
        <w:rPr>
          <w:rFonts w:hint="eastAsia"/>
        </w:rPr>
        <w:t>骆驼尸体</w:t>
      </w:r>
      <w:r>
        <w:t>、排水管网和</w:t>
      </w:r>
      <w:r>
        <w:rPr>
          <w:rFonts w:hint="eastAsia"/>
        </w:rPr>
        <w:t>防渗化粪池</w:t>
      </w:r>
      <w:r>
        <w:t>泄露、医疗废物污染事故等</w:t>
      </w:r>
      <w:r>
        <w:rPr>
          <w:rFonts w:hint="eastAsia"/>
        </w:rPr>
        <w:t>。</w:t>
      </w:r>
      <w:r>
        <w:t>本项目距居民区较远，在进一步采取安全防范措施和事故应急预案、在落实各项环保措施和采取本报告书提出的有关建议的前提下，基本满足国家相关环境保护和安全法规、标准的要求，该项目发生风险事故的可能进一步降低，其潜在的环境风险是可以接受的</w:t>
      </w:r>
      <w:r>
        <w:rPr>
          <w:rFonts w:hint="eastAsia"/>
        </w:rPr>
        <w:t>。</w:t>
      </w:r>
      <w:r>
        <w:t>但企业仍需要提高风险管理水平和强化风险防范措施，降低环境风险事故发生的概率</w:t>
      </w:r>
      <w:r>
        <w:rPr>
          <w:rFonts w:hint="eastAsia"/>
        </w:rPr>
        <w:t>。</w:t>
      </w:r>
    </w:p>
    <w:p w14:paraId="1CC61E49">
      <w:pPr>
        <w:ind w:firstLine="480"/>
      </w:pPr>
      <w:r>
        <w:t>2、建议</w:t>
      </w:r>
    </w:p>
    <w:p w14:paraId="7784A86A">
      <w:pPr>
        <w:ind w:firstLine="480"/>
      </w:pPr>
      <w:r>
        <w:rPr>
          <w:rFonts w:hint="eastAsia"/>
        </w:rPr>
        <w:t>（</w:t>
      </w:r>
      <w:r>
        <w:t>1</w:t>
      </w:r>
      <w:r>
        <w:rPr>
          <w:rFonts w:hint="eastAsia"/>
        </w:rPr>
        <w:t>）</w:t>
      </w:r>
      <w:r>
        <w:t>本项目具有潜在的事故风险，尽管风险可接受，但企业应从建设、生产、贮运等各方面积极采取防护措施，这是确保安全的根本措施</w:t>
      </w:r>
      <w:r>
        <w:rPr>
          <w:rFonts w:hint="eastAsia"/>
        </w:rPr>
        <w:t>。</w:t>
      </w:r>
    </w:p>
    <w:p w14:paraId="373DD8CE">
      <w:pPr>
        <w:ind w:firstLine="480"/>
      </w:pPr>
      <w:r>
        <w:rPr>
          <w:rFonts w:hint="eastAsia"/>
        </w:rPr>
        <w:t>（</w:t>
      </w:r>
      <w:r>
        <w:t>2</w:t>
      </w:r>
      <w:r>
        <w:rPr>
          <w:rFonts w:hint="eastAsia"/>
        </w:rPr>
        <w:t>）</w:t>
      </w:r>
      <w:r>
        <w:t>当出现事故时，要采取紧急的工程应急措施，如必要，应采取社会应急措施，以控制事故和减少对环境造成的危害</w:t>
      </w:r>
      <w:r>
        <w:rPr>
          <w:rFonts w:hint="eastAsia"/>
        </w:rPr>
        <w:t>。</w:t>
      </w:r>
    </w:p>
    <w:p w14:paraId="5AB318B2">
      <w:pPr>
        <w:ind w:firstLine="480"/>
      </w:pPr>
      <w:r>
        <w:rPr>
          <w:rFonts w:hint="eastAsia"/>
        </w:rPr>
        <w:t>（</w:t>
      </w:r>
      <w:r>
        <w:t>3</w:t>
      </w:r>
      <w:r>
        <w:rPr>
          <w:rFonts w:hint="eastAsia"/>
        </w:rPr>
        <w:t>）</w:t>
      </w:r>
      <w:r>
        <w:t>按照企业制定的突发环境事故应急预案，定期进行预案演练并实现与地方政府或相关管理部门突发环境事故应急预案的有效衔接</w:t>
      </w:r>
      <w:r>
        <w:rPr>
          <w:rFonts w:hint="eastAsia"/>
        </w:rPr>
        <w:t>。</w:t>
      </w:r>
    </w:p>
    <w:p w14:paraId="23C757E8">
      <w:pPr>
        <w:ind w:firstLine="480"/>
      </w:pPr>
      <w:r>
        <w:rPr>
          <w:rFonts w:hint="eastAsia"/>
        </w:rPr>
        <w:t>（</w:t>
      </w:r>
      <w:r>
        <w:t>4</w:t>
      </w:r>
      <w:r>
        <w:rPr>
          <w:rFonts w:hint="eastAsia"/>
        </w:rPr>
        <w:t>）</w:t>
      </w:r>
      <w:r>
        <w:t>建设单位必须高度重视，做到风险防范警钟常鸣，环境安全管理常抓不懈；严格落实各项风险防范措施，不断完善风险管理体系</w:t>
      </w:r>
      <w:r>
        <w:rPr>
          <w:rFonts w:hint="eastAsia"/>
        </w:rPr>
        <w:t>。</w:t>
      </w:r>
    </w:p>
    <w:p w14:paraId="318420B2">
      <w:pPr>
        <w:ind w:firstLine="480"/>
      </w:pPr>
      <w:r>
        <w:rPr>
          <w:rFonts w:hint="eastAsia"/>
        </w:rPr>
        <w:t>（</w:t>
      </w:r>
      <w:r>
        <w:t>5</w:t>
      </w:r>
      <w:r>
        <w:rPr>
          <w:rFonts w:hint="eastAsia"/>
        </w:rPr>
        <w:t>）</w:t>
      </w:r>
      <w:r>
        <w:t>建立企业环境风险应急机制，加强厂区管道的巡查、监视力度，强化风险管理，强化对员工的职业素质教育，杜绝违章作业</w:t>
      </w:r>
      <w:r>
        <w:rPr>
          <w:rFonts w:hint="eastAsia"/>
        </w:rPr>
        <w:t>。</w:t>
      </w:r>
    </w:p>
    <w:p w14:paraId="34E71618">
      <w:pPr>
        <w:ind w:firstLine="480"/>
      </w:pPr>
      <w:r>
        <w:t>3、建设项目环境风险简单分析内容表</w:t>
      </w:r>
    </w:p>
    <w:p w14:paraId="204770DC">
      <w:pPr>
        <w:ind w:firstLine="480"/>
      </w:pPr>
      <w:r>
        <w:rPr>
          <w:rFonts w:hint="eastAsia"/>
        </w:rPr>
        <w:t>建设项目环境风险简单分析内容见表5.3-7。</w:t>
      </w:r>
    </w:p>
    <w:p w14:paraId="6FC16F1A">
      <w:pPr>
        <w:pStyle w:val="11"/>
      </w:pPr>
      <w:r>
        <w:rPr>
          <w:rFonts w:hint="eastAsia"/>
        </w:rPr>
        <w:t>表5.3-7建设项目环境风险简单分析内容表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990"/>
        <w:gridCol w:w="1823"/>
        <w:gridCol w:w="1365"/>
        <w:gridCol w:w="2749"/>
      </w:tblGrid>
      <w:tr w14:paraId="14D6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pct"/>
            <w:shd w:val="clear" w:color="auto" w:fill="auto"/>
            <w:vAlign w:val="center"/>
          </w:tcPr>
          <w:p w14:paraId="6AD027B6">
            <w:pPr>
              <w:spacing w:line="240" w:lineRule="auto"/>
              <w:ind w:firstLine="0" w:firstLineChars="0"/>
              <w:jc w:val="center"/>
              <w:rPr>
                <w:kern w:val="2"/>
                <w:sz w:val="21"/>
                <w:szCs w:val="24"/>
              </w:rPr>
            </w:pPr>
            <w:r>
              <w:rPr>
                <w:rFonts w:hint="eastAsia"/>
                <w:kern w:val="2"/>
                <w:sz w:val="21"/>
                <w:szCs w:val="24"/>
              </w:rPr>
              <w:t>建设项目名称</w:t>
            </w:r>
          </w:p>
        </w:tc>
        <w:tc>
          <w:tcPr>
            <w:tcW w:w="4065" w:type="pct"/>
            <w:gridSpan w:val="4"/>
            <w:shd w:val="clear" w:color="auto" w:fill="auto"/>
            <w:vAlign w:val="center"/>
          </w:tcPr>
          <w:p w14:paraId="4E906747">
            <w:pPr>
              <w:spacing w:line="240" w:lineRule="auto"/>
              <w:ind w:firstLine="0" w:firstLineChars="0"/>
              <w:jc w:val="center"/>
              <w:rPr>
                <w:kern w:val="2"/>
                <w:sz w:val="21"/>
                <w:szCs w:val="24"/>
              </w:rPr>
            </w:pPr>
            <w:r>
              <w:rPr>
                <w:rFonts w:hint="eastAsia"/>
                <w:kern w:val="2"/>
                <w:sz w:val="21"/>
                <w:szCs w:val="24"/>
              </w:rPr>
              <w:t>木垒县雀仁乡正格勒得村2024年养殖小区建设项目</w:t>
            </w:r>
          </w:p>
        </w:tc>
      </w:tr>
      <w:tr w14:paraId="5AA4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shd w:val="clear" w:color="auto" w:fill="auto"/>
            <w:vAlign w:val="center"/>
          </w:tcPr>
          <w:p w14:paraId="163C82C8">
            <w:pPr>
              <w:spacing w:line="240" w:lineRule="auto"/>
              <w:ind w:firstLine="0" w:firstLineChars="0"/>
              <w:jc w:val="center"/>
              <w:rPr>
                <w:kern w:val="2"/>
                <w:sz w:val="21"/>
                <w:szCs w:val="24"/>
              </w:rPr>
            </w:pPr>
            <w:r>
              <w:rPr>
                <w:rFonts w:hint="eastAsia"/>
                <w:kern w:val="2"/>
                <w:sz w:val="21"/>
                <w:szCs w:val="24"/>
              </w:rPr>
              <w:t>建设地点</w:t>
            </w:r>
          </w:p>
        </w:tc>
        <w:tc>
          <w:tcPr>
            <w:tcW w:w="581" w:type="pct"/>
            <w:shd w:val="clear" w:color="auto" w:fill="auto"/>
            <w:vAlign w:val="center"/>
          </w:tcPr>
          <w:p w14:paraId="2A71F0EC">
            <w:pPr>
              <w:spacing w:line="240" w:lineRule="auto"/>
              <w:ind w:firstLine="0" w:firstLineChars="0"/>
              <w:jc w:val="center"/>
              <w:rPr>
                <w:kern w:val="2"/>
                <w:sz w:val="21"/>
                <w:szCs w:val="24"/>
              </w:rPr>
            </w:pPr>
            <w:r>
              <w:rPr>
                <w:rFonts w:hint="eastAsia"/>
                <w:kern w:val="2"/>
                <w:sz w:val="21"/>
                <w:szCs w:val="24"/>
              </w:rPr>
              <w:t>新疆</w:t>
            </w:r>
          </w:p>
        </w:tc>
        <w:tc>
          <w:tcPr>
            <w:tcW w:w="1070" w:type="pct"/>
            <w:shd w:val="clear" w:color="auto" w:fill="auto"/>
            <w:vAlign w:val="center"/>
          </w:tcPr>
          <w:p w14:paraId="70346566">
            <w:pPr>
              <w:spacing w:line="240" w:lineRule="auto"/>
              <w:ind w:firstLine="0" w:firstLineChars="0"/>
              <w:jc w:val="center"/>
              <w:rPr>
                <w:kern w:val="2"/>
                <w:sz w:val="21"/>
                <w:szCs w:val="24"/>
              </w:rPr>
            </w:pPr>
            <w:r>
              <w:rPr>
                <w:rFonts w:hint="eastAsia"/>
                <w:kern w:val="2"/>
                <w:sz w:val="21"/>
                <w:szCs w:val="24"/>
              </w:rPr>
              <w:t>昌吉州</w:t>
            </w:r>
          </w:p>
        </w:tc>
        <w:tc>
          <w:tcPr>
            <w:tcW w:w="801" w:type="pct"/>
            <w:shd w:val="clear" w:color="auto" w:fill="auto"/>
            <w:vAlign w:val="center"/>
          </w:tcPr>
          <w:p w14:paraId="2522E7D4">
            <w:pPr>
              <w:spacing w:line="240" w:lineRule="auto"/>
              <w:ind w:firstLine="0" w:firstLineChars="0"/>
              <w:jc w:val="center"/>
              <w:rPr>
                <w:kern w:val="2"/>
                <w:sz w:val="21"/>
                <w:szCs w:val="24"/>
              </w:rPr>
            </w:pPr>
            <w:r>
              <w:rPr>
                <w:rFonts w:hint="eastAsia"/>
                <w:kern w:val="2"/>
                <w:sz w:val="21"/>
                <w:szCs w:val="24"/>
              </w:rPr>
              <w:t>木垒县</w:t>
            </w:r>
          </w:p>
        </w:tc>
        <w:tc>
          <w:tcPr>
            <w:tcW w:w="1613" w:type="pct"/>
            <w:shd w:val="clear" w:color="auto" w:fill="auto"/>
            <w:vAlign w:val="center"/>
          </w:tcPr>
          <w:p w14:paraId="4724678A">
            <w:pPr>
              <w:spacing w:line="240" w:lineRule="auto"/>
              <w:ind w:firstLine="0" w:firstLineChars="0"/>
              <w:jc w:val="center"/>
              <w:rPr>
                <w:kern w:val="2"/>
                <w:sz w:val="21"/>
                <w:szCs w:val="24"/>
              </w:rPr>
            </w:pPr>
            <w:r>
              <w:rPr>
                <w:rFonts w:hint="eastAsia"/>
                <w:kern w:val="2"/>
                <w:sz w:val="21"/>
                <w:szCs w:val="24"/>
              </w:rPr>
              <w:t>雀仁乡</w:t>
            </w:r>
          </w:p>
        </w:tc>
      </w:tr>
      <w:tr w14:paraId="6B5F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shd w:val="clear" w:color="auto" w:fill="auto"/>
            <w:vAlign w:val="center"/>
          </w:tcPr>
          <w:p w14:paraId="02B706E7">
            <w:pPr>
              <w:spacing w:line="240" w:lineRule="auto"/>
              <w:ind w:firstLine="0" w:firstLineChars="0"/>
              <w:jc w:val="center"/>
              <w:rPr>
                <w:kern w:val="2"/>
                <w:sz w:val="21"/>
                <w:szCs w:val="24"/>
              </w:rPr>
            </w:pPr>
            <w:r>
              <w:rPr>
                <w:rFonts w:hint="eastAsia"/>
                <w:kern w:val="2"/>
                <w:sz w:val="21"/>
                <w:szCs w:val="24"/>
              </w:rPr>
              <w:t>地理坐标</w:t>
            </w:r>
          </w:p>
        </w:tc>
        <w:tc>
          <w:tcPr>
            <w:tcW w:w="581" w:type="pct"/>
            <w:shd w:val="clear" w:color="auto" w:fill="auto"/>
            <w:vAlign w:val="center"/>
          </w:tcPr>
          <w:p w14:paraId="42908803">
            <w:pPr>
              <w:spacing w:line="240" w:lineRule="auto"/>
              <w:ind w:firstLine="0" w:firstLineChars="0"/>
              <w:jc w:val="center"/>
              <w:rPr>
                <w:kern w:val="2"/>
                <w:sz w:val="21"/>
                <w:szCs w:val="24"/>
              </w:rPr>
            </w:pPr>
            <w:r>
              <w:rPr>
                <w:rFonts w:hint="eastAsia"/>
                <w:kern w:val="2"/>
                <w:sz w:val="21"/>
                <w:szCs w:val="24"/>
              </w:rPr>
              <w:t>经度</w:t>
            </w:r>
          </w:p>
        </w:tc>
        <w:tc>
          <w:tcPr>
            <w:tcW w:w="1070" w:type="pct"/>
            <w:shd w:val="clear" w:color="auto" w:fill="auto"/>
            <w:vAlign w:val="center"/>
          </w:tcPr>
          <w:p w14:paraId="3DBEA87E">
            <w:pPr>
              <w:spacing w:line="240" w:lineRule="auto"/>
              <w:ind w:firstLine="0" w:firstLineChars="0"/>
              <w:jc w:val="center"/>
              <w:rPr>
                <w:kern w:val="2"/>
                <w:sz w:val="21"/>
                <w:szCs w:val="24"/>
              </w:rPr>
            </w:pPr>
            <w:r>
              <w:rPr>
                <w:rFonts w:hint="eastAsia"/>
                <w:kern w:val="2"/>
                <w:sz w:val="21"/>
                <w:szCs w:val="24"/>
              </w:rPr>
              <w:t>90°6′55.79986″</w:t>
            </w:r>
          </w:p>
        </w:tc>
        <w:tc>
          <w:tcPr>
            <w:tcW w:w="801" w:type="pct"/>
            <w:shd w:val="clear" w:color="auto" w:fill="auto"/>
            <w:vAlign w:val="center"/>
          </w:tcPr>
          <w:p w14:paraId="5652CC9A">
            <w:pPr>
              <w:spacing w:line="240" w:lineRule="auto"/>
              <w:ind w:firstLine="0" w:firstLineChars="0"/>
              <w:jc w:val="center"/>
              <w:rPr>
                <w:kern w:val="2"/>
                <w:sz w:val="21"/>
                <w:szCs w:val="24"/>
              </w:rPr>
            </w:pPr>
            <w:r>
              <w:rPr>
                <w:rFonts w:hint="eastAsia"/>
                <w:kern w:val="2"/>
                <w:sz w:val="21"/>
                <w:szCs w:val="24"/>
              </w:rPr>
              <w:t>纬度</w:t>
            </w:r>
          </w:p>
        </w:tc>
        <w:tc>
          <w:tcPr>
            <w:tcW w:w="1613" w:type="pct"/>
            <w:shd w:val="clear" w:color="auto" w:fill="auto"/>
            <w:vAlign w:val="center"/>
          </w:tcPr>
          <w:p w14:paraId="41802030">
            <w:pPr>
              <w:spacing w:line="240" w:lineRule="auto"/>
              <w:ind w:firstLine="0" w:firstLineChars="0"/>
              <w:jc w:val="center"/>
              <w:rPr>
                <w:kern w:val="2"/>
                <w:sz w:val="21"/>
                <w:szCs w:val="24"/>
              </w:rPr>
            </w:pPr>
            <w:r>
              <w:rPr>
                <w:rFonts w:hint="eastAsia"/>
                <w:kern w:val="2"/>
                <w:sz w:val="21"/>
                <w:szCs w:val="24"/>
              </w:rPr>
              <w:t>44°9′50.18874″</w:t>
            </w:r>
          </w:p>
        </w:tc>
      </w:tr>
      <w:tr w14:paraId="5147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14:paraId="50CA4DFF">
            <w:pPr>
              <w:spacing w:line="240" w:lineRule="auto"/>
              <w:ind w:firstLine="0" w:firstLineChars="0"/>
              <w:jc w:val="center"/>
              <w:rPr>
                <w:kern w:val="2"/>
                <w:sz w:val="21"/>
                <w:szCs w:val="24"/>
              </w:rPr>
            </w:pPr>
            <w:r>
              <w:rPr>
                <w:rFonts w:hint="eastAsia"/>
                <w:kern w:val="2"/>
                <w:sz w:val="21"/>
                <w:szCs w:val="24"/>
              </w:rPr>
              <w:t>主要危险物质及分布</w:t>
            </w:r>
          </w:p>
        </w:tc>
        <w:tc>
          <w:tcPr>
            <w:tcW w:w="4065" w:type="pct"/>
            <w:gridSpan w:val="4"/>
            <w:shd w:val="clear" w:color="auto" w:fill="auto"/>
            <w:vAlign w:val="center"/>
          </w:tcPr>
          <w:p w14:paraId="7C1F2126">
            <w:pPr>
              <w:spacing w:line="240" w:lineRule="auto"/>
              <w:ind w:firstLine="0" w:firstLineChars="0"/>
              <w:rPr>
                <w:kern w:val="2"/>
                <w:sz w:val="21"/>
                <w:szCs w:val="24"/>
              </w:rPr>
            </w:pPr>
            <w:r>
              <w:rPr>
                <w:kern w:val="2"/>
                <w:sz w:val="21"/>
                <w:szCs w:val="24"/>
              </w:rPr>
              <w:t>本项目不涉及《建设项目环境风险评价技术导则》</w:t>
            </w:r>
            <w:r>
              <w:rPr>
                <w:rFonts w:hint="eastAsia"/>
                <w:kern w:val="2"/>
                <w:sz w:val="21"/>
                <w:szCs w:val="24"/>
              </w:rPr>
              <w:t>（</w:t>
            </w:r>
            <w:r>
              <w:rPr>
                <w:kern w:val="2"/>
                <w:sz w:val="21"/>
                <w:szCs w:val="24"/>
              </w:rPr>
              <w:t>HJ169-2018</w:t>
            </w:r>
            <w:r>
              <w:rPr>
                <w:rFonts w:hint="eastAsia"/>
                <w:kern w:val="2"/>
                <w:sz w:val="21"/>
                <w:szCs w:val="24"/>
              </w:rPr>
              <w:t>）</w:t>
            </w:r>
            <w:r>
              <w:rPr>
                <w:kern w:val="2"/>
                <w:sz w:val="21"/>
                <w:szCs w:val="24"/>
              </w:rPr>
              <w:t>附录B中的风险物质</w:t>
            </w:r>
            <w:r>
              <w:rPr>
                <w:rFonts w:hint="eastAsia"/>
                <w:kern w:val="2"/>
                <w:sz w:val="21"/>
                <w:szCs w:val="24"/>
              </w:rPr>
              <w:t>。</w:t>
            </w:r>
          </w:p>
        </w:tc>
      </w:tr>
      <w:tr w14:paraId="21CE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14:paraId="4722C543">
            <w:pPr>
              <w:spacing w:line="240" w:lineRule="auto"/>
              <w:ind w:firstLine="0" w:firstLineChars="0"/>
              <w:jc w:val="center"/>
              <w:rPr>
                <w:kern w:val="2"/>
                <w:sz w:val="21"/>
                <w:szCs w:val="24"/>
              </w:rPr>
            </w:pPr>
            <w:r>
              <w:rPr>
                <w:rFonts w:hint="eastAsia"/>
                <w:kern w:val="2"/>
                <w:sz w:val="21"/>
                <w:szCs w:val="24"/>
              </w:rPr>
              <w:t>环境影响途径及危害后果</w:t>
            </w:r>
          </w:p>
        </w:tc>
        <w:tc>
          <w:tcPr>
            <w:tcW w:w="4065" w:type="pct"/>
            <w:gridSpan w:val="4"/>
            <w:shd w:val="clear" w:color="auto" w:fill="auto"/>
            <w:vAlign w:val="center"/>
          </w:tcPr>
          <w:p w14:paraId="1BF67ACD">
            <w:pPr>
              <w:spacing w:line="240" w:lineRule="auto"/>
              <w:ind w:firstLine="0" w:firstLineChars="0"/>
              <w:rPr>
                <w:kern w:val="2"/>
                <w:sz w:val="21"/>
                <w:szCs w:val="24"/>
              </w:rPr>
            </w:pPr>
            <w:r>
              <w:rPr>
                <w:kern w:val="2"/>
                <w:sz w:val="21"/>
                <w:szCs w:val="24"/>
              </w:rPr>
              <w:t>大气途径：无；</w:t>
            </w:r>
          </w:p>
          <w:p w14:paraId="59D1CDAF">
            <w:pPr>
              <w:spacing w:line="240" w:lineRule="auto"/>
              <w:ind w:firstLine="0" w:firstLineChars="0"/>
              <w:rPr>
                <w:kern w:val="2"/>
                <w:sz w:val="21"/>
                <w:szCs w:val="24"/>
              </w:rPr>
            </w:pPr>
            <w:r>
              <w:rPr>
                <w:kern w:val="2"/>
                <w:sz w:val="21"/>
                <w:szCs w:val="24"/>
              </w:rPr>
              <w:t>地表水途径：无；</w:t>
            </w:r>
          </w:p>
          <w:p w14:paraId="60CC89CA">
            <w:pPr>
              <w:spacing w:line="240" w:lineRule="auto"/>
              <w:ind w:firstLine="0" w:firstLineChars="0"/>
              <w:rPr>
                <w:kern w:val="2"/>
                <w:sz w:val="21"/>
                <w:szCs w:val="24"/>
              </w:rPr>
            </w:pPr>
            <w:r>
              <w:rPr>
                <w:kern w:val="2"/>
                <w:sz w:val="21"/>
                <w:szCs w:val="24"/>
              </w:rPr>
              <w:t>地下水途径：管线和</w:t>
            </w:r>
            <w:r>
              <w:rPr>
                <w:rFonts w:hint="eastAsia"/>
                <w:kern w:val="2"/>
                <w:sz w:val="21"/>
                <w:szCs w:val="24"/>
              </w:rPr>
              <w:t>防渗化粪池</w:t>
            </w:r>
            <w:r>
              <w:rPr>
                <w:kern w:val="2"/>
                <w:sz w:val="21"/>
                <w:szCs w:val="24"/>
              </w:rPr>
              <w:t>泄露、医疗废物污染等；</w:t>
            </w:r>
          </w:p>
        </w:tc>
      </w:tr>
      <w:tr w14:paraId="691E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35" w:type="pct"/>
            <w:shd w:val="clear" w:color="auto" w:fill="auto"/>
            <w:vAlign w:val="center"/>
          </w:tcPr>
          <w:p w14:paraId="1B8E93EE">
            <w:pPr>
              <w:spacing w:line="240" w:lineRule="auto"/>
              <w:ind w:firstLine="0" w:firstLineChars="0"/>
              <w:jc w:val="center"/>
              <w:rPr>
                <w:kern w:val="2"/>
                <w:sz w:val="21"/>
                <w:szCs w:val="24"/>
              </w:rPr>
            </w:pPr>
            <w:r>
              <w:rPr>
                <w:rFonts w:hint="eastAsia"/>
                <w:kern w:val="2"/>
                <w:sz w:val="21"/>
                <w:szCs w:val="24"/>
              </w:rPr>
              <w:t>风险防范措施要求</w:t>
            </w:r>
          </w:p>
        </w:tc>
        <w:tc>
          <w:tcPr>
            <w:tcW w:w="4065" w:type="pct"/>
            <w:gridSpan w:val="4"/>
            <w:shd w:val="clear" w:color="auto" w:fill="auto"/>
            <w:vAlign w:val="center"/>
          </w:tcPr>
          <w:p w14:paraId="47CDD293">
            <w:pPr>
              <w:spacing w:line="240" w:lineRule="auto"/>
              <w:ind w:firstLine="0" w:firstLineChars="0"/>
              <w:rPr>
                <w:kern w:val="2"/>
                <w:sz w:val="21"/>
                <w:szCs w:val="24"/>
              </w:rPr>
            </w:pPr>
            <w:r>
              <w:rPr>
                <w:rFonts w:hint="eastAsia"/>
                <w:kern w:val="2"/>
                <w:sz w:val="21"/>
                <w:szCs w:val="24"/>
              </w:rPr>
              <w:t>①制定突发事件环境应急预案并定期演练；</w:t>
            </w:r>
          </w:p>
          <w:p w14:paraId="3E142553">
            <w:pPr>
              <w:spacing w:line="240" w:lineRule="auto"/>
              <w:ind w:firstLine="0" w:firstLineChars="0"/>
              <w:rPr>
                <w:kern w:val="2"/>
                <w:sz w:val="21"/>
                <w:szCs w:val="24"/>
              </w:rPr>
            </w:pPr>
            <w:r>
              <w:rPr>
                <w:rFonts w:hint="eastAsia"/>
                <w:kern w:val="2"/>
                <w:sz w:val="21"/>
                <w:szCs w:val="24"/>
              </w:rPr>
              <w:t>②建设单位从总图布置、工艺控制系统安全设置、电器安全措施、防雷防静电、制定应急预案等方面完善了环境风险防范措施；</w:t>
            </w:r>
          </w:p>
          <w:p w14:paraId="25E8A56A">
            <w:pPr>
              <w:spacing w:line="240" w:lineRule="auto"/>
              <w:ind w:firstLine="0" w:firstLineChars="0"/>
              <w:rPr>
                <w:kern w:val="2"/>
                <w:sz w:val="21"/>
                <w:szCs w:val="24"/>
              </w:rPr>
            </w:pPr>
            <w:r>
              <w:rPr>
                <w:rFonts w:hint="eastAsia"/>
                <w:kern w:val="2"/>
                <w:sz w:val="21"/>
                <w:szCs w:val="24"/>
              </w:rPr>
              <w:t>③采取基础防渗进行风险防范</w:t>
            </w:r>
          </w:p>
        </w:tc>
      </w:tr>
      <w:tr w14:paraId="705E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935" w:type="pct"/>
            <w:shd w:val="clear" w:color="auto" w:fill="auto"/>
            <w:vAlign w:val="center"/>
          </w:tcPr>
          <w:p w14:paraId="55E7C3CB">
            <w:pPr>
              <w:spacing w:line="240" w:lineRule="auto"/>
              <w:ind w:firstLine="0" w:firstLineChars="0"/>
              <w:jc w:val="center"/>
              <w:rPr>
                <w:kern w:val="2"/>
                <w:sz w:val="21"/>
                <w:szCs w:val="24"/>
              </w:rPr>
            </w:pPr>
            <w:r>
              <w:rPr>
                <w:rFonts w:hint="eastAsia"/>
                <w:kern w:val="2"/>
                <w:sz w:val="21"/>
                <w:szCs w:val="24"/>
              </w:rPr>
              <w:t>填表说明</w:t>
            </w:r>
          </w:p>
        </w:tc>
        <w:tc>
          <w:tcPr>
            <w:tcW w:w="4065" w:type="pct"/>
            <w:gridSpan w:val="4"/>
            <w:shd w:val="clear" w:color="auto" w:fill="auto"/>
            <w:vAlign w:val="center"/>
          </w:tcPr>
          <w:p w14:paraId="374F182A">
            <w:pPr>
              <w:spacing w:line="240" w:lineRule="auto"/>
              <w:ind w:firstLine="0" w:firstLineChars="0"/>
              <w:rPr>
                <w:kern w:val="2"/>
                <w:sz w:val="21"/>
                <w:szCs w:val="24"/>
              </w:rPr>
            </w:pPr>
            <w:r>
              <w:rPr>
                <w:rFonts w:hint="eastAsia"/>
                <w:kern w:val="2"/>
                <w:sz w:val="21"/>
                <w:szCs w:val="24"/>
              </w:rPr>
              <w:t>本项目风险潜势为Ⅰ，仅进行简单分析，在采取有效的防范措施、制定相应的应急预案的前提下，建设单位可将事故风险的影响减至最小。本项目在落实上述提出的存储过程中的风险防范及应急措施、生产过程中的风险防范及应急措施、环境影响途径的风险防范及应急措施后，可做到环境风险可防控要求，本项目环境风险防范措施有效可行，环境风险可防控。</w:t>
            </w:r>
          </w:p>
        </w:tc>
      </w:tr>
    </w:tbl>
    <w:p w14:paraId="7FD020AE">
      <w:pPr>
        <w:ind w:firstLine="480"/>
        <w:sectPr>
          <w:headerReference r:id="rId26" w:type="default"/>
          <w:footerReference r:id="rId2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14:paraId="0E197EB8">
      <w:pPr>
        <w:pStyle w:val="3"/>
      </w:pPr>
      <w:bookmarkStart w:id="194" w:name="_Toc89619347"/>
      <w:r>
        <w:rPr>
          <w:rFonts w:hint="eastAsia"/>
        </w:rPr>
        <w:t>6、</w:t>
      </w:r>
      <w:bookmarkEnd w:id="194"/>
      <w:r>
        <w:rPr>
          <w:rFonts w:hint="eastAsia"/>
        </w:rPr>
        <w:t>污染防治措施和对策建议</w:t>
      </w:r>
    </w:p>
    <w:p w14:paraId="031F1C23">
      <w:pPr>
        <w:ind w:firstLine="480"/>
      </w:pPr>
      <w:r>
        <w:rPr>
          <w:rFonts w:hint="eastAsia"/>
        </w:rPr>
        <w:t>根据国家有关环保法规要求，该项目必须执行”三同时”。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14:paraId="5B87132D">
      <w:pPr>
        <w:pStyle w:val="4"/>
      </w:pPr>
      <w:bookmarkStart w:id="195" w:name="_Toc89619348"/>
      <w:r>
        <w:rPr>
          <w:rFonts w:hint="eastAsia"/>
        </w:rPr>
        <w:t>6.1施工期污染防治措施</w:t>
      </w:r>
      <w:bookmarkEnd w:id="195"/>
    </w:p>
    <w:p w14:paraId="67F7827C">
      <w:pPr>
        <w:ind w:firstLine="480"/>
      </w:pPr>
      <w:r>
        <w:rPr>
          <w:rFonts w:hint="eastAsia"/>
        </w:rPr>
        <w:t>本项目施工内容主要包括场地平整、开挖土石方、打桩、构筑基础施工、钢筋、砖混结构施工、管线施工及装修施工、场地清理等，施工期对环境的影响主要是扬尘、废水、施工噪声、建筑垃圾及生态影响等。本次评价针对以上影响提出相应污染防治措施进行论证。</w:t>
      </w:r>
    </w:p>
    <w:p w14:paraId="1D55B76D">
      <w:pPr>
        <w:pStyle w:val="5"/>
      </w:pPr>
      <w:bookmarkStart w:id="196" w:name="_Toc106663519"/>
      <w:r>
        <w:rPr>
          <w:rFonts w:hint="eastAsia"/>
        </w:rPr>
        <w:t>6.1.1施工期大气污染防治措施</w:t>
      </w:r>
      <w:bookmarkEnd w:id="196"/>
    </w:p>
    <w:p w14:paraId="7C6A850B">
      <w:pPr>
        <w:ind w:firstLine="480"/>
      </w:pPr>
      <w:r>
        <w:rPr>
          <w:rFonts w:hint="eastAsia"/>
        </w:rP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GB3095-2012）二级标准要求。</w:t>
      </w:r>
    </w:p>
    <w:p w14:paraId="1D7EFCE5">
      <w:pPr>
        <w:ind w:firstLine="480"/>
      </w:pPr>
      <w:r>
        <w:rPr>
          <w:rFonts w:hint="eastAsia"/>
        </w:rPr>
        <w:t>1、无组织排放扬尘的防治措施</w:t>
      </w:r>
    </w:p>
    <w:p w14:paraId="2BB8A772">
      <w:pPr>
        <w:ind w:firstLine="480"/>
      </w:pPr>
      <w:r>
        <w:rPr>
          <w:rFonts w:hint="eastAsia"/>
        </w:rPr>
        <w:t>施工过程中产生的扬尘尽管是短期的，但会对周围环境带来不利的影响，因此在施工期应采取相应的措施尽量减少扬尘的产生。为降低扬尘产生量，保护大气环境，施工单位应根据《关于进一步加强建设工程扬尘污染防治专项整治的通知》等的规定，在施工期采取以下扬尘防治措施：</w:t>
      </w:r>
    </w:p>
    <w:p w14:paraId="65FC9A7A">
      <w:pPr>
        <w:ind w:firstLine="480"/>
      </w:pPr>
      <w:r>
        <w:rPr>
          <w:rFonts w:hint="eastAsia"/>
        </w:rPr>
        <w:t>（1）施工作业区应配备专人负责，做到科学管理、文明施工；在基础施工期，应尽可能采取措施提高工程进度，并将土石方及时外运到指定地点，缩短堆放的危害周期。</w:t>
      </w:r>
    </w:p>
    <w:p w14:paraId="26BF20E6">
      <w:pPr>
        <w:ind w:firstLine="480"/>
      </w:pPr>
      <w:r>
        <w:rPr>
          <w:rFonts w:hint="eastAsia"/>
        </w:rPr>
        <w:t>（2）合理安排施工工期；施工工地应定期洒水，特别是旱季施工；施工现场周边设置符合要求的围拦；竣工后要及时清理场地。对于建设施工阶段的车辆和机械扬尘，采取洒水抑尘；洒水次数根据天气状况而定，一般每天洒水1～2次，若遇大风或干燥天气可适当增加洒水次数，遇雨天则不必洒水。施工场地洒水量对扬尘的影响很大，场地洒水后，扬尘量将降低28%～75%，可大大减少扬尘对环境的影响。</w:t>
      </w:r>
    </w:p>
    <w:p w14:paraId="0D5DE496">
      <w:pPr>
        <w:ind w:firstLine="480"/>
      </w:pPr>
      <w:r>
        <w:rPr>
          <w:rFonts w:hint="eastAsia"/>
        </w:rPr>
        <w:t>（3）对施工区周围的道路进行清扫，减少粉尘和二次扬尘的产生。</w:t>
      </w:r>
    </w:p>
    <w:p w14:paraId="6616F77A">
      <w:pPr>
        <w:ind w:firstLine="480"/>
      </w:pPr>
      <w:r>
        <w:rPr>
          <w:rFonts w:hint="eastAsia"/>
        </w:rPr>
        <w:t>（4）对于装运含尘物料的运输车辆进行密封运输，严格控制和规范车辆运输量和方式，容易产生粉尘的物料装载高度不得超过车辆两边和尾部的挡板和蓬布，严格控制物料的撒落；尽量选择对周围环境影响较小的运输路线。</w:t>
      </w:r>
    </w:p>
    <w:p w14:paraId="1A20EAE0">
      <w:pPr>
        <w:ind w:firstLine="480"/>
      </w:pPr>
      <w:r>
        <w:rPr>
          <w:rFonts w:hint="eastAsia"/>
        </w:rPr>
        <w:t>（5）限制施工区内运输车辆的速度，卡车在施工场地的车速控制在10km/h，推土机的速度控制在8km/h内。对运输过程中散落在路面上的泥土要及时清扫，以减少运行过程中的扬尘。</w:t>
      </w:r>
    </w:p>
    <w:p w14:paraId="7BDF47E5">
      <w:pPr>
        <w:ind w:firstLine="480"/>
      </w:pPr>
      <w:r>
        <w:rPr>
          <w:rFonts w:hint="eastAsia"/>
        </w:rPr>
        <w:t>（6）施工现场应设置稳固、整齐、美观并符合安全标准要求的连续封闭式围挡（其边界设置高度2.5m以上），对于特殊地点无法设置围挡、围栏及防溢座的，应设置警示牌，严禁敞开式作业。</w:t>
      </w:r>
    </w:p>
    <w:p w14:paraId="3FD6290F">
      <w:pPr>
        <w:ind w:firstLine="480"/>
      </w:pPr>
      <w:r>
        <w:rPr>
          <w:rFonts w:hint="eastAsia"/>
        </w:rPr>
        <w:t>（7）施工现场必须做到”6个100%”，即施工现场100%围挡、工地砂土100%覆盖、工地路面100%硬化、拆除工程100%洒水降尘、出工地车辆100%冲净车轮车身、暂不开发的场地100%绿化。</w:t>
      </w:r>
    </w:p>
    <w:p w14:paraId="15F1EA83">
      <w:pPr>
        <w:ind w:firstLine="480"/>
      </w:pPr>
      <w:r>
        <w:rPr>
          <w:rFonts w:hint="eastAsia"/>
        </w:rPr>
        <w:t>（8）易起尘物料采取袋装、覆盖等措施，严禁高空抛撒作业，施工过程中使用水泥、石灰、砂石、涂料、铺装材料等易产生扬尘的建筑材料，应采取密闭存储、设置围挡或堆砌围墙、采用防尘布苫盖或其他有效的防尘措施。</w:t>
      </w:r>
    </w:p>
    <w:p w14:paraId="7CBE50B1">
      <w:pPr>
        <w:ind w:firstLine="480"/>
      </w:pPr>
      <w:r>
        <w:rPr>
          <w:rFonts w:hint="eastAsia"/>
        </w:rPr>
        <w:t>（9）施工期尽量避开大风、大雨天气，对施工作业面应边施工、边洒水，尽可能降低或避免对区域的扬尘污染。</w:t>
      </w:r>
    </w:p>
    <w:p w14:paraId="2C2AA3D8">
      <w:pPr>
        <w:ind w:firstLine="480"/>
      </w:pPr>
      <w:r>
        <w:rPr>
          <w:rFonts w:hint="eastAsia"/>
        </w:rPr>
        <w:t>（10）建筑垃圾应在48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14:paraId="7ADC4D96">
      <w:pPr>
        <w:ind w:firstLine="480"/>
      </w:pPr>
      <w:r>
        <w:rPr>
          <w:rFonts w:hint="eastAsia"/>
        </w:rPr>
        <w:t>（11）粉尘、扬尘和燃油产生的污染物对人体健康有害，对受影响的施工人员应做好劳动保护，特别是材料加工、运输粉尘较大的施工场地更应做好防护措施，配备必要的劳保用品。</w:t>
      </w:r>
    </w:p>
    <w:p w14:paraId="70997591">
      <w:pPr>
        <w:ind w:firstLine="480"/>
      </w:pPr>
      <w:r>
        <w:rPr>
          <w:rFonts w:hint="eastAsia"/>
        </w:rPr>
        <w:t>2、施工机械排放尾气的防治措施</w:t>
      </w:r>
    </w:p>
    <w:p w14:paraId="4A40221A">
      <w:pPr>
        <w:ind w:firstLine="480"/>
      </w:pPr>
      <w:r>
        <w:rPr>
          <w:rFonts w:hint="eastAsia"/>
        </w:rPr>
        <w:t>建设单位针对汽车尾气的排放拟采取以下的措施：</w:t>
      </w:r>
    </w:p>
    <w:p w14:paraId="196924FA">
      <w:pPr>
        <w:ind w:firstLine="480"/>
      </w:pPr>
      <w:r>
        <w:rPr>
          <w:rFonts w:hint="eastAsia"/>
        </w:rPr>
        <w:t>（1）运输、施工单位使用符合国家有关标准的运输车辆和工程机械，严禁使用超标排放污染物的车辆和机械。</w:t>
      </w:r>
    </w:p>
    <w:p w14:paraId="71BC4304">
      <w:pPr>
        <w:ind w:firstLine="480"/>
      </w:pPr>
      <w:r>
        <w:rPr>
          <w:rFonts w:hint="eastAsia"/>
        </w:rPr>
        <w:t>（2）所有车辆和机械必须定时维修和维护，保证正常运营，减少事故排放。</w:t>
      </w:r>
    </w:p>
    <w:p w14:paraId="5E63D322">
      <w:pPr>
        <w:ind w:firstLine="480"/>
      </w:pPr>
      <w:r>
        <w:rPr>
          <w:rFonts w:hint="eastAsia"/>
        </w:rPr>
        <w:t>（3）运输车辆统一调度，避免出现拥挤，尽可能正常装载和行驶，以免在交通不畅通的情况下，排出更多的尾气。</w:t>
      </w:r>
    </w:p>
    <w:p w14:paraId="36A7A1BC">
      <w:pPr>
        <w:ind w:firstLine="480"/>
      </w:pPr>
      <w:r>
        <w:rPr>
          <w:rFonts w:hint="eastAsia"/>
        </w:rPr>
        <w:t>（4）运输车辆禁止超载，不得使用劣质燃料；对车辆的尾气排放应进行监督管理，严格执行汽车排污监管办法相关规定，避免排放黑烟。</w:t>
      </w:r>
    </w:p>
    <w:p w14:paraId="57F46FBA">
      <w:pPr>
        <w:ind w:firstLine="480"/>
      </w:pPr>
      <w:r>
        <w:rPr>
          <w:rFonts w:hint="eastAsia"/>
        </w:rPr>
        <w:t>综上所述，施工期大气污染防治措施简单，经济有效，操作难度小；在采取上述措施后，大气污染物的排放将有效减少，不会对当地大气环境质量造成大的影响；评价认为大气污染防治措施有效可行。</w:t>
      </w:r>
    </w:p>
    <w:p w14:paraId="576F28E2">
      <w:pPr>
        <w:pStyle w:val="5"/>
      </w:pPr>
      <w:bookmarkStart w:id="197" w:name="_Toc106663520"/>
      <w:r>
        <w:rPr>
          <w:rFonts w:hint="eastAsia"/>
        </w:rPr>
        <w:t>6.1.2施工期水污染防治措施</w:t>
      </w:r>
      <w:bookmarkEnd w:id="197"/>
    </w:p>
    <w:p w14:paraId="5E8038AC">
      <w:pPr>
        <w:ind w:firstLine="480"/>
      </w:pPr>
      <w:r>
        <w:rPr>
          <w:rFonts w:hint="eastAsia"/>
        </w:rPr>
        <w:t>施工期废水主要是来自施工废水及施工人员的生活污水。</w:t>
      </w:r>
    </w:p>
    <w:p w14:paraId="780AFEC4">
      <w:pPr>
        <w:ind w:firstLine="480"/>
      </w:pPr>
      <w:r>
        <w:rPr>
          <w:rFonts w:hint="eastAsia"/>
        </w:rPr>
        <w:t>为避免施工中对水环境的影响，应严格施工管理。地基填土应控制好土的最佳用水量，保证地基的压实度，并做好边坡的防护；修建临时沉淀池，收集沉淀处理含悬浮物高的废水，施工废水经沉淀处理后由于水质较为澄清，可回用作施工用水及道路的洒水。这样可以使施工期废水对水体的影响得到有效的控制。对于施工人员产生的生活污水，应设置防渗干化池或移动式环保公厕集中收集，并定期拉运至当地污水处理厂进行处理，不会对环境造成明显影响。但在施工过程中应加强环境管理，尽量避免施工废水任意乱排，以减缓施工废水对周围环境的不利影响。</w:t>
      </w:r>
    </w:p>
    <w:p w14:paraId="58DC8EB3">
      <w:pPr>
        <w:ind w:firstLine="480"/>
      </w:pPr>
      <w:r>
        <w:rPr>
          <w:rFonts w:hint="eastAsia"/>
        </w:rPr>
        <w:t>沉淀池、防渗干化池均为施工现场常见的废水治理设施，工程量较小，投资较低，杜绝了废水随意泼洒、肆意横流的现象。因此上述废水防治措施从技术、经济方面来讲均可行。</w:t>
      </w:r>
    </w:p>
    <w:p w14:paraId="205B5FA4">
      <w:pPr>
        <w:pStyle w:val="5"/>
      </w:pPr>
      <w:bookmarkStart w:id="198" w:name="_Toc106663521"/>
      <w:r>
        <w:rPr>
          <w:rFonts w:hint="eastAsia"/>
        </w:rPr>
        <w:t>6.1.3施工期噪声污染防治措施</w:t>
      </w:r>
      <w:bookmarkEnd w:id="198"/>
    </w:p>
    <w:p w14:paraId="6C70DEA8">
      <w:pPr>
        <w:ind w:firstLine="480"/>
      </w:pPr>
      <w:r>
        <w:rPr>
          <w:rFonts w:hint="eastAsia"/>
        </w:rPr>
        <w:t>施工期间的噪声污染主要来自于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14:paraId="411AC932">
      <w:pPr>
        <w:ind w:firstLine="480"/>
      </w:pPr>
      <w:r>
        <w:rPr>
          <w:rFonts w:hint="eastAsia"/>
        </w:rPr>
        <w:t>1、强噪声机械的降噪措施</w:t>
      </w:r>
    </w:p>
    <w:p w14:paraId="3BA547E0">
      <w:pPr>
        <w:ind w:firstLine="480"/>
      </w:pPr>
      <w:r>
        <w:rPr>
          <w:rFonts w:hint="eastAsia"/>
        </w:rPr>
        <w:t>（1）推行清洁生产，必须采用低噪声的施工机械和先进的施工技术，以达到控制噪声的目的。施工机械进场应得到环保部门的批准，对环境噪声污染严重的落后的施工机械和施工方式实行淘汰制度。施工中应采用低噪声新技术设备，使噪声污染在施工中得到控制。</w:t>
      </w:r>
    </w:p>
    <w:p w14:paraId="4EC32581">
      <w:pPr>
        <w:ind w:firstLine="480"/>
      </w:pPr>
      <w:r>
        <w:rPr>
          <w:rFonts w:hint="eastAsia"/>
        </w:rPr>
        <w:t>（2）在施工机械与设备与基础或连接部位之间采用弹簧减震、橡皮减震、管道减震、阻尼减震技术，可减少动量，降低噪声。</w:t>
      </w:r>
    </w:p>
    <w:p w14:paraId="2F82AA7E">
      <w:pPr>
        <w:ind w:firstLine="480"/>
      </w:pPr>
      <w:r>
        <w:rPr>
          <w:rFonts w:hint="eastAsia"/>
        </w:rPr>
        <w:t>（3）降低钢模施工噪声，小钢模改为竹夹板以减少振动作业时冲击钢模产生噪声。</w:t>
      </w:r>
    </w:p>
    <w:p w14:paraId="42D37B71">
      <w:pPr>
        <w:ind w:firstLine="480"/>
      </w:pPr>
      <w:r>
        <w:rPr>
          <w:rFonts w:hint="eastAsia"/>
        </w:rPr>
        <w:t>（4）合理布局施工场地，在允许的情况下，高噪声施工机械设备布置在远离居民的位置。按照有关规定，每个施工段对作业区设置围挡。</w:t>
      </w:r>
    </w:p>
    <w:p w14:paraId="46336575">
      <w:pPr>
        <w:ind w:firstLine="480"/>
      </w:pPr>
      <w:r>
        <w:rPr>
          <w:rFonts w:hint="eastAsia"/>
        </w:rPr>
        <w:t>（5）施工车辆禁鸣喇叭。</w:t>
      </w:r>
    </w:p>
    <w:p w14:paraId="3CC81751">
      <w:pPr>
        <w:ind w:firstLine="480"/>
      </w:pPr>
      <w:r>
        <w:rPr>
          <w:rFonts w:hint="eastAsia"/>
        </w:rPr>
        <w:t>（6）施工过程中加强检查、维护和保养机械设备，保持润滑，紧固各部件，减少运行震动噪声。减轻噪声对周围环境敏感点的影响。</w:t>
      </w:r>
    </w:p>
    <w:p w14:paraId="633341C9">
      <w:pPr>
        <w:ind w:firstLine="480"/>
      </w:pPr>
      <w:r>
        <w:rPr>
          <w:rFonts w:hint="eastAsia"/>
        </w:rPr>
        <w:t>2、人为噪声控制</w:t>
      </w:r>
    </w:p>
    <w:p w14:paraId="406FA12C">
      <w:pPr>
        <w:ind w:firstLine="480"/>
      </w:pPr>
      <w:r>
        <w:rPr>
          <w:rFonts w:hint="eastAsia"/>
        </w:rPr>
        <w:t>（1）提倡文明施工，建立控制人为噪声的管理制度，增强施工人员的环保意识，提高防治噪声扰民的自觉性，减少人为噪声污染。</w:t>
      </w:r>
    </w:p>
    <w:p w14:paraId="1586F712">
      <w:pPr>
        <w:ind w:firstLine="480"/>
      </w:pPr>
      <w:r>
        <w:rPr>
          <w:rFonts w:hint="eastAsia"/>
        </w:rPr>
        <w:t>（2）在施工现场禁止大声喧哗吵闹、高声唱歌或敲击工具等。</w:t>
      </w:r>
    </w:p>
    <w:p w14:paraId="75C11818">
      <w:pPr>
        <w:ind w:firstLine="480"/>
      </w:pPr>
      <w:r>
        <w:rPr>
          <w:rFonts w:hint="eastAsia"/>
        </w:rPr>
        <w:t>（3）作业中搬运物件，必须轻拿轻放，钢铁件堆放不发出大的声响，严禁抛掷物件而造成噪声。</w:t>
      </w:r>
    </w:p>
    <w:p w14:paraId="0BC65785">
      <w:pPr>
        <w:ind w:firstLine="480"/>
      </w:pPr>
      <w:r>
        <w:rPr>
          <w:rFonts w:hint="eastAsia"/>
        </w:rPr>
        <w:t>3、个人防护</w:t>
      </w:r>
    </w:p>
    <w:p w14:paraId="5318341A">
      <w:pPr>
        <w:ind w:firstLine="480"/>
      </w:pPr>
      <w:r>
        <w:rPr>
          <w:rFonts w:hint="eastAsia"/>
        </w:rPr>
        <w:t>施工单位应合理安排工作人员轮流操作产生高强噪声的施工机械，减少接触高噪声的时间，或穿插安排高噪声和低噪声的工作。加强对施工人员的个人防护，对高噪声设备附近工作的施工人员，采取配备、使用耳塞、耳机、防声头盔等防噪用具。</w:t>
      </w:r>
    </w:p>
    <w:p w14:paraId="6293986B">
      <w:pPr>
        <w:ind w:firstLine="480"/>
      </w:pPr>
      <w:r>
        <w:rPr>
          <w:rFonts w:hint="eastAsia"/>
        </w:rPr>
        <w:t>经采取以上的降噪措施后，有效的减缓了施工和运输噪声对项目施工人员和周围居民区的影响，因此施工期拟采取的噪声防治措施可行。</w:t>
      </w:r>
    </w:p>
    <w:p w14:paraId="534B2BF1">
      <w:pPr>
        <w:ind w:firstLine="480"/>
      </w:pPr>
      <w:r>
        <w:rPr>
          <w:rFonts w:hint="eastAsia"/>
        </w:rP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14:paraId="05E1AC0C">
      <w:pPr>
        <w:pStyle w:val="5"/>
      </w:pPr>
      <w:bookmarkStart w:id="199" w:name="_Toc106663522"/>
      <w:r>
        <w:rPr>
          <w:rFonts w:hint="eastAsia"/>
        </w:rPr>
        <w:t>6.1.4施工期固体废物防治措施</w:t>
      </w:r>
      <w:bookmarkEnd w:id="199"/>
    </w:p>
    <w:p w14:paraId="3D9206A0">
      <w:pPr>
        <w:ind w:firstLine="480"/>
      </w:pPr>
      <w:r>
        <w:rPr>
          <w:rFonts w:hint="eastAsia"/>
        </w:rPr>
        <w:t>生活垃圾和建筑垃圾的影响主要体现在其堆放过程中，在风力作用下，引起垃圾及粉尘随风飘散，对空气造成污染影响。</w:t>
      </w:r>
    </w:p>
    <w:p w14:paraId="2614FFCB">
      <w:pPr>
        <w:ind w:firstLine="480"/>
      </w:pPr>
      <w:r>
        <w:rPr>
          <w:rFonts w:hint="eastAsia"/>
        </w:rPr>
        <w:t>针对项目施工期固体废弃物种类及特点，提出如下防治措施：</w:t>
      </w:r>
    </w:p>
    <w:p w14:paraId="0EA5D628">
      <w:pPr>
        <w:ind w:firstLine="480"/>
      </w:pPr>
      <w:r>
        <w:rPr>
          <w:rFonts w:hint="eastAsia"/>
        </w:rPr>
        <w:t>（1）临时土石方于施工区就近堆放，采取覆盖围护措施，防止大风和大雨时造成的水土流失。堆放前设置挡土墙，堆放后表土覆盖防尘布，抑制扬尘产生。</w:t>
      </w:r>
    </w:p>
    <w:p w14:paraId="0B1573FB">
      <w:pPr>
        <w:ind w:firstLine="480"/>
      </w:pPr>
      <w:r>
        <w:rPr>
          <w:rFonts w:hint="eastAsia"/>
        </w:rPr>
        <w:t>（2）对施工中产生的不能再利用的建筑垃圾，应进行分类收集、分类管理，能够回收利用的尽量回收再利用，以节约资源；对于不能回收利用的要进行收集并于施工区内固定地点集中暂存，施工完成后及时处理，拉运至当地环保部门指定的建筑垃圾填埋场填埋处置或委托处置建筑垃圾的单位及时外处置。</w:t>
      </w:r>
    </w:p>
    <w:p w14:paraId="510F278B">
      <w:pPr>
        <w:ind w:firstLine="480"/>
      </w:pPr>
      <w:r>
        <w:rPr>
          <w:rFonts w:hint="eastAsia"/>
        </w:rPr>
        <w:t>（3）车辆运输建筑垃圾时，须采取覆盖措施，不得沿途漏撒；施工单位应在施工前5日向建设局申报工程垃圾处置计划，如实填报垃圾的种类、数量、运输路线及处置方案等事项，并与有关管理部门签订环境卫生责任书。</w:t>
      </w:r>
    </w:p>
    <w:p w14:paraId="4D6CE4A6">
      <w:pPr>
        <w:ind w:firstLine="480"/>
      </w:pPr>
      <w:r>
        <w:rPr>
          <w:rFonts w:hint="eastAsia"/>
        </w:rPr>
        <w:t>（4）施工部门应当持当地建设局核发的处置证明，向运输单位办理建筑垃圾托运手续。运输车辆在运输建筑垃圾时应携带处置证明，接收渣土管理部门的检查，运输路线应按渣土管理部门会同公安、交通管理部门规定的线路运输。</w:t>
      </w:r>
    </w:p>
    <w:p w14:paraId="658C9662">
      <w:pPr>
        <w:ind w:firstLine="480"/>
      </w:pPr>
      <w:r>
        <w:rPr>
          <w:rFonts w:hint="eastAsia"/>
        </w:rPr>
        <w:t>（5）工程完工后1个月内，应当将施工场地的剩余建筑垃圾处置干净，不得占用道路或其他类型土地来堆放建筑垃圾。</w:t>
      </w:r>
    </w:p>
    <w:p w14:paraId="5D7224E3">
      <w:pPr>
        <w:ind w:firstLine="480"/>
      </w:pPr>
      <w:r>
        <w:rPr>
          <w:rFonts w:hint="eastAsia"/>
        </w:rPr>
        <w:t>采取上述措施后施工期固体废弃物对项目区及周边环境影响不大。</w:t>
      </w:r>
    </w:p>
    <w:p w14:paraId="7EFDF8E5">
      <w:pPr>
        <w:pStyle w:val="5"/>
      </w:pPr>
      <w:bookmarkStart w:id="200" w:name="_Toc106663523"/>
      <w:r>
        <w:rPr>
          <w:rFonts w:hint="eastAsia"/>
        </w:rPr>
        <w:t>6.1.5施工期生态环境防治措施</w:t>
      </w:r>
      <w:bookmarkEnd w:id="200"/>
    </w:p>
    <w:p w14:paraId="704260A0">
      <w:pPr>
        <w:ind w:firstLine="480"/>
      </w:pPr>
      <w:r>
        <w:t>在施工期间应采取生态环境保护措施，以利于项目建成后的生态环境恢复和建设：</w:t>
      </w:r>
    </w:p>
    <w:p w14:paraId="3D81C8A5">
      <w:pPr>
        <w:ind w:firstLine="480"/>
      </w:pPr>
      <w:r>
        <w:t>（1）施工期间项目开发区域的大部分植被将会消失，但应尽量结合绿地建设争取保留项目边缘地带的植被，因为这些物种是适合当地生长条件的乡土植物，是当地植被建设的基础。施工期间尽量保留这些植物群落和物种，并适当地对其进行改造，是改善区域生态环境的良好途径，既可节省复绿开支，也可减少物种的生态入侵及绿地与当地景观不协调的问题。</w:t>
      </w:r>
    </w:p>
    <w:p w14:paraId="36FB38C9">
      <w:pPr>
        <w:ind w:firstLine="480"/>
      </w:pPr>
      <w:r>
        <w:t>（2）水土保持工作应坚持及时、多样、因地制宜、长短期相结合以及总体和局部结合的原则。结合本建设区域的具体情况在施工中可以采取以下对策：</w:t>
      </w:r>
    </w:p>
    <w:p w14:paraId="5EBE3E80">
      <w:pPr>
        <w:ind w:firstLine="480"/>
      </w:pPr>
      <w:r>
        <w:rPr>
          <w:rFonts w:hint="eastAsia"/>
        </w:rPr>
        <w:t>①</w:t>
      </w:r>
      <w:r>
        <w:t>建设单位在动工前应在必要地段完成拦土堤及护坡垒砌工程，在整体上形成完整的档土墙体系。同时，开边沟，边坡要用石块铺砌，填土场的上游要设置导流沟，防止上游的径流冲刷填土场。</w:t>
      </w:r>
    </w:p>
    <w:p w14:paraId="43709947">
      <w:pPr>
        <w:ind w:firstLine="480"/>
      </w:pPr>
      <w:r>
        <w:rPr>
          <w:rFonts w:hint="eastAsia"/>
        </w:rPr>
        <w:t>②</w:t>
      </w:r>
      <w:r>
        <w:t>开发区周围设置防洪墙或淤泥幕，防止对水体的淤积影响。</w:t>
      </w:r>
    </w:p>
    <w:p w14:paraId="51B51E65">
      <w:pPr>
        <w:ind w:firstLine="480"/>
      </w:pPr>
      <w:r>
        <w:rPr>
          <w:rFonts w:hint="eastAsia"/>
        </w:rPr>
        <w:t>③</w:t>
      </w:r>
      <w:r>
        <w:t>在推挖填土工程完成后，工地往往还要裸露一段时间才能完成建设或重新绿化，这就要及时在地面的径流汇集线上设置缓流泥砂阻隔带。阻隔带可以采用透水的高强PVC编织带，用角铁或木桩将编织袋固置于与汇流线相切的方向上，带高一般为50cm就已足够，带长可以视地形决定，一般为数米至数十米不等，可以有效地阻止泥沙随径流的初始流动，控制住施工期的水土流失。</w:t>
      </w:r>
    </w:p>
    <w:p w14:paraId="2C5BEE39">
      <w:pPr>
        <w:ind w:firstLine="480"/>
      </w:pPr>
      <w:r>
        <w:rPr>
          <w:rFonts w:hint="eastAsia"/>
        </w:rPr>
        <w:t>④</w:t>
      </w:r>
      <w:r>
        <w:t>在施工中，要合理安排施工计划、施工程序，协调好各个施工步骤，土方填挖应尽量集中和避开暴雨期，并争取土料随挖随运、随填随压，减少堆土裸土的暴露时间，以避免受降雨的直接冲刷。在暴雨期，还应采取应急措施，尽量用覆盖物覆盖新开挖的陡坡，防止冲刷和崩塌。</w:t>
      </w:r>
    </w:p>
    <w:p w14:paraId="5DCEB8E7">
      <w:pPr>
        <w:ind w:firstLine="480"/>
      </w:pPr>
      <w:r>
        <w:rPr>
          <w:rFonts w:hint="eastAsia"/>
        </w:rPr>
        <w:t>⑤</w:t>
      </w:r>
      <w:r>
        <w:t>项目建成以后，及时恢复被扰乱的地域，重新组织未利用的小块土地，种植人工植被，辟为花园或绿地；管理部门应组织人员对区内荒芜的地块栽种人工植被，减少自然的水土流失。</w:t>
      </w:r>
    </w:p>
    <w:p w14:paraId="5E985899">
      <w:pPr>
        <w:pStyle w:val="4"/>
      </w:pPr>
      <w:bookmarkStart w:id="201" w:name="_Toc89619349"/>
      <w:r>
        <w:rPr>
          <w:rFonts w:hint="eastAsia"/>
        </w:rPr>
        <w:t>6.2运营期污染防治措施分析</w:t>
      </w:r>
      <w:bookmarkEnd w:id="201"/>
    </w:p>
    <w:p w14:paraId="158BC7E4">
      <w:pPr>
        <w:pStyle w:val="5"/>
      </w:pPr>
      <w:bookmarkStart w:id="202" w:name="_Toc106663525"/>
      <w:r>
        <w:rPr>
          <w:rFonts w:hint="eastAsia"/>
        </w:rPr>
        <w:t>6.2.1大气污染物防治措施</w:t>
      </w:r>
      <w:bookmarkEnd w:id="202"/>
    </w:p>
    <w:p w14:paraId="2E80354B">
      <w:pPr>
        <w:pStyle w:val="6"/>
        <w:ind w:firstLine="0" w:firstLineChars="0"/>
      </w:pPr>
      <w:r>
        <w:rPr>
          <w:rFonts w:hint="eastAsia"/>
        </w:rPr>
        <w:t>6.2.1.1恶臭治理措施可行性分析</w:t>
      </w:r>
    </w:p>
    <w:p w14:paraId="07895252">
      <w:pPr>
        <w:ind w:firstLine="480"/>
      </w:pPr>
      <w:r>
        <w:rPr>
          <w:rFonts w:hint="eastAsia"/>
        </w:rPr>
        <w:t>本项目采取的恶臭污染防治措施如下：</w:t>
      </w:r>
    </w:p>
    <w:p w14:paraId="3A27BF9F">
      <w:pPr>
        <w:ind w:firstLine="480"/>
      </w:pPr>
      <w:r>
        <w:rPr>
          <w:rFonts w:hint="eastAsia"/>
        </w:rPr>
        <w:t>（1）合理布局</w:t>
      </w:r>
    </w:p>
    <w:p w14:paraId="21EF1A92">
      <w:pPr>
        <w:ind w:firstLine="480"/>
      </w:pPr>
      <w:r>
        <w:rPr>
          <w:rFonts w:hint="eastAsia"/>
        </w:rPr>
        <w:t>本项目将生产区和办公区分开，且生产、生活区间设置绿化带，以减小恶臭对办公区的影响。</w:t>
      </w:r>
    </w:p>
    <w:p w14:paraId="6CDB046A">
      <w:pPr>
        <w:ind w:firstLine="480"/>
      </w:pPr>
      <w:r>
        <w:rPr>
          <w:rFonts w:hint="eastAsia"/>
        </w:rPr>
        <w:t>项目拟在养殖区、办公生活区设置隔离带；场区绿化率达10%。鉴于养殖行业特殊性，在树种选择上，不仅要考虑美化效果，还必须考虑在除臭、防火、吸尘、杀菌等方面的作用。建议防疫隔离带选用杨树、榆树等树种或灌木；防护林选用乔木和灌木混合林带，乔木可选择大叶杨、早柳、榆树，最大限度地防止臭味对周围大气环境的影响。</w:t>
      </w:r>
    </w:p>
    <w:p w14:paraId="29454B3F">
      <w:pPr>
        <w:ind w:firstLine="480"/>
      </w:pPr>
      <w:r>
        <w:rPr>
          <w:rFonts w:hint="eastAsia"/>
        </w:rPr>
        <w:t>在办公区内设置绿化，区内空地和路边尽量植树及种植花草，以最大限度地防止臭味对周围大气环境的影响。</w:t>
      </w:r>
    </w:p>
    <w:p w14:paraId="626489B9">
      <w:pPr>
        <w:ind w:firstLine="480"/>
      </w:pPr>
      <w:r>
        <w:rPr>
          <w:rFonts w:hint="eastAsia"/>
        </w:rPr>
        <w:t>（2）正确设计驼舍</w:t>
      </w:r>
    </w:p>
    <w:p w14:paraId="4604763E">
      <w:pPr>
        <w:ind w:firstLine="480"/>
      </w:pPr>
      <w:r>
        <w:rPr>
          <w:rFonts w:hint="eastAsia"/>
        </w:rPr>
        <w:t>①加强清洁卫生管理和通风措施控制和减少驼粪尿发出的臭气，首先要保持驼舍内的空气畅通，冲淡臭气浓度，减少空气污染；工作人员要使用防护面具（如口罩等）和工具，减少废气对人体的危害。</w:t>
      </w:r>
    </w:p>
    <w:p w14:paraId="343901EA">
      <w:pPr>
        <w:ind w:firstLine="480"/>
      </w:pPr>
      <w:r>
        <w:rPr>
          <w:rFonts w:hint="eastAsia"/>
        </w:rPr>
        <w:t>②粪便经及时运往有机肥加工区，提高圈舍的环境卫生条件，以减少臭气的散发。</w:t>
      </w:r>
    </w:p>
    <w:p w14:paraId="0A0B3C3D">
      <w:pPr>
        <w:ind w:firstLine="480"/>
      </w:pPr>
      <w:r>
        <w:rPr>
          <w:rFonts w:hint="eastAsia"/>
        </w:rPr>
        <w:t>（3）选用先进的生产工艺</w:t>
      </w:r>
    </w:p>
    <w:p w14:paraId="6C12958C">
      <w:pPr>
        <w:ind w:firstLine="480"/>
      </w:pPr>
      <w:r>
        <w:rPr>
          <w:rFonts w:hint="eastAsia"/>
        </w:rPr>
        <w:t>①在选用饲料时，一是要注意消化率高、营养变异小，二是要注意选择有毒有害成分低、安全性高的饲料。设计日粮组成提高饲料利用率，尤其是氮的利用率，同时可降低骆驼排泄物中氮的含量及恶臭气体的排放。</w:t>
      </w:r>
    </w:p>
    <w:p w14:paraId="20000E34">
      <w:pPr>
        <w:ind w:firstLine="480"/>
      </w:pPr>
      <w:r>
        <w:rPr>
          <w:rFonts w:hint="eastAsia"/>
        </w:rPr>
        <w:t>②饲料提倡使用微生物制剂、酶制剂和植物提取液等活性物质，减少污染物排放和恶臭气体的产生。这些微生物进入家畜体内后，能使肠内的有益细菌增殖，使肠的活动能力增强，从而达到抑制粪尿恶臭的目的。如台湾源泉公司开发研制出一种叫“亚罗康菌”的微生物制剂，直接添加到饲料中，可将骆驼体内的NH</w:t>
      </w:r>
      <w:r>
        <w:rPr>
          <w:rFonts w:hint="eastAsia"/>
          <w:vertAlign w:val="subscript"/>
        </w:rPr>
        <w:t>3</w:t>
      </w:r>
      <w:r>
        <w:rPr>
          <w:rFonts w:hint="eastAsia"/>
        </w:rPr>
        <w:t>、硫化氢等转化为可供畜体吸收的化合态氮和其他物质，可使排泄物中的营养成分和有害成分都明显降低，从而提高饲料消化利用率，并减少臭气的产生。但值得注意的是：使用添加剂时，应选择微生物、低聚糖等无公害饲料添加剂，以保证畜产品安全和无公害。</w:t>
      </w:r>
    </w:p>
    <w:p w14:paraId="3D2D9B8F">
      <w:pPr>
        <w:ind w:firstLine="480"/>
      </w:pPr>
      <w:r>
        <w:rPr>
          <w:rFonts w:hint="eastAsia"/>
        </w:rPr>
        <w:t>③在饲料中添加沸石，以减轻畜禽排泄物及其气味的污染。沸石其内部有许多孔穴，能产生极强的静电吸附力，具有离子交换性，可以交换吸附一些放射性元素和重金属元素，对畜禽消化道产生的NH</w:t>
      </w:r>
      <w:r>
        <w:rPr>
          <w:rFonts w:hint="eastAsia"/>
          <w:vertAlign w:val="subscript"/>
        </w:rPr>
        <w:t>3</w:t>
      </w:r>
      <w:r>
        <w:rPr>
          <w:rFonts w:hint="eastAsia"/>
        </w:rPr>
        <w:t>、H</w:t>
      </w:r>
      <w:r>
        <w:rPr>
          <w:rFonts w:hint="eastAsia"/>
          <w:vertAlign w:val="subscript"/>
        </w:rPr>
        <w:t>2</w:t>
      </w:r>
      <w:r>
        <w:rPr>
          <w:rFonts w:hint="eastAsia"/>
        </w:rPr>
        <w:t>S等有害气体，沸石有较强的吸附能力，可减少粪臭。试验表明，在骆驼日粮中添加5%的沸石，可使排泄物中NH</w:t>
      </w:r>
      <w:r>
        <w:rPr>
          <w:rFonts w:hint="eastAsia"/>
          <w:vertAlign w:val="subscript"/>
        </w:rPr>
        <w:t>3</w:t>
      </w:r>
      <w:r>
        <w:rPr>
          <w:rFonts w:hint="eastAsia"/>
        </w:rPr>
        <w:t>含量下降21%。</w:t>
      </w:r>
    </w:p>
    <w:p w14:paraId="19B59F68">
      <w:pPr>
        <w:ind w:firstLine="480"/>
      </w:pPr>
      <w:r>
        <w:rPr>
          <w:rFonts w:hint="eastAsia"/>
        </w:rPr>
        <w:t>④在采用科学饲喂的同时，还应采用理想蛋白质体系配方，补充合成氨基酸，如赖氨酸、蛋氨酸、苏氨酸等，提高蛋白质及其他营养的吸收效率，减少氨气排放量和粪便的产生量。</w:t>
      </w:r>
    </w:p>
    <w:p w14:paraId="67B1262E">
      <w:pPr>
        <w:ind w:firstLine="480"/>
      </w:pPr>
      <w:r>
        <w:rPr>
          <w:rFonts w:hint="eastAsia"/>
        </w:rPr>
        <w:t>⑤卫生管理。养殖场场区、畜禽舍、器械等消毒应采用环境友好的消毒剂和消毒措施，包括紫外、臭氧、双氧水等方法，防止产生氯代有机物及其他二次污染物。加强对驼舍的清洁卫生管理和通风措施，对骆驼粪便暂存点加强过程控制和清运管理，减少骆驼粪便堆存，并采用加密封盖及负压消臭隔离措施，以减轻臭味对区域环境的影响。</w:t>
      </w:r>
    </w:p>
    <w:p w14:paraId="1212A4E8">
      <w:pPr>
        <w:ind w:firstLine="480"/>
      </w:pPr>
      <w:r>
        <w:rPr>
          <w:rFonts w:hint="eastAsia"/>
        </w:rPr>
        <w:t>⑥安全管理。在项目建成正常运行后，对职工要进行事故处置培训；对设定的各种监控仪器要定期维护，使其正常运行，起到对恶臭的监测和控制作用。</w:t>
      </w:r>
    </w:p>
    <w:p w14:paraId="704D04DC">
      <w:pPr>
        <w:ind w:firstLine="480"/>
      </w:pPr>
      <w:r>
        <w:rPr>
          <w:rFonts w:hint="eastAsia"/>
        </w:rPr>
        <w:t>⑦在堆粪区定期喷洒除臭剂，每日喷洒3次除臭剂，从源头减缓恶臭。建设单位应及时对陀舍的粪便进行清理，采用干清粪方式，粪便日产日清，每日对泌乳陀舍卧床粪沟进行1次清理；运动场定期清理，每年清理2次，日常定期消毒，减少恶臭。对堆粪场的粪便贮存加强过程控制和清运管理，减少粪便堆存。为防止蚊蝇孳生，应根据蚊蝇生活习性，采用人工、机械配合喷药的方法预防蚊蝇孳生。加强陀舍与饲料堆放地的灭鼠工作，预防疾病的传播。</w:t>
      </w:r>
    </w:p>
    <w:p w14:paraId="55C06F0C">
      <w:pPr>
        <w:ind w:firstLine="480"/>
      </w:pPr>
      <w:r>
        <w:rPr>
          <w:rFonts w:hint="eastAsia"/>
        </w:rPr>
        <w:t>（4）工程抑臭措施</w:t>
      </w:r>
    </w:p>
    <w:p w14:paraId="5270F467">
      <w:pPr>
        <w:ind w:firstLine="480"/>
      </w:pPr>
      <w:r>
        <w:rPr>
          <w:rFonts w:hint="eastAsia"/>
        </w:rPr>
        <w:t>喷洒除臭剂和消毒剂，以1：50（除臭剂：消毒用水）的除臭液每7天喷洒一次，除臭效率约为80%，减轻臭味和防止二次污染。</w:t>
      </w:r>
    </w:p>
    <w:p w14:paraId="525CF37A">
      <w:pPr>
        <w:ind w:firstLine="480"/>
      </w:pPr>
      <w:r>
        <w:rPr>
          <w:rFonts w:hint="eastAsia"/>
        </w:rPr>
        <w:t>加强场地及场界的绿化，场内绿化以完全消灭裸露地面为原则，宜选择对恶臭气体吸收效果好的树种，广种花草树木，场界边缘地带种植杨、槐等高大树种形成多层防护林带，以降低恶臭污染的影响程度。</w:t>
      </w:r>
    </w:p>
    <w:p w14:paraId="52F563EA">
      <w:pPr>
        <w:ind w:firstLine="480"/>
      </w:pPr>
      <w:r>
        <w:rPr>
          <w:rFonts w:hint="eastAsia"/>
        </w:rPr>
        <w:t>（5）废气污染防治措施可行性分析</w:t>
      </w:r>
    </w:p>
    <w:p w14:paraId="2B06E49F">
      <w:pPr>
        <w:ind w:firstLine="480"/>
      </w:pPr>
      <w:r>
        <w:rPr>
          <w:rFonts w:hint="eastAsia"/>
        </w:rPr>
        <w:t>根据《排污许可证申请与核发技术规范畜禽养殖行业》（HJ1029-2019），畜禽养殖行业无组织排放控制要求见表6.2-1。</w:t>
      </w:r>
    </w:p>
    <w:p w14:paraId="427D6EB8">
      <w:pPr>
        <w:ind w:firstLine="0" w:firstLineChars="0"/>
        <w:jc w:val="center"/>
        <w:rPr>
          <w:b/>
          <w:bCs/>
        </w:rPr>
      </w:pPr>
      <w:r>
        <w:rPr>
          <w:rFonts w:hint="eastAsia"/>
          <w:b/>
          <w:bCs/>
        </w:rPr>
        <w:t>表6.2-1畜禽养殖行业排污单位恶臭无组织排放控制要求</w:t>
      </w:r>
    </w:p>
    <w:tbl>
      <w:tblPr>
        <w:tblStyle w:val="1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18"/>
        <w:gridCol w:w="3975"/>
        <w:gridCol w:w="2916"/>
      </w:tblGrid>
      <w:tr w14:paraId="51DC1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53" w:type="pct"/>
            <w:vAlign w:val="center"/>
          </w:tcPr>
          <w:p w14:paraId="610D6335">
            <w:pPr>
              <w:ind w:firstLine="0" w:firstLineChars="0"/>
              <w:jc w:val="center"/>
              <w:rPr>
                <w:sz w:val="21"/>
              </w:rPr>
            </w:pPr>
            <w:r>
              <w:rPr>
                <w:rFonts w:hint="eastAsia"/>
                <w:sz w:val="21"/>
              </w:rPr>
              <w:t>主要生产设施</w:t>
            </w:r>
          </w:p>
        </w:tc>
        <w:tc>
          <w:tcPr>
            <w:tcW w:w="2392" w:type="pct"/>
            <w:vAlign w:val="center"/>
          </w:tcPr>
          <w:p w14:paraId="59A3C457">
            <w:pPr>
              <w:ind w:firstLine="0" w:firstLineChars="0"/>
              <w:jc w:val="center"/>
              <w:rPr>
                <w:sz w:val="21"/>
              </w:rPr>
            </w:pPr>
            <w:r>
              <w:rPr>
                <w:rFonts w:hint="eastAsia"/>
                <w:sz w:val="21"/>
              </w:rPr>
              <w:t>无组织排放控制要求</w:t>
            </w:r>
          </w:p>
        </w:tc>
        <w:tc>
          <w:tcPr>
            <w:tcW w:w="1755" w:type="pct"/>
            <w:vAlign w:val="center"/>
          </w:tcPr>
          <w:p w14:paraId="7AB02082">
            <w:pPr>
              <w:ind w:firstLine="0" w:firstLineChars="0"/>
              <w:jc w:val="center"/>
              <w:rPr>
                <w:sz w:val="21"/>
              </w:rPr>
            </w:pPr>
            <w:r>
              <w:rPr>
                <w:rFonts w:hint="eastAsia"/>
                <w:sz w:val="21"/>
              </w:rPr>
              <w:t>本项目采取措施</w:t>
            </w:r>
          </w:p>
        </w:tc>
      </w:tr>
      <w:tr w14:paraId="60B76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53" w:type="pct"/>
            <w:vAlign w:val="center"/>
          </w:tcPr>
          <w:p w14:paraId="02BC2C3B">
            <w:pPr>
              <w:ind w:firstLine="0" w:firstLineChars="0"/>
              <w:jc w:val="center"/>
              <w:rPr>
                <w:sz w:val="21"/>
              </w:rPr>
            </w:pPr>
            <w:r>
              <w:rPr>
                <w:rFonts w:hint="eastAsia"/>
                <w:sz w:val="21"/>
              </w:rPr>
              <w:t>养殖圈舍</w:t>
            </w:r>
          </w:p>
        </w:tc>
        <w:tc>
          <w:tcPr>
            <w:tcW w:w="2392" w:type="pct"/>
            <w:vAlign w:val="center"/>
          </w:tcPr>
          <w:p w14:paraId="07F9893C">
            <w:pPr>
              <w:ind w:firstLine="0" w:firstLineChars="0"/>
              <w:jc w:val="left"/>
              <w:rPr>
                <w:sz w:val="21"/>
              </w:rPr>
            </w:pPr>
            <w:r>
              <w:rPr>
                <w:rFonts w:hint="eastAsia"/>
                <w:sz w:val="21"/>
              </w:rPr>
              <w:t>（1）选用益生菌配方饲料；（2）及时清运粪污；（3）向粪便或舍内投（铺）放吸附剂减少臭气的散发；（4）投加或喷洒除臭剂；</w:t>
            </w:r>
          </w:p>
        </w:tc>
        <w:tc>
          <w:tcPr>
            <w:tcW w:w="1755" w:type="pct"/>
            <w:vAlign w:val="center"/>
          </w:tcPr>
          <w:p w14:paraId="0B128650">
            <w:pPr>
              <w:ind w:firstLine="0" w:firstLineChars="0"/>
              <w:jc w:val="center"/>
              <w:rPr>
                <w:sz w:val="21"/>
              </w:rPr>
            </w:pPr>
            <w:r>
              <w:rPr>
                <w:rFonts w:hint="eastAsia"/>
                <w:sz w:val="21"/>
              </w:rPr>
              <w:t>定时清理骆驼粪，加强驼舍通风，并科学合理调控饲粮，合理配置饲料成分，对驼舍定期喷洒除臭剂</w:t>
            </w:r>
          </w:p>
        </w:tc>
      </w:tr>
      <w:tr w14:paraId="3861F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53" w:type="pct"/>
            <w:vAlign w:val="center"/>
          </w:tcPr>
          <w:p w14:paraId="772DB8BF">
            <w:pPr>
              <w:ind w:firstLine="0" w:firstLineChars="0"/>
              <w:jc w:val="center"/>
              <w:rPr>
                <w:sz w:val="21"/>
              </w:rPr>
            </w:pPr>
            <w:r>
              <w:rPr>
                <w:rFonts w:hint="eastAsia"/>
                <w:sz w:val="21"/>
              </w:rPr>
              <w:t>粪污处理工程</w:t>
            </w:r>
          </w:p>
        </w:tc>
        <w:tc>
          <w:tcPr>
            <w:tcW w:w="2392" w:type="pct"/>
            <w:vAlign w:val="center"/>
          </w:tcPr>
          <w:p w14:paraId="30157591">
            <w:pPr>
              <w:ind w:firstLine="0" w:firstLineChars="0"/>
              <w:jc w:val="center"/>
              <w:rPr>
                <w:sz w:val="21"/>
              </w:rPr>
            </w:pPr>
            <w:r>
              <w:rPr>
                <w:rFonts w:hint="eastAsia"/>
                <w:sz w:val="21"/>
              </w:rPr>
              <w:t>（1）定期喷洒除臭剂；</w:t>
            </w:r>
          </w:p>
          <w:p w14:paraId="424C1105">
            <w:pPr>
              <w:ind w:firstLine="0" w:firstLineChars="0"/>
              <w:jc w:val="center"/>
              <w:rPr>
                <w:sz w:val="21"/>
              </w:rPr>
            </w:pPr>
            <w:r>
              <w:rPr>
                <w:rFonts w:hint="eastAsia"/>
                <w:sz w:val="21"/>
              </w:rPr>
              <w:t>（2）及时清运固体粪污；</w:t>
            </w:r>
          </w:p>
          <w:p w14:paraId="7B35C262">
            <w:pPr>
              <w:ind w:firstLine="0" w:firstLineChars="0"/>
              <w:jc w:val="center"/>
              <w:rPr>
                <w:sz w:val="21"/>
              </w:rPr>
            </w:pPr>
            <w:r>
              <w:rPr>
                <w:rFonts w:hint="eastAsia"/>
                <w:sz w:val="21"/>
              </w:rPr>
              <w:t>（3）采用厌氧或好氧堆肥方式</w:t>
            </w:r>
          </w:p>
        </w:tc>
        <w:tc>
          <w:tcPr>
            <w:tcW w:w="1755" w:type="pct"/>
            <w:vAlign w:val="center"/>
          </w:tcPr>
          <w:p w14:paraId="586F1413">
            <w:pPr>
              <w:ind w:firstLine="0" w:firstLineChars="0"/>
              <w:jc w:val="center"/>
              <w:rPr>
                <w:sz w:val="21"/>
              </w:rPr>
            </w:pPr>
            <w:r>
              <w:rPr>
                <w:rFonts w:hint="eastAsia"/>
                <w:sz w:val="21"/>
              </w:rPr>
              <w:t>在堆肥场周边种植高大乔木，利用绿色植物对恶臭气体的吸收作用减少污染；另外要在堆肥场周边喷洒除臭剂进行处理</w:t>
            </w:r>
          </w:p>
        </w:tc>
      </w:tr>
      <w:tr w14:paraId="19C5F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53" w:type="pct"/>
            <w:vAlign w:val="center"/>
          </w:tcPr>
          <w:p w14:paraId="21EA6132">
            <w:pPr>
              <w:ind w:firstLine="0" w:firstLineChars="0"/>
              <w:jc w:val="center"/>
              <w:rPr>
                <w:sz w:val="21"/>
              </w:rPr>
            </w:pPr>
            <w:r>
              <w:rPr>
                <w:rFonts w:hint="eastAsia"/>
                <w:sz w:val="21"/>
              </w:rPr>
              <w:t>全场</w:t>
            </w:r>
          </w:p>
        </w:tc>
        <w:tc>
          <w:tcPr>
            <w:tcW w:w="2392" w:type="pct"/>
            <w:vAlign w:val="center"/>
          </w:tcPr>
          <w:p w14:paraId="379F8BB6">
            <w:pPr>
              <w:ind w:firstLine="0" w:firstLineChars="0"/>
              <w:jc w:val="center"/>
              <w:rPr>
                <w:sz w:val="21"/>
              </w:rPr>
            </w:pPr>
            <w:r>
              <w:rPr>
                <w:rFonts w:hint="eastAsia"/>
                <w:sz w:val="21"/>
              </w:rPr>
              <w:t>（1）固体粪污规范还田利用；（2）场区运输道路全硬化、及时清扫、无积灰扬尘、定期洒水抑尘；（3）加强场区绿化。</w:t>
            </w:r>
          </w:p>
        </w:tc>
        <w:tc>
          <w:tcPr>
            <w:tcW w:w="1755" w:type="pct"/>
            <w:vAlign w:val="center"/>
          </w:tcPr>
          <w:p w14:paraId="7EBFA911">
            <w:pPr>
              <w:ind w:firstLine="0" w:firstLineChars="0"/>
              <w:jc w:val="center"/>
              <w:rPr>
                <w:sz w:val="21"/>
              </w:rPr>
            </w:pPr>
            <w:r>
              <w:rPr>
                <w:rFonts w:hint="eastAsia"/>
                <w:sz w:val="21"/>
              </w:rPr>
              <w:t>驼粪发酵制有机肥还田；加强场区绿化</w:t>
            </w:r>
          </w:p>
        </w:tc>
      </w:tr>
    </w:tbl>
    <w:p w14:paraId="5B90138D">
      <w:pPr>
        <w:ind w:firstLine="480"/>
      </w:pPr>
      <w:r>
        <w:rPr>
          <w:rFonts w:hint="eastAsia"/>
        </w:rPr>
        <w:t>由上表可知，本项目驼舍、堆肥场无组织恶臭气体采取的处置措施符合《排污许可证申请与核发技术规范畜禽养殖行业》（HJ1029-2019）中可行技术。</w:t>
      </w:r>
    </w:p>
    <w:p w14:paraId="414AE9A1">
      <w:pPr>
        <w:pStyle w:val="5"/>
      </w:pPr>
      <w:bookmarkStart w:id="203" w:name="_Toc106663526"/>
      <w:r>
        <w:rPr>
          <w:rFonts w:hint="eastAsia"/>
        </w:rPr>
        <w:t>6.2.2运营期水污染防治措施</w:t>
      </w:r>
      <w:bookmarkEnd w:id="203"/>
    </w:p>
    <w:p w14:paraId="71F1A46B">
      <w:pPr>
        <w:pStyle w:val="6"/>
        <w:ind w:firstLine="0" w:firstLineChars="0"/>
      </w:pPr>
      <w:r>
        <w:rPr>
          <w:rFonts w:hint="eastAsia"/>
        </w:rPr>
        <w:t>6.2.2.1废水排放可行性分析</w:t>
      </w:r>
    </w:p>
    <w:p w14:paraId="5E3DA264">
      <w:pPr>
        <w:pStyle w:val="49"/>
        <w:spacing w:line="360" w:lineRule="auto"/>
        <w:ind w:firstLine="480" w:firstLineChars="200"/>
        <w:jc w:val="both"/>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w:t>
      </w:r>
      <w:r>
        <w:rPr>
          <w:rFonts w:ascii="Times New Roman" w:hAnsi="Times New Roman"/>
          <w:sz w:val="24"/>
          <w:szCs w:val="24"/>
        </w:rPr>
        <w:t>废水排放情况</w:t>
      </w:r>
    </w:p>
    <w:p w14:paraId="7D8BCA8A">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本项目废水产生量约为</w:t>
      </w:r>
      <w:r>
        <w:rPr>
          <w:rFonts w:hint="eastAsia" w:ascii="Times New Roman" w:hAnsi="Times New Roman"/>
          <w:sz w:val="24"/>
          <w:szCs w:val="24"/>
          <w:lang w:val="en-US" w:eastAsia="zh-CN"/>
        </w:rPr>
        <w:t>488.8</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/a，其中生活污水产生量467.2m</w:t>
      </w:r>
      <w:r>
        <w:rPr>
          <w:rFonts w:ascii="Times New Roman" w:hAnsi="Times New Roman"/>
          <w:sz w:val="24"/>
          <w:szCs w:val="24"/>
          <w:vertAlign w:val="superscript"/>
        </w:rPr>
        <w:t>3</w:t>
      </w:r>
      <w:r>
        <w:rPr>
          <w:rFonts w:ascii="Times New Roman" w:hAnsi="Times New Roman"/>
          <w:sz w:val="24"/>
          <w:szCs w:val="24"/>
        </w:rPr>
        <w:t>/a</w:t>
      </w:r>
      <w:r>
        <w:rPr>
          <w:rFonts w:hint="eastAsia" w:ascii="Times New Roman" w:hAnsi="Times New Roman"/>
          <w:sz w:val="24"/>
          <w:szCs w:val="24"/>
          <w:lang w:eastAsia="zh-CN"/>
        </w:rPr>
        <w:t>，</w:t>
      </w:r>
      <w:r>
        <w:rPr>
          <w:rFonts w:hint="eastAsia" w:ascii="Times New Roman" w:hAnsi="Times New Roman"/>
          <w:sz w:val="24"/>
          <w:szCs w:val="24"/>
          <w:lang w:val="en-US" w:eastAsia="zh-CN"/>
        </w:rPr>
        <w:t>渗滤液21.6m</w:t>
      </w:r>
      <w:r>
        <w:rPr>
          <w:rFonts w:hint="eastAsia" w:ascii="Times New Roman" w:hAnsi="Times New Roman"/>
          <w:sz w:val="24"/>
          <w:szCs w:val="24"/>
          <w:vertAlign w:val="superscript"/>
          <w:lang w:val="en-US" w:eastAsia="zh-CN"/>
        </w:rPr>
        <w:t>3</w:t>
      </w:r>
      <w:r>
        <w:rPr>
          <w:rFonts w:hint="eastAsia" w:ascii="Times New Roman" w:hAnsi="Times New Roman"/>
          <w:sz w:val="24"/>
          <w:szCs w:val="24"/>
          <w:vertAlign w:val="baseline"/>
          <w:lang w:val="en-US" w:eastAsia="zh-CN"/>
        </w:rPr>
        <w:t>/a</w:t>
      </w:r>
      <w:r>
        <w:rPr>
          <w:rFonts w:hint="eastAsia" w:ascii="Times New Roman" w:hAnsi="Times New Roman"/>
          <w:sz w:val="24"/>
          <w:szCs w:val="24"/>
        </w:rPr>
        <w:t>。</w:t>
      </w:r>
      <w:r>
        <w:rPr>
          <w:rFonts w:ascii="Times New Roman" w:hAnsi="Times New Roman"/>
          <w:sz w:val="24"/>
          <w:szCs w:val="24"/>
        </w:rPr>
        <w:t>其主要污染因子主要为CODcr、BOD</w:t>
      </w:r>
      <w:r>
        <w:rPr>
          <w:rFonts w:ascii="Times New Roman" w:hAnsi="Times New Roman"/>
          <w:sz w:val="24"/>
          <w:szCs w:val="24"/>
          <w:vertAlign w:val="subscript"/>
        </w:rPr>
        <w:t>5</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-N和SS</w:t>
      </w:r>
      <w:r>
        <w:rPr>
          <w:rFonts w:hint="eastAsia" w:ascii="Times New Roman" w:hAnsi="Times New Roman"/>
          <w:sz w:val="24"/>
          <w:szCs w:val="24"/>
        </w:rPr>
        <w:t>。</w:t>
      </w:r>
      <w:r>
        <w:rPr>
          <w:rFonts w:hint="eastAsia" w:ascii="Times New Roman" w:hAnsi="Times New Roman"/>
          <w:sz w:val="24"/>
          <w:szCs w:val="24"/>
          <w:lang w:val="en-US" w:eastAsia="zh-CN"/>
        </w:rPr>
        <w:t>渗滤液同</w:t>
      </w:r>
      <w:r>
        <w:rPr>
          <w:rFonts w:ascii="Times New Roman" w:hAnsi="Times New Roman"/>
          <w:sz w:val="24"/>
          <w:szCs w:val="24"/>
        </w:rPr>
        <w:t>生活污水</w:t>
      </w:r>
      <w:r>
        <w:rPr>
          <w:rFonts w:hint="eastAsia" w:ascii="Times New Roman" w:hAnsi="Times New Roman"/>
          <w:sz w:val="24"/>
          <w:szCs w:val="24"/>
        </w:rPr>
        <w:t>排入防渗化粪池，由木垒县污水处理厂处理</w:t>
      </w:r>
      <w:r>
        <w:rPr>
          <w:rFonts w:ascii="Times New Roman" w:hAnsi="Times New Roman"/>
          <w:sz w:val="24"/>
          <w:szCs w:val="24"/>
        </w:rPr>
        <w:t>，最终进入</w:t>
      </w:r>
      <w:r>
        <w:rPr>
          <w:rFonts w:hint="eastAsia" w:ascii="Times New Roman" w:hAnsi="Times New Roman"/>
          <w:sz w:val="24"/>
          <w:szCs w:val="24"/>
        </w:rPr>
        <w:t>木垒县</w:t>
      </w:r>
      <w:r>
        <w:rPr>
          <w:rFonts w:ascii="Times New Roman" w:hAnsi="Times New Roman"/>
          <w:sz w:val="24"/>
          <w:szCs w:val="24"/>
        </w:rPr>
        <w:t>城污水处理厂</w:t>
      </w:r>
      <w:r>
        <w:rPr>
          <w:rFonts w:hint="eastAsia" w:ascii="Times New Roman" w:hAnsi="Times New Roman"/>
          <w:sz w:val="24"/>
          <w:szCs w:val="24"/>
        </w:rPr>
        <w:t>。</w:t>
      </w:r>
    </w:p>
    <w:p w14:paraId="76E605C4">
      <w:pPr>
        <w:pStyle w:val="49"/>
        <w:spacing w:line="360" w:lineRule="auto"/>
        <w:ind w:firstLine="480" w:firstLineChars="200"/>
        <w:jc w:val="both"/>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w:t>
      </w:r>
      <w:r>
        <w:rPr>
          <w:rFonts w:ascii="Times New Roman" w:hAnsi="Times New Roman"/>
          <w:sz w:val="24"/>
          <w:szCs w:val="24"/>
        </w:rPr>
        <w:t>排入</w:t>
      </w:r>
      <w:r>
        <w:rPr>
          <w:rFonts w:hint="eastAsia" w:ascii="Times New Roman" w:hAnsi="Times New Roman"/>
          <w:sz w:val="24"/>
          <w:szCs w:val="24"/>
        </w:rPr>
        <w:t>木垒县</w:t>
      </w:r>
      <w:r>
        <w:rPr>
          <w:rFonts w:ascii="Times New Roman" w:hAnsi="Times New Roman"/>
          <w:sz w:val="24"/>
          <w:szCs w:val="24"/>
        </w:rPr>
        <w:t>城污水处理厂可行性分析</w:t>
      </w:r>
    </w:p>
    <w:p w14:paraId="7178374C">
      <w:pPr>
        <w:pStyle w:val="49"/>
        <w:spacing w:line="360" w:lineRule="auto"/>
        <w:ind w:firstLine="480" w:firstLineChars="200"/>
        <w:jc w:val="both"/>
        <w:rPr>
          <w:rFonts w:ascii="Times New Roman" w:hAnsi="Times New Roman"/>
          <w:sz w:val="24"/>
          <w:szCs w:val="24"/>
        </w:rPr>
      </w:pPr>
      <w:r>
        <w:rPr>
          <w:rFonts w:hint="eastAsia" w:ascii="Times New Roman" w:hAnsi="Times New Roman"/>
          <w:sz w:val="24"/>
          <w:szCs w:val="24"/>
        </w:rPr>
        <w:t>木垒县</w:t>
      </w:r>
      <w:r>
        <w:rPr>
          <w:rFonts w:ascii="Times New Roman" w:hAnsi="Times New Roman"/>
          <w:sz w:val="24"/>
          <w:szCs w:val="24"/>
        </w:rPr>
        <w:t>城污水处理厂于</w:t>
      </w:r>
      <w:r>
        <w:rPr>
          <w:rFonts w:hint="eastAsia" w:ascii="Times New Roman" w:hAnsi="Times New Roman"/>
          <w:sz w:val="24"/>
          <w:szCs w:val="24"/>
        </w:rPr>
        <w:t>2018</w:t>
      </w:r>
      <w:r>
        <w:rPr>
          <w:rFonts w:ascii="Times New Roman" w:hAnsi="Times New Roman"/>
          <w:sz w:val="24"/>
          <w:szCs w:val="24"/>
        </w:rPr>
        <w:t>年10月正式运行，</w:t>
      </w:r>
      <w:r>
        <w:rPr>
          <w:rFonts w:hint="eastAsia" w:ascii="Times New Roman" w:hAnsi="Times New Roman"/>
          <w:sz w:val="24"/>
          <w:szCs w:val="24"/>
        </w:rPr>
        <w:t>2017</w:t>
      </w:r>
      <w:r>
        <w:rPr>
          <w:rFonts w:ascii="Times New Roman" w:hAnsi="Times New Roman"/>
          <w:sz w:val="24"/>
          <w:szCs w:val="24"/>
        </w:rPr>
        <w:t>年</w:t>
      </w:r>
      <w:r>
        <w:rPr>
          <w:rFonts w:hint="eastAsia" w:ascii="Times New Roman" w:hAnsi="Times New Roman"/>
          <w:sz w:val="24"/>
          <w:szCs w:val="24"/>
        </w:rPr>
        <w:t>6月</w:t>
      </w:r>
      <w:r>
        <w:rPr>
          <w:rFonts w:ascii="Times New Roman" w:hAnsi="Times New Roman"/>
          <w:sz w:val="24"/>
          <w:szCs w:val="24"/>
        </w:rPr>
        <w:t>取得原</w:t>
      </w:r>
      <w:r>
        <w:rPr>
          <w:rFonts w:hint="eastAsia" w:ascii="Times New Roman" w:hAnsi="Times New Roman"/>
          <w:sz w:val="24"/>
          <w:szCs w:val="24"/>
        </w:rPr>
        <w:t>新疆维吾尔自治区环境保护厅</w:t>
      </w:r>
      <w:r>
        <w:rPr>
          <w:rFonts w:ascii="Times New Roman" w:hAnsi="Times New Roman"/>
          <w:sz w:val="24"/>
          <w:szCs w:val="24"/>
        </w:rPr>
        <w:t>下发</w:t>
      </w:r>
      <w:r>
        <w:rPr>
          <w:rFonts w:hint="eastAsia" w:ascii="Times New Roman" w:hAnsi="Times New Roman"/>
          <w:sz w:val="24"/>
          <w:szCs w:val="24"/>
        </w:rPr>
        <w:t>新环函</w:t>
      </w:r>
      <w:r>
        <w:rPr>
          <w:rFonts w:ascii="Times New Roman" w:hAnsi="Times New Roman"/>
          <w:sz w:val="24"/>
          <w:szCs w:val="24"/>
        </w:rPr>
        <w:t>〔</w:t>
      </w:r>
      <w:r>
        <w:rPr>
          <w:rFonts w:hint="eastAsia" w:ascii="Times New Roman" w:hAnsi="Times New Roman"/>
          <w:sz w:val="24"/>
          <w:szCs w:val="24"/>
        </w:rPr>
        <w:t>2017</w:t>
      </w:r>
      <w:r>
        <w:rPr>
          <w:rFonts w:ascii="Times New Roman" w:hAnsi="Times New Roman"/>
          <w:sz w:val="24"/>
          <w:szCs w:val="24"/>
        </w:rPr>
        <w:t>〕</w:t>
      </w:r>
      <w:r>
        <w:rPr>
          <w:rFonts w:hint="eastAsia" w:ascii="Times New Roman" w:hAnsi="Times New Roman"/>
          <w:sz w:val="24"/>
          <w:szCs w:val="24"/>
        </w:rPr>
        <w:t>657</w:t>
      </w:r>
      <w:r>
        <w:rPr>
          <w:rFonts w:ascii="Times New Roman" w:hAnsi="Times New Roman"/>
          <w:sz w:val="24"/>
          <w:szCs w:val="24"/>
        </w:rPr>
        <w:t>号文件，同意该项目通过建设项目竣工环境保护验收</w:t>
      </w:r>
      <w:r>
        <w:rPr>
          <w:rFonts w:hint="eastAsia" w:ascii="Times New Roman" w:hAnsi="Times New Roman"/>
          <w:sz w:val="24"/>
          <w:szCs w:val="24"/>
        </w:rPr>
        <w:t>。</w:t>
      </w:r>
      <w:r>
        <w:rPr>
          <w:rFonts w:ascii="Times New Roman" w:hAnsi="Times New Roman"/>
          <w:sz w:val="24"/>
          <w:szCs w:val="24"/>
        </w:rPr>
        <w:t>由</w:t>
      </w:r>
      <w:r>
        <w:rPr>
          <w:rFonts w:hint="eastAsia" w:ascii="Times New Roman" w:hAnsi="Times New Roman"/>
          <w:sz w:val="24"/>
          <w:szCs w:val="24"/>
        </w:rPr>
        <w:t>木垒县科发再生水有限公司</w:t>
      </w:r>
      <w:r>
        <w:rPr>
          <w:rFonts w:ascii="Times New Roman" w:hAnsi="Times New Roman"/>
          <w:sz w:val="24"/>
          <w:szCs w:val="24"/>
        </w:rPr>
        <w:t>开发建设，日处理规模</w:t>
      </w:r>
      <w:r>
        <w:rPr>
          <w:rFonts w:hint="eastAsia" w:ascii="Times New Roman" w:hAnsi="Times New Roman"/>
          <w:sz w:val="24"/>
          <w:szCs w:val="24"/>
        </w:rPr>
        <w:t>10000</w:t>
      </w:r>
      <w:r>
        <w:rPr>
          <w:rFonts w:ascii="Times New Roman" w:hAnsi="Times New Roman"/>
          <w:sz w:val="24"/>
          <w:szCs w:val="24"/>
        </w:rPr>
        <w:t>m</w:t>
      </w:r>
      <w:r>
        <w:rPr>
          <w:rFonts w:ascii="Times New Roman" w:hAnsi="Times New Roman"/>
          <w:sz w:val="24"/>
          <w:szCs w:val="24"/>
          <w:vertAlign w:val="superscript"/>
        </w:rPr>
        <w:t>3</w:t>
      </w:r>
      <w:r>
        <w:rPr>
          <w:rFonts w:hint="eastAsia" w:ascii="Times New Roman" w:hAnsi="Times New Roman"/>
          <w:sz w:val="24"/>
          <w:szCs w:val="24"/>
        </w:rPr>
        <w:t>。</w:t>
      </w:r>
      <w:r>
        <w:rPr>
          <w:rFonts w:ascii="Times New Roman" w:hAnsi="Times New Roman"/>
          <w:sz w:val="24"/>
          <w:szCs w:val="24"/>
        </w:rPr>
        <w:t>该污水处理厂采用</w:t>
      </w:r>
      <w:r>
        <w:rPr>
          <w:rFonts w:hint="eastAsia" w:ascii="Times New Roman" w:hAnsi="Times New Roman"/>
          <w:sz w:val="24"/>
          <w:szCs w:val="24"/>
        </w:rPr>
        <w:t>“水解酸化+A</w:t>
      </w:r>
      <w:r>
        <w:rPr>
          <w:rFonts w:hint="eastAsia" w:ascii="Times New Roman" w:hAnsi="Times New Roman"/>
          <w:sz w:val="24"/>
          <w:szCs w:val="24"/>
          <w:vertAlign w:val="superscript"/>
        </w:rPr>
        <w:t>2</w:t>
      </w:r>
      <w:r>
        <w:rPr>
          <w:rFonts w:hint="eastAsia" w:ascii="Times New Roman" w:hAnsi="Times New Roman"/>
          <w:sz w:val="24"/>
          <w:szCs w:val="24"/>
        </w:rPr>
        <w:t>/O+MBR”</w:t>
      </w:r>
      <w:r>
        <w:rPr>
          <w:rFonts w:ascii="Times New Roman" w:hAnsi="Times New Roman"/>
          <w:sz w:val="24"/>
          <w:szCs w:val="24"/>
        </w:rPr>
        <w:t>，</w:t>
      </w:r>
      <w:r>
        <w:rPr>
          <w:rFonts w:hint="eastAsia" w:ascii="Times New Roman" w:hAnsi="Times New Roman"/>
          <w:sz w:val="24"/>
          <w:szCs w:val="24"/>
        </w:rPr>
        <w:t>接水水质达到达到《污水综合排放标准》（GB8978-1996）三级标准。</w:t>
      </w:r>
      <w:r>
        <w:rPr>
          <w:rFonts w:ascii="Times New Roman" w:hAnsi="Times New Roman"/>
          <w:sz w:val="24"/>
          <w:szCs w:val="24"/>
        </w:rPr>
        <w:t>出水水质达到《城镇污水处理厂污染物排放标准》一级A标准</w:t>
      </w:r>
      <w:r>
        <w:rPr>
          <w:rFonts w:hint="eastAsia" w:ascii="Times New Roman" w:hAnsi="Times New Roman"/>
          <w:sz w:val="24"/>
          <w:szCs w:val="24"/>
        </w:rPr>
        <w:t>。</w:t>
      </w:r>
      <w:r>
        <w:rPr>
          <w:rFonts w:ascii="Times New Roman" w:hAnsi="Times New Roman"/>
          <w:sz w:val="24"/>
          <w:szCs w:val="24"/>
        </w:rPr>
        <w:t>原污水由管道进入粗格栅去除较大粒径悬浮物，经提升泵进入细格栅后进入改良A-A-O池由厌氧菌和好氧菌进一步去除COD、BOD、氨氮和少量磷，然后进入二沉池进行污泥分离，部分污泥回流至好氧池</w:t>
      </w:r>
      <w:r>
        <w:rPr>
          <w:rFonts w:hint="eastAsia" w:ascii="Times New Roman" w:hAnsi="Times New Roman"/>
          <w:sz w:val="24"/>
          <w:szCs w:val="24"/>
        </w:rPr>
        <w:t>。</w:t>
      </w:r>
      <w:r>
        <w:rPr>
          <w:rFonts w:ascii="Times New Roman" w:hAnsi="Times New Roman"/>
          <w:sz w:val="24"/>
          <w:szCs w:val="24"/>
        </w:rPr>
        <w:t>二沉池出水进入除磷池进行脱磷处理，最后经过接触消毒池消毒后达标外排</w:t>
      </w:r>
      <w:r>
        <w:rPr>
          <w:rFonts w:hint="eastAsia" w:ascii="Times New Roman" w:hAnsi="Times New Roman"/>
          <w:sz w:val="24"/>
          <w:szCs w:val="24"/>
        </w:rPr>
        <w:t>。</w:t>
      </w:r>
      <w:r>
        <w:rPr>
          <w:rFonts w:ascii="Times New Roman" w:hAnsi="Times New Roman"/>
          <w:sz w:val="24"/>
          <w:szCs w:val="24"/>
        </w:rPr>
        <w:t>经污水处理厂处理后</w:t>
      </w:r>
      <w:r>
        <w:rPr>
          <w:rFonts w:hint="eastAsia" w:ascii="Times New Roman" w:hAnsi="Times New Roman"/>
          <w:sz w:val="24"/>
          <w:szCs w:val="24"/>
        </w:rPr>
        <w:t>排入下游湿地公园作为林地绿化灌溉用水。</w:t>
      </w:r>
      <w:r>
        <w:rPr>
          <w:rFonts w:ascii="Times New Roman" w:hAnsi="Times New Roman"/>
          <w:sz w:val="24"/>
          <w:szCs w:val="24"/>
        </w:rPr>
        <w:t>目前，该污水处理厂运行状况良好，出水水质达标</w:t>
      </w:r>
      <w:r>
        <w:rPr>
          <w:rFonts w:hint="eastAsia" w:ascii="Times New Roman" w:hAnsi="Times New Roman"/>
          <w:sz w:val="24"/>
          <w:szCs w:val="24"/>
        </w:rPr>
        <w:t>。</w:t>
      </w:r>
    </w:p>
    <w:p w14:paraId="2BEE4BA2">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本项目废水排水水质符合</w:t>
      </w:r>
      <w:r>
        <w:rPr>
          <w:rFonts w:hint="eastAsia" w:ascii="Times New Roman" w:hAnsi="Times New Roman"/>
          <w:sz w:val="24"/>
          <w:szCs w:val="24"/>
        </w:rPr>
        <w:t>木垒县</w:t>
      </w:r>
      <w:r>
        <w:rPr>
          <w:rFonts w:ascii="Times New Roman" w:hAnsi="Times New Roman"/>
          <w:sz w:val="24"/>
          <w:szCs w:val="24"/>
        </w:rPr>
        <w:t>城污水处理厂纳污标准</w:t>
      </w:r>
      <w:r>
        <w:rPr>
          <w:rFonts w:hint="eastAsia" w:ascii="Times New Roman" w:hAnsi="Times New Roman"/>
          <w:sz w:val="24"/>
          <w:szCs w:val="24"/>
        </w:rPr>
        <w:t>。</w:t>
      </w:r>
      <w:r>
        <w:rPr>
          <w:rFonts w:ascii="Times New Roman" w:hAnsi="Times New Roman"/>
          <w:sz w:val="24"/>
          <w:szCs w:val="24"/>
        </w:rPr>
        <w:t>本项目日排水量较小，平时仅为职工生活污水</w:t>
      </w:r>
      <w:r>
        <w:rPr>
          <w:rFonts w:hint="eastAsia" w:ascii="Times New Roman" w:hAnsi="Times New Roman"/>
          <w:sz w:val="24"/>
          <w:szCs w:val="24"/>
          <w:lang w:val="en-US" w:eastAsia="zh-CN"/>
        </w:rPr>
        <w:t>和渗滤液</w:t>
      </w:r>
      <w:r>
        <w:rPr>
          <w:rFonts w:ascii="Times New Roman" w:hAnsi="Times New Roman"/>
          <w:sz w:val="24"/>
          <w:szCs w:val="24"/>
        </w:rPr>
        <w:t>，排水量为</w:t>
      </w:r>
      <w:r>
        <w:rPr>
          <w:rFonts w:hint="eastAsia" w:ascii="Times New Roman" w:hAnsi="Times New Roman"/>
          <w:sz w:val="24"/>
          <w:szCs w:val="24"/>
          <w:lang w:val="en-US" w:eastAsia="zh-CN"/>
        </w:rPr>
        <w:t>1.34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/d，因此符合</w:t>
      </w:r>
      <w:r>
        <w:rPr>
          <w:rFonts w:hint="eastAsia" w:ascii="Times New Roman" w:hAnsi="Times New Roman"/>
          <w:sz w:val="24"/>
          <w:szCs w:val="24"/>
        </w:rPr>
        <w:t>木垒县</w:t>
      </w:r>
      <w:r>
        <w:rPr>
          <w:rFonts w:ascii="Times New Roman" w:hAnsi="Times New Roman"/>
          <w:sz w:val="24"/>
          <w:szCs w:val="24"/>
        </w:rPr>
        <w:t>城污水处理厂处理负荷</w:t>
      </w:r>
      <w:r>
        <w:rPr>
          <w:rFonts w:hint="eastAsia" w:ascii="Times New Roman" w:hAnsi="Times New Roman"/>
          <w:sz w:val="24"/>
          <w:szCs w:val="24"/>
        </w:rPr>
        <w:t>。</w:t>
      </w:r>
      <w:r>
        <w:rPr>
          <w:rFonts w:ascii="Times New Roman" w:hAnsi="Times New Roman"/>
          <w:sz w:val="24"/>
          <w:szCs w:val="24"/>
        </w:rPr>
        <w:t>因此，本项目排水方案可行</w:t>
      </w:r>
      <w:r>
        <w:rPr>
          <w:rFonts w:hint="eastAsia" w:ascii="Times New Roman" w:hAnsi="Times New Roman"/>
          <w:sz w:val="24"/>
          <w:szCs w:val="24"/>
        </w:rPr>
        <w:t>。</w:t>
      </w:r>
    </w:p>
    <w:p w14:paraId="6FD8446A">
      <w:pPr>
        <w:pStyle w:val="6"/>
        <w:ind w:firstLine="482"/>
      </w:pPr>
      <w:r>
        <w:rPr>
          <w:rFonts w:hint="eastAsia"/>
        </w:rPr>
        <w:t>6.2.2.3</w:t>
      </w:r>
      <w:r>
        <w:t>地下水</w:t>
      </w:r>
      <w:r>
        <w:rPr>
          <w:rFonts w:hint="eastAsia"/>
        </w:rPr>
        <w:t>污染防治措施</w:t>
      </w:r>
    </w:p>
    <w:p w14:paraId="56C58A0C">
      <w:pPr>
        <w:ind w:firstLine="480"/>
      </w:pPr>
      <w:r>
        <w:rPr>
          <w:rFonts w:hint="eastAsia"/>
        </w:rPr>
        <w:t>本项目运营期正常情况下对地下水水质的影响较小。为防止项目运营对地下水的影响，根据工程特点和当地的实际情况，依据《环境影响评价技术导则地下水环境》（HJ610-2016），按照“源头控制、分区防治、污染监控、应急响应”的原则，本项目从污染物的产生、下渗、扩散、应急响应等方面采取全方位的控制措施。</w:t>
      </w:r>
    </w:p>
    <w:p w14:paraId="734DCBCB">
      <w:pPr>
        <w:ind w:firstLine="480"/>
      </w:pPr>
      <w:r>
        <w:rPr>
          <w:rFonts w:hint="eastAsia"/>
        </w:rPr>
        <w:t>地下水污染的特点主要体现在它的滞后性和难恢复性，基于上述两点原因，决定了地下水污染防治的特点是以防为主，且需加强监测，以便及时发现问题、及时解决。</w:t>
      </w:r>
    </w:p>
    <w:p w14:paraId="0A9017FF">
      <w:pPr>
        <w:ind w:firstLine="480"/>
      </w:pPr>
      <w:r>
        <w:rPr>
          <w:rFonts w:hint="eastAsia"/>
        </w:rPr>
        <w:t>（1）源头控制</w:t>
      </w:r>
    </w:p>
    <w:p w14:paraId="54F53ED1">
      <w:pPr>
        <w:ind w:firstLine="480"/>
      </w:pPr>
      <w:r>
        <w:rPr>
          <w:rFonts w:hint="eastAsia"/>
        </w:rPr>
        <w:t>本项目运营期对地下水环境影响的主要为养殖区、污水处理区、堆肥间等以上污染因素，如不加以管理，各区污水下渗将污染地下水；粪便若乱堆乱放，可能转入环境空气或地表水体，并通过下渗影响到地下水环境。因此评价要求首先在源头进行控制，具体防控措施为：</w:t>
      </w:r>
    </w:p>
    <w:p w14:paraId="5F77C612">
      <w:pPr>
        <w:ind w:firstLine="480"/>
      </w:pPr>
      <w:r>
        <w:rPr>
          <w:rFonts w:hint="eastAsia"/>
        </w:rPr>
        <w:t>1）养殖区采用限位饮水器，减少水资源不必要的流失，养殖区内部底部采取混凝土进行防渗减少污染物的跑、冒、滴、漏；</w:t>
      </w:r>
    </w:p>
    <w:p w14:paraId="10F67AD5">
      <w:pPr>
        <w:ind w:firstLine="480"/>
      </w:pPr>
      <w:r>
        <w:rPr>
          <w:rFonts w:hint="eastAsia"/>
        </w:rPr>
        <w:t>2）化粪池采用砖混结构并做相应耐酸、碱表面处理；</w:t>
      </w:r>
    </w:p>
    <w:p w14:paraId="5AD2EC22">
      <w:pPr>
        <w:ind w:firstLine="480"/>
      </w:pPr>
      <w:r>
        <w:rPr>
          <w:rFonts w:hint="eastAsia"/>
        </w:rPr>
        <w:t>3）堆肥间地面采取混凝土防渗，并设置防风、防雨、防流失措施；</w:t>
      </w:r>
    </w:p>
    <w:p w14:paraId="68B9BB60">
      <w:pPr>
        <w:ind w:firstLine="480"/>
      </w:pPr>
      <w:r>
        <w:rPr>
          <w:rFonts w:hint="eastAsia"/>
        </w:rPr>
        <w:t>4）场区道路硬化防渗处理。</w:t>
      </w:r>
    </w:p>
    <w:p w14:paraId="385648B6">
      <w:pPr>
        <w:ind w:firstLine="480"/>
      </w:pPr>
      <w:r>
        <w:rPr>
          <w:rFonts w:hint="eastAsia"/>
        </w:rPr>
        <w:t>1、防控措施</w:t>
      </w:r>
    </w:p>
    <w:p w14:paraId="61304B1A">
      <w:pPr>
        <w:ind w:firstLine="480"/>
      </w:pPr>
      <w:r>
        <w:rPr>
          <w:rFonts w:hint="eastAsia"/>
        </w:rPr>
        <w:t>为了进一步保护所在区域地下水资源，本工程在设计上对污水处理区、堆肥场等采取以下防渗处理措施：</w:t>
      </w:r>
    </w:p>
    <w:p w14:paraId="14BE0E3F">
      <w:pPr>
        <w:numPr>
          <w:ilvl w:val="0"/>
          <w:numId w:val="4"/>
        </w:numPr>
        <w:ind w:firstLine="480"/>
      </w:pPr>
      <w:r>
        <w:rPr>
          <w:rFonts w:hint="eastAsia"/>
        </w:rPr>
        <w:t>本项目堆肥场和防渗化粪池渗漏等进入地下水含水层，可能造成地下水污染，需重点防渗和防腐。本项目地下水埋深约60~80m。因此本项目必须加强对堆肥场的防渗处理措施，严格按照《工业建筑防腐蚀设计标准》（GB500446-2018）、《建筑防腐蚀工程施工及验收规范》（GB50212-2014）、《环境影响评价技术导则地下水环境》（HJ610-2016）的要求对地坪进行防渗、防腐，对地坪进行防渗、防腐铺设2mm厚高密度聚乙烯，或至少2mm厚其他人工材料，防渗等级：渗透系数&lt;1.0×10</w:t>
      </w:r>
      <w:r>
        <w:rPr>
          <w:rFonts w:hint="eastAsia"/>
          <w:vertAlign w:val="superscript"/>
        </w:rPr>
        <w:t>-12</w:t>
      </w:r>
      <w:r>
        <w:rPr>
          <w:rFonts w:hint="eastAsia"/>
        </w:rPr>
        <w:t>cm/s；本项目应设置明显的警示标志和责任监督牌。要求重点防渗区在施工时，保存质检报告。</w:t>
      </w:r>
    </w:p>
    <w:p w14:paraId="5A354CA5">
      <w:pPr>
        <w:ind w:firstLine="480"/>
      </w:pPr>
      <w:r>
        <w:rPr>
          <w:rFonts w:hint="eastAsia"/>
        </w:rPr>
        <w:t>（2）对一般固废暂存区、养殖圈舍和周围地面等按一般防渗区采取防渗措施。底压实粘土层厚度要≥1m，满足渗透系数K≤1.0×10</w:t>
      </w:r>
      <w:r>
        <w:rPr>
          <w:rFonts w:hint="eastAsia"/>
          <w:vertAlign w:val="superscript"/>
        </w:rPr>
        <w:t>-7</w:t>
      </w:r>
      <w:r>
        <w:rPr>
          <w:rFonts w:hint="eastAsia"/>
        </w:rPr>
        <w:t>cm/s；防渗粘土层上部及贮水池侧面铺设1.0mm高密度聚乙烯（HDPE）防渗膜（渗透系数K≤10</w:t>
      </w:r>
      <w:r>
        <w:rPr>
          <w:rFonts w:hint="eastAsia"/>
          <w:vertAlign w:val="superscript"/>
        </w:rPr>
        <w:t>-7</w:t>
      </w:r>
      <w:r>
        <w:rPr>
          <w:rFonts w:hint="eastAsia"/>
        </w:rPr>
        <w:t>cm/s），在做好基层防渗的基础上进行水泥硬化。</w:t>
      </w:r>
    </w:p>
    <w:p w14:paraId="49CA33E7">
      <w:pPr>
        <w:ind w:firstLine="480"/>
      </w:pPr>
      <w:r>
        <w:rPr>
          <w:rFonts w:hint="eastAsia"/>
        </w:rPr>
        <w:t>（3）其他建筑物及道路采取简单防渗，对其地面采用混凝土进行一般地面硬化。防渗分区图见图6.2-1。</w:t>
      </w:r>
    </w:p>
    <w:p w14:paraId="6D35F636">
      <w:pPr>
        <w:ind w:firstLine="480"/>
      </w:pPr>
      <w:r>
        <w:rPr>
          <w:rFonts w:hint="eastAsia"/>
        </w:rPr>
        <w:t>（4）平时注意污水处理等设施的维护，确保系统正常运行。</w:t>
      </w:r>
    </w:p>
    <w:p w14:paraId="4A3378E4">
      <w:pPr>
        <w:ind w:firstLine="480"/>
      </w:pPr>
      <w:r>
        <w:rPr>
          <w:rFonts w:hint="eastAsia"/>
        </w:rPr>
        <w:t>（5）确保污水管道质量，应用质量良好的管材，增加管段长度，减少管道接口，避免废水的跑、冒、滴、漏现象的发生。</w:t>
      </w:r>
    </w:p>
    <w:p w14:paraId="33B1A5A9">
      <w:pPr>
        <w:ind w:firstLine="480"/>
      </w:pPr>
      <w:r>
        <w:rPr>
          <w:rFonts w:hint="eastAsia"/>
        </w:rPr>
        <w:t>（6）加强管理，建立巡逻制度，定期对场地进行检查，及时发现问题，查找隐患，杜绝污染物的外排。</w:t>
      </w:r>
    </w:p>
    <w:p w14:paraId="412D0E46">
      <w:pPr>
        <w:ind w:firstLine="480"/>
      </w:pPr>
      <w:r>
        <w:rPr>
          <w:rFonts w:hint="eastAsia"/>
        </w:rPr>
        <w:t>（7）应及时监控厂区周边地下水环境。</w:t>
      </w:r>
    </w:p>
    <w:p w14:paraId="78897103">
      <w:pPr>
        <w:ind w:firstLine="480"/>
      </w:pPr>
      <w:r>
        <w:rPr>
          <w:rFonts w:hint="eastAsia"/>
        </w:rPr>
        <w:t>本项目对地下水的主要污染途径为废水渗透，在认真采取以上措施的基础上，一旦水泥硬化层发生断裂，由于防渗层的保护作用，废水不会对地下水源造成影响。</w:t>
      </w:r>
    </w:p>
    <w:p w14:paraId="4BC17B46">
      <w:pPr>
        <w:ind w:firstLine="480"/>
      </w:pPr>
      <w:r>
        <w:rPr>
          <w:rFonts w:hint="eastAsia"/>
        </w:rPr>
        <w:t>2.污染监控</w:t>
      </w:r>
    </w:p>
    <w:p w14:paraId="58A2F795">
      <w:pPr>
        <w:ind w:firstLine="480"/>
      </w:pPr>
      <w:r>
        <w:rPr>
          <w:rFonts w:hint="eastAsia"/>
        </w:rPr>
        <w:t>1）建立地下水环境监测管理体系</w:t>
      </w:r>
    </w:p>
    <w:p w14:paraId="7F00F015">
      <w:pPr>
        <w:ind w:firstLine="480"/>
      </w:pPr>
      <w:r>
        <w:rPr>
          <w:rFonts w:hint="eastAsia"/>
        </w:rPr>
        <w:t>包括制定地下水环境影响跟踪监测计划、建立地下水环境影响跟踪监测制度、配备先进的监测仪器，以便及时发现问题，采取措施。</w:t>
      </w:r>
    </w:p>
    <w:p w14:paraId="6207577A">
      <w:pPr>
        <w:ind w:firstLine="480"/>
      </w:pPr>
      <w:r>
        <w:rPr>
          <w:rFonts w:hint="eastAsia"/>
        </w:rPr>
        <w:t>2）跟踪监测计划</w:t>
      </w:r>
    </w:p>
    <w:p w14:paraId="4EB3DB48">
      <w:pPr>
        <w:ind w:firstLine="480"/>
      </w:pPr>
      <w:r>
        <w:rPr>
          <w:rFonts w:hint="eastAsia"/>
        </w:rPr>
        <w:t>应根据环境水文地质条件和建设项目特点设置跟踪监测点，跟踪监测点应明确与建设项目的位置关系，给出点位、坐标、井深、井结构、监测层位、监测因子及监测频率等相关参数。三级评价的建设项目，一般跟踪监测点数量不少于1个，应至少在建设项目场地下游布置1个地下水观测井，动态监测地下水。具体监测方案如下：</w:t>
      </w:r>
    </w:p>
    <w:p w14:paraId="64F02B93">
      <w:pPr>
        <w:ind w:firstLine="480"/>
      </w:pPr>
      <w:r>
        <w:rPr>
          <w:rFonts w:hint="eastAsia"/>
        </w:rPr>
        <w:t>①监测点布设：根据区域地质勘探资料及地质资料了解，地下水流向为由西南往东北，环评建议在项目场地下游设置一个地下水监测井。</w:t>
      </w:r>
    </w:p>
    <w:p w14:paraId="6CC49F1C">
      <w:pPr>
        <w:ind w:firstLine="480"/>
      </w:pPr>
      <w:r>
        <w:rPr>
          <w:rFonts w:hint="eastAsia"/>
        </w:rPr>
        <w:t>②监测项目：耗氧量、氨氮、溶解性总固体、总大肠菌群等。</w:t>
      </w:r>
    </w:p>
    <w:p w14:paraId="4E18E6EA">
      <w:pPr>
        <w:ind w:firstLine="480"/>
      </w:pPr>
      <w:r>
        <w:rPr>
          <w:rFonts w:hint="eastAsia"/>
        </w:rPr>
        <w:t>③监测频率监测频率：一年一次。</w:t>
      </w:r>
    </w:p>
    <w:p w14:paraId="2C5F6EA8">
      <w:pPr>
        <w:ind w:firstLine="480"/>
      </w:pPr>
      <w:r>
        <w:rPr>
          <w:rFonts w:hint="eastAsia"/>
        </w:rPr>
        <w:t>④监测单位：定期委托有资质的环境监测单位监测地下水水质情况，及时监控地下水环境。一旦发现监测水质发生变化，立即停止使用，并采取补救措施。</w:t>
      </w:r>
    </w:p>
    <w:p w14:paraId="64250017">
      <w:pPr>
        <w:ind w:firstLine="480"/>
      </w:pPr>
      <w:r>
        <w:rPr>
          <w:rFonts w:hint="eastAsia"/>
        </w:rPr>
        <w:t>（4）地下水水质监测数据管理</w:t>
      </w:r>
    </w:p>
    <w:p w14:paraId="7A81631F">
      <w:pPr>
        <w:ind w:firstLine="480"/>
      </w:pPr>
      <w:r>
        <w:rPr>
          <w:rFonts w:hint="eastAsia"/>
        </w:rPr>
        <w:t>为保证地下水监测有效、有序管理，须制定相关规定、明确职责，采取以下技术措施。</w:t>
      </w:r>
    </w:p>
    <w:p w14:paraId="50C48443">
      <w:pPr>
        <w:ind w:firstLine="480"/>
      </w:pPr>
      <w:r>
        <w:rPr>
          <w:rFonts w:hint="eastAsia"/>
        </w:rPr>
        <w:t>①按照《地下水环境监测技术规范》（HJ164-2020）要求，及时上报监测数据和有关表格。</w:t>
      </w:r>
    </w:p>
    <w:p w14:paraId="1E12DCAD">
      <w:pPr>
        <w:ind w:firstLine="480"/>
      </w:pPr>
      <w:r>
        <w:rPr>
          <w:rFonts w:hint="eastAsia"/>
        </w:rPr>
        <w:t>②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同时对上游水井水质进行监测，以判断水质异常原因。</w:t>
      </w:r>
    </w:p>
    <w:p w14:paraId="54A8A69F">
      <w:pPr>
        <w:ind w:firstLine="480"/>
      </w:pPr>
      <w:r>
        <w:rPr>
          <w:rFonts w:hint="eastAsia"/>
        </w:rPr>
        <w:t>③周期性编写地下水动态监测报告。</w:t>
      </w:r>
    </w:p>
    <w:p w14:paraId="650D106E">
      <w:pPr>
        <w:ind w:firstLine="480"/>
      </w:pPr>
      <w:r>
        <w:rPr>
          <w:rFonts w:hint="eastAsia"/>
        </w:rPr>
        <w:t>④每天对污水处理站等处进行巡查，并定期进行安全检查。</w:t>
      </w:r>
    </w:p>
    <w:p w14:paraId="413C30AA">
      <w:pPr>
        <w:ind w:firstLine="480"/>
      </w:pPr>
      <w:r>
        <w:rPr>
          <w:rFonts w:hint="eastAsia"/>
        </w:rPr>
        <w:t>（5）应急响应</w:t>
      </w:r>
    </w:p>
    <w:p w14:paraId="3D23C865">
      <w:pPr>
        <w:ind w:firstLine="480"/>
      </w:pPr>
      <w:r>
        <w:rPr>
          <w:rFonts w:hint="eastAsia"/>
        </w:rPr>
        <w:t>为了应对事故工况下可能会发生污染地下水、土壤的事故，应该制定地下水、土壤污染应急响应预案，明确污染状况下应采取的控制污染源、切断污染途径等措施，以防止受污染的地下水、土壤扩散。</w:t>
      </w:r>
    </w:p>
    <w:p w14:paraId="20CB8DFB">
      <w:pPr>
        <w:ind w:firstLine="480"/>
      </w:pPr>
      <w:r>
        <w:rPr>
          <w:rFonts w:hint="eastAsia"/>
        </w:rPr>
        <w:t>制定风险事故应急预案的目的是为了在发生风险事故时，能以最快的速度发挥最大的效能，有序的实施救援，尽快控制事态的发展，降低事故对土壤和潜水含水层的污染。因此，环评要求一旦发生渗漏污染地下水、土壤事故，立刻启动以下环境应急预案。</w:t>
      </w:r>
    </w:p>
    <w:p w14:paraId="3C128E01">
      <w:pPr>
        <w:ind w:firstLine="480"/>
      </w:pPr>
      <w:r>
        <w:rPr>
          <w:rFonts w:hint="eastAsia"/>
        </w:rPr>
        <w:t>1）根据地下水水质事故状态影响预测、地下水流向和场地的分布特征及污染类型，应在地下水流向的下游设置地下水监测设施和抽排水设施。</w:t>
      </w:r>
    </w:p>
    <w:p w14:paraId="2EDEA291">
      <w:pPr>
        <w:ind w:firstLine="480"/>
      </w:pPr>
      <w:r>
        <w:rPr>
          <w:rFonts w:hint="eastAsia"/>
        </w:rPr>
        <w:t>2）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放大效应”和次生、衍生灾害，尽快恢复当地正常秩序。</w:t>
      </w:r>
    </w:p>
    <w:p w14:paraId="2E0F653A">
      <w:pPr>
        <w:ind w:firstLine="480"/>
      </w:pPr>
      <w:r>
        <w:rPr>
          <w:rFonts w:hint="eastAsia"/>
        </w:rPr>
        <w:t>3）若场地内发生地下水突发污染事故，为将场地突发污染事故对下游地下水可能产生的影响降到最低，在发生污染事件时，建设单位首先尽快对地表污染物进行收集和处理，修缮发生污染的设施和防渗结构。</w:t>
      </w:r>
    </w:p>
    <w:p w14:paraId="1FAB1FAA">
      <w:pPr>
        <w:ind w:firstLine="480"/>
      </w:pPr>
      <w:r>
        <w:rPr>
          <w:rFonts w:hint="eastAsia"/>
        </w:rPr>
        <w:t>4）组织管理及检查要求</w:t>
      </w:r>
    </w:p>
    <w:p w14:paraId="02EA7C14">
      <w:pPr>
        <w:ind w:firstLine="480"/>
      </w:pPr>
      <w:r>
        <w:rPr>
          <w:rFonts w:hint="eastAsia"/>
        </w:rPr>
        <w:t>项目建设单位要加强应急预和应急措施的监督管理工作，一旦发生事故，做好地下水应急工作和公开信息工作。</w:t>
      </w:r>
    </w:p>
    <w:p w14:paraId="78A6AB08">
      <w:pPr>
        <w:ind w:firstLine="480"/>
      </w:pPr>
      <w:r>
        <w:rPr>
          <w:rFonts w:hint="eastAsia"/>
        </w:rPr>
        <w:t>5）应急处置措施</w:t>
      </w:r>
    </w:p>
    <w:p w14:paraId="2CFC52B6">
      <w:pPr>
        <w:ind w:firstLine="480"/>
      </w:pPr>
      <w:r>
        <w:rPr>
          <w:rFonts w:hint="eastAsia"/>
        </w:rPr>
        <w:t>①一旦发生地下水污染事故，应立即启动应急预案。</w:t>
      </w:r>
    </w:p>
    <w:p w14:paraId="66FDE3CF">
      <w:pPr>
        <w:ind w:firstLine="480"/>
      </w:pPr>
      <w:r>
        <w:rPr>
          <w:rFonts w:hint="eastAsia"/>
        </w:rPr>
        <w:t>②查明并切断污染源。</w:t>
      </w:r>
    </w:p>
    <w:p w14:paraId="35197848">
      <w:pPr>
        <w:ind w:firstLine="480"/>
      </w:pPr>
      <w:r>
        <w:rPr>
          <w:rFonts w:hint="eastAsia"/>
        </w:rPr>
        <w:t>③探明地下水污染深度、范围和污染程度。</w:t>
      </w:r>
    </w:p>
    <w:p w14:paraId="2D283434">
      <w:pPr>
        <w:ind w:firstLine="480"/>
      </w:pPr>
      <w:r>
        <w:rPr>
          <w:rFonts w:hint="eastAsia"/>
        </w:rPr>
        <w:t>④依据探明的地下水污染情况，合理布置截渗井，并进行试抽工作。</w:t>
      </w:r>
    </w:p>
    <w:p w14:paraId="7A6784C1">
      <w:pPr>
        <w:ind w:firstLine="480"/>
      </w:pPr>
      <w:r>
        <w:rPr>
          <w:rFonts w:hint="eastAsia"/>
        </w:rPr>
        <w:t>⑤依据抽水设计方案进行施工，抽取被污染的地下水体，并依据各井孔出水情况进行调整。</w:t>
      </w:r>
    </w:p>
    <w:p w14:paraId="705CE675">
      <w:pPr>
        <w:ind w:firstLine="480"/>
      </w:pPr>
      <w:r>
        <w:rPr>
          <w:rFonts w:hint="eastAsia"/>
        </w:rPr>
        <w:t>⑥将抽取的地下水进行集中收集处理，并送实验室进行化验分析。</w:t>
      </w:r>
    </w:p>
    <w:p w14:paraId="37020A92">
      <w:pPr>
        <w:ind w:firstLine="480"/>
      </w:pPr>
      <w:r>
        <w:rPr>
          <w:rFonts w:hint="eastAsia"/>
        </w:rPr>
        <w:t>⑦当地下水中的特征污染物浓度满足地下水功能区划的标准后，逐步停止抽水，并进行土壤修复治理工作。</w:t>
      </w:r>
    </w:p>
    <w:p w14:paraId="645C4473">
      <w:pPr>
        <w:ind w:firstLine="480"/>
      </w:pPr>
      <w:r>
        <w:rPr>
          <w:rFonts w:hint="eastAsia"/>
        </w:rPr>
        <w:t>综上分析，建设项目场区地下水环境不敏感，在落实好防渗、防污措施后，本项目污染物能得到有效处理，对地下水水质影响较小，项目的建设不会产生其他环境地质问题，因此对地下水环境质量影响较小，措施可行。</w:t>
      </w:r>
    </w:p>
    <w:p w14:paraId="42BADF92">
      <w:pPr>
        <w:pStyle w:val="5"/>
      </w:pPr>
      <w:bookmarkStart w:id="204" w:name="_Toc106663527"/>
      <w:r>
        <w:rPr>
          <w:rFonts w:hint="eastAsia"/>
        </w:rPr>
        <w:t>6.2.3运营期噪声污染防治措施</w:t>
      </w:r>
      <w:bookmarkEnd w:id="204"/>
    </w:p>
    <w:p w14:paraId="161FBE2E">
      <w:pPr>
        <w:ind w:firstLine="480"/>
      </w:pPr>
      <w:r>
        <w:rPr>
          <w:rFonts w:hint="eastAsia"/>
        </w:rPr>
        <w:t>本项目的噪声源主要来源于场内骆驼叫声、圈舍换气扇噪声、水泵、运输车辆等设备噪声。企业采取声源上降低噪声和从噪声传播途径上降低噪声两个环节着手：</w:t>
      </w:r>
    </w:p>
    <w:p w14:paraId="5ACFB1E4">
      <w:pPr>
        <w:ind w:firstLine="480"/>
      </w:pPr>
      <w:r>
        <w:rPr>
          <w:rFonts w:hint="eastAsia"/>
        </w:rPr>
        <w:t>（1）企业选用低噪声设备，并使其处于良好的运转状态，同时对声源采用减震、消声措施。</w:t>
      </w:r>
    </w:p>
    <w:p w14:paraId="6CE86718">
      <w:pPr>
        <w:ind w:firstLine="480"/>
      </w:pPr>
      <w:r>
        <w:rPr>
          <w:rFonts w:hint="eastAsia"/>
        </w:rPr>
        <w:t>（2）在设备的基础与地面之间安装减振垫，减少机械振动产生的噪声污染。</w:t>
      </w:r>
    </w:p>
    <w:p w14:paraId="2AC7F9CF">
      <w:pPr>
        <w:ind w:firstLine="480"/>
      </w:pPr>
      <w:r>
        <w:rPr>
          <w:rFonts w:hint="eastAsia"/>
        </w:rPr>
        <w:t>（3）选取低噪声水泵，并将水泵设在各密闭机房，再经减震处理。</w:t>
      </w:r>
    </w:p>
    <w:p w14:paraId="54C737DD">
      <w:pPr>
        <w:ind w:firstLine="480"/>
      </w:pPr>
      <w:r>
        <w:rPr>
          <w:rFonts w:hint="eastAsia"/>
        </w:rPr>
        <w:t>（4）加强场区机动车特别是货运机动车的管理，在场内不准随意鸣笛，达到预定停车位后及时熄火。</w:t>
      </w:r>
    </w:p>
    <w:p w14:paraId="79B705EE">
      <w:pPr>
        <w:ind w:firstLine="480"/>
      </w:pPr>
      <w:r>
        <w:rPr>
          <w:rFonts w:hint="eastAsia"/>
        </w:rPr>
        <w:t>（5）加强设备的维护，确保设备处于良好的运转状态，杜绝因设备不正常运转时产生的高噪声现象。</w:t>
      </w:r>
    </w:p>
    <w:p w14:paraId="7D6B63D5">
      <w:pPr>
        <w:ind w:firstLine="480"/>
      </w:pPr>
      <w:r>
        <w:rPr>
          <w:rFonts w:hint="eastAsia"/>
        </w:rPr>
        <w:t>上述治理措施后可有效治理噪声污染，降低对周围声环境影响，产生较好的社会效益。同时根据项目厂界噪声实测结果可知，本项目运营期间噪声值满足《工业企业厂界环境噪声排放标准》（GB12348-2008）中2类标准排放限值，噪声可满足达标排放要求。</w:t>
      </w:r>
    </w:p>
    <w:p w14:paraId="1BE1E3A2">
      <w:pPr>
        <w:pStyle w:val="5"/>
      </w:pPr>
      <w:bookmarkStart w:id="205" w:name="_Toc106663528"/>
      <w:r>
        <w:rPr>
          <w:rFonts w:hint="eastAsia"/>
        </w:rPr>
        <w:t>6.2.4运营期固废污染防治措施</w:t>
      </w:r>
      <w:bookmarkEnd w:id="205"/>
    </w:p>
    <w:p w14:paraId="43E67E11">
      <w:pPr>
        <w:ind w:firstLine="480"/>
      </w:pPr>
      <w:r>
        <w:t>本项目产生的固体废物主要为</w:t>
      </w:r>
      <w:r>
        <w:rPr>
          <w:rFonts w:hint="eastAsia"/>
        </w:rPr>
        <w:t>骆驼粪便</w:t>
      </w:r>
      <w:r>
        <w:t>、病死</w:t>
      </w:r>
      <w:r>
        <w:rPr>
          <w:rFonts w:hint="eastAsia"/>
        </w:rPr>
        <w:t>骆驼</w:t>
      </w:r>
      <w:r>
        <w:t>、废弃包装物、生活垃圾、医疗废物</w:t>
      </w:r>
      <w:r>
        <w:rPr>
          <w:rFonts w:hint="eastAsia"/>
        </w:rPr>
        <w:t>。</w:t>
      </w:r>
    </w:p>
    <w:p w14:paraId="7C7F1F33">
      <w:pPr>
        <w:ind w:firstLine="480"/>
      </w:pPr>
      <w:r>
        <w:rPr>
          <w:rFonts w:hint="eastAsia"/>
        </w:rPr>
        <w:t>（</w:t>
      </w:r>
      <w:r>
        <w:t>1</w:t>
      </w:r>
      <w:r>
        <w:rPr>
          <w:rFonts w:hint="eastAsia"/>
        </w:rPr>
        <w:t>）骆驼粪便</w:t>
      </w:r>
    </w:p>
    <w:p w14:paraId="33DCDD3E">
      <w:pPr>
        <w:ind w:firstLine="480"/>
      </w:pPr>
      <w:r>
        <w:t>本项目驼粪堆入</w:t>
      </w:r>
      <w:r>
        <w:rPr>
          <w:rFonts w:hint="eastAsia"/>
        </w:rPr>
        <w:t>堆肥场</w:t>
      </w:r>
      <w:r>
        <w:t>中进行</w:t>
      </w:r>
      <w:r>
        <w:rPr>
          <w:rFonts w:hint="eastAsia"/>
        </w:rPr>
        <w:t>好氧</w:t>
      </w:r>
      <w:r>
        <w:t>发酵，无害化处理后作为肥料还田。本项目设置一座</w:t>
      </w:r>
      <w:r>
        <w:rPr>
          <w:rFonts w:hint="eastAsia"/>
        </w:rPr>
        <w:t>堆肥场</w:t>
      </w:r>
      <w:r>
        <w:t>，面积为</w:t>
      </w:r>
      <w:r>
        <w:rPr>
          <w:rFonts w:hint="eastAsia"/>
        </w:rPr>
        <w:t>2000</w:t>
      </w:r>
      <w:r>
        <w:t>m</w:t>
      </w:r>
      <w:r>
        <w:rPr>
          <w:vertAlign w:val="superscript"/>
        </w:rPr>
        <w:t>2</w:t>
      </w:r>
      <w:r>
        <w:t>，对</w:t>
      </w:r>
      <w:r>
        <w:rPr>
          <w:rFonts w:hint="eastAsia"/>
        </w:rPr>
        <w:t>堆肥场</w:t>
      </w:r>
      <w:r>
        <w:t>地面进行水泥混凝土硬化防渗处理，整个</w:t>
      </w:r>
      <w:r>
        <w:rPr>
          <w:rFonts w:hint="eastAsia"/>
        </w:rPr>
        <w:t>堆肥场</w:t>
      </w:r>
      <w:r>
        <w:t>进行</w:t>
      </w:r>
      <w:r>
        <w:rPr>
          <w:rFonts w:hint="eastAsia"/>
        </w:rPr>
        <w:t>半</w:t>
      </w:r>
      <w:r>
        <w:t>封闭管理。</w:t>
      </w:r>
    </w:p>
    <w:p w14:paraId="3B2054C9">
      <w:pPr>
        <w:ind w:firstLine="480"/>
      </w:pPr>
      <w:r>
        <w:t>（1）</w:t>
      </w:r>
      <w:r>
        <w:rPr>
          <w:rFonts w:hint="eastAsia"/>
        </w:rPr>
        <w:t>粪便</w:t>
      </w:r>
      <w:r>
        <w:t>处置措施</w:t>
      </w:r>
    </w:p>
    <w:p w14:paraId="626184E0">
      <w:pPr>
        <w:ind w:firstLine="480"/>
      </w:pPr>
      <w:r>
        <w:rPr>
          <w:rFonts w:hint="eastAsia"/>
        </w:rPr>
        <w:t>1）相关规范要求</w:t>
      </w:r>
    </w:p>
    <w:p w14:paraId="523367C1">
      <w:pPr>
        <w:ind w:firstLine="480"/>
      </w:pPr>
      <w:r>
        <w:rPr>
          <w:rFonts w:hint="eastAsia"/>
        </w:rPr>
        <w:t>根据《畜禽养殖业污染防治技术规范》（HJ/T81-2001）及《畜禽养殖污染防治管理办法》（2002）规定：畜禽养殖场必须设置畜禽废物的储存设施和场所，采取对储存场所地面进行水泥硬化等措施，防止畜禽废物渗漏、散落、溢流、雨水淋失、恶臭气味等对周围环境造成污染和危害；畜禽养殖场应采取将畜禽废物还田、生产沼气、制造有机肥料、制造再生饲料等方法进行综合利用。用于直接还田利用的畜禽粪便，应当经处理达到规定的无害化标准，防止病菌传播。</w:t>
      </w:r>
    </w:p>
    <w:p w14:paraId="192043E9">
      <w:pPr>
        <w:ind w:firstLine="480"/>
      </w:pPr>
      <w:r>
        <w:rPr>
          <w:rFonts w:hint="eastAsia"/>
        </w:rPr>
        <w:t>2）处置措施</w:t>
      </w:r>
    </w:p>
    <w:p w14:paraId="05DA1199">
      <w:pPr>
        <w:ind w:firstLine="480"/>
      </w:pPr>
      <w:r>
        <w:rPr>
          <w:rFonts w:hint="eastAsia"/>
        </w:rPr>
        <w:t>本项目设置一间2000m</w:t>
      </w:r>
      <w:r>
        <w:rPr>
          <w:vertAlign w:val="superscript"/>
        </w:rPr>
        <w:t>2</w:t>
      </w:r>
      <w:r>
        <w:rPr>
          <w:rFonts w:hint="eastAsia"/>
        </w:rPr>
        <w:t>的半封闭堆肥场用于粪便堆肥处理。基础设置至少0.5m厚粘土层作为防渗层，四周设有围挡、顶部设有顶棚，只留进出口，具有防渗、防晒、防雨和防风的效果；有机肥是富含有机质、速效氮磷钾养分的优质有机肥料，不仅可使土壤养分得到补充，改善土壤理化性状，形成有利于作物生长的土壤环境，而且还可以提高作物产量。拟建项目生成的有机肥外售，不会对周围环境产生影响。</w:t>
      </w:r>
    </w:p>
    <w:p w14:paraId="19E1C6CB">
      <w:pPr>
        <w:ind w:firstLine="480"/>
      </w:pPr>
      <w:r>
        <w:rPr>
          <w:rFonts w:hint="eastAsia"/>
        </w:rPr>
        <w:t>3）工艺原理及可行性分析</w:t>
      </w:r>
    </w:p>
    <w:p w14:paraId="059413AB">
      <w:pPr>
        <w:ind w:firstLine="480"/>
      </w:pPr>
      <w:r>
        <w:rPr>
          <w:rFonts w:hint="eastAsia"/>
        </w:rPr>
        <w:t>好氧发酵是一种无害化、减容化、稳定化的污泥综合处理技术，亦称好氧堆肥技术。它是利用好氧嗜热菌、嗜热菌的作用，将污泥中有机物分解，形成一种类似腐殖质土壤的物质。代谢过程中产生热量，可使堆料层温度升高至55℃以上，能有效杀灭病原体、寄生虫卵和病毒，提高污泥肥分。</w:t>
      </w:r>
    </w:p>
    <w:p w14:paraId="138584A7">
      <w:pPr>
        <w:ind w:firstLine="480"/>
      </w:pPr>
      <w:r>
        <w:rPr>
          <w:rFonts w:hint="eastAsia"/>
        </w:rPr>
        <w:t>冬季粪便暂存于堆肥场，等第二年堆肥发酵。木垒县雀仁乡冬季为约为6个月，根据计算产生的粪便约为803.53吨，根据每吨粪便约为1.4立方米，堆放高度为2米，因此，冬季产生的粪便占地面积约为562.464平方米，本项目堆肥场占地2000平方米，因此完全可以暂存冬季产生的粪便。</w:t>
      </w:r>
    </w:p>
    <w:p w14:paraId="1CC34A42">
      <w:pPr>
        <w:ind w:firstLine="480"/>
      </w:pPr>
      <w:r>
        <w:t>本项目驼粪处置成固体有机肥满足《畜禽养殖污染物排放标准》（GB18596-2001）和《畜禽粪便还田技术规范》（GB/T25246-2010）中的无害化处理的相关要求。</w:t>
      </w:r>
    </w:p>
    <w:p w14:paraId="0B04963A">
      <w:pPr>
        <w:pStyle w:val="49"/>
        <w:spacing w:line="360" w:lineRule="auto"/>
        <w:ind w:firstLine="480" w:firstLineChars="200"/>
        <w:jc w:val="both"/>
        <w:rPr>
          <w:rFonts w:ascii="Times New Roman" w:hAnsi="Times New Roman"/>
          <w:sz w:val="24"/>
          <w:szCs w:val="24"/>
        </w:rPr>
      </w:pPr>
      <w:r>
        <w:rPr>
          <w:rFonts w:hint="eastAsia" w:ascii="Times New Roman" w:hAnsi="Times New Roman"/>
          <w:sz w:val="24"/>
          <w:szCs w:val="24"/>
        </w:rPr>
        <w:t>①畜禽粪污土地承载力分析</w:t>
      </w:r>
    </w:p>
    <w:p w14:paraId="4A03F727">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根据农业部《畜禽粪污土地承载力测算技术指南》，畜禽粪污土地承载力是指在土地生态系统可持续运行的条件下，一定区域内耕地、林地和草地等所能承载的最大畜禽存栏量。畜禽规模养殖场粪污消纳配套土地面积指畜禽规模养殖场产生的粪污养分全部或部分还田利用所需要的土地面积。</w:t>
      </w:r>
    </w:p>
    <w:p w14:paraId="152D62F8">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区域畜禽粪污土地承载力等于区域植物粪肥养分需求量除以单位猪当量粪肥养分供给量（以猪当量计）。计算公式如下：</w:t>
      </w:r>
    </w:p>
    <w:p w14:paraId="093A88BB">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区域植物粪肥养分需求量=（区域植物养分需求量×施肥供给养分占比×粪肥占施）/粪肥当季利用率；</w:t>
      </w:r>
    </w:p>
    <w:p w14:paraId="259C3019">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区域植物养分需求量=[植物总产量（总面积）×单位产量（单位面积）]养分需求;</w:t>
      </w:r>
    </w:p>
    <w:p w14:paraId="73EDF177">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规模养殖场配套土地面积=规模养殖场粪肥养分供给量（对外销售部分不计算在内）/单位土地粪肥养分需求量；</w:t>
      </w:r>
    </w:p>
    <w:p w14:paraId="0A555FE4">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粪肥养分供给量=∑（各种畜禽存栏量×各种畜禽氮（磷）排泄量）×养分留单位土地粪肥养分需求量</w:t>
      </w:r>
      <w:r>
        <w:rPr>
          <w:rFonts w:hint="eastAsia" w:ascii="Times New Roman" w:hAnsi="Times New Roman"/>
          <w:sz w:val="24"/>
          <w:szCs w:val="24"/>
        </w:rPr>
        <w:t>＝</w:t>
      </w:r>
      <w:r>
        <w:rPr>
          <w:rFonts w:ascii="Times New Roman" w:hAnsi="Times New Roman"/>
          <w:sz w:val="24"/>
          <w:szCs w:val="24"/>
        </w:rPr>
        <w:t>单位土地养分需求量</w:t>
      </w:r>
      <w:r>
        <w:rPr>
          <w:rFonts w:hint="eastAsia" w:ascii="Times New Roman" w:hAnsi="Times New Roman"/>
          <w:sz w:val="24"/>
          <w:szCs w:val="24"/>
        </w:rPr>
        <w:t>×</w:t>
      </w:r>
      <w:r>
        <w:rPr>
          <w:rFonts w:ascii="Times New Roman" w:hAnsi="Times New Roman"/>
          <w:sz w:val="24"/>
          <w:szCs w:val="24"/>
        </w:rPr>
        <w:t>施肥供给养分占比</w:t>
      </w:r>
      <w:r>
        <w:rPr>
          <w:rFonts w:hint="eastAsia" w:ascii="Times New Roman" w:hAnsi="Times New Roman"/>
          <w:sz w:val="24"/>
          <w:szCs w:val="24"/>
        </w:rPr>
        <w:t>×</w:t>
      </w:r>
      <w:r>
        <w:rPr>
          <w:rFonts w:ascii="Times New Roman" w:hAnsi="Times New Roman"/>
          <w:sz w:val="24"/>
          <w:szCs w:val="24"/>
        </w:rPr>
        <w:t>粪肥占施</w:t>
      </w:r>
      <w:r>
        <w:rPr>
          <w:rFonts w:hint="eastAsia" w:ascii="Times New Roman" w:hAnsi="Times New Roman"/>
          <w:sz w:val="24"/>
          <w:szCs w:val="24"/>
        </w:rPr>
        <w:t>/</w:t>
      </w:r>
      <w:r>
        <w:rPr>
          <w:rFonts w:ascii="Times New Roman" w:hAnsi="Times New Roman"/>
          <w:sz w:val="24"/>
          <w:szCs w:val="24"/>
        </w:rPr>
        <w:t>粪肥当季利用率</w:t>
      </w:r>
    </w:p>
    <w:p w14:paraId="084C5279">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根据《畜禽粪污土地承载力测算技术指南》：1个猪当量的氮排泄量为11kg，磷排泄量为1.65kg。综合考虑畜禽粪污养分在收集、处理和贮存过程中的损失，单位猪当量氮养分供给量为7.0kg，磷养分供给量为1.2kg。按存栏量折算：</w:t>
      </w:r>
      <w:r>
        <w:rPr>
          <w:rFonts w:hint="eastAsia" w:ascii="Times New Roman" w:hAnsi="Times New Roman"/>
          <w:sz w:val="24"/>
          <w:szCs w:val="24"/>
        </w:rPr>
        <w:t>一只骆驼等于9头猪</w:t>
      </w:r>
      <w:r>
        <w:rPr>
          <w:rFonts w:ascii="Times New Roman" w:hAnsi="Times New Roman"/>
          <w:sz w:val="24"/>
          <w:szCs w:val="24"/>
        </w:rPr>
        <w:t>，本项目</w:t>
      </w:r>
      <w:r>
        <w:rPr>
          <w:rFonts w:hint="eastAsia" w:ascii="Times New Roman" w:hAnsi="Times New Roman"/>
          <w:sz w:val="24"/>
          <w:szCs w:val="24"/>
        </w:rPr>
        <w:t>骆驼为400只</w:t>
      </w:r>
      <w:r>
        <w:rPr>
          <w:rFonts w:ascii="Times New Roman" w:hAnsi="Times New Roman"/>
          <w:sz w:val="24"/>
          <w:szCs w:val="24"/>
        </w:rPr>
        <w:t>，氮养分供给量为</w:t>
      </w:r>
      <w:r>
        <w:rPr>
          <w:rFonts w:hint="eastAsia" w:ascii="Times New Roman" w:hAnsi="Times New Roman"/>
          <w:sz w:val="24"/>
          <w:szCs w:val="24"/>
        </w:rPr>
        <w:t>25.2</w:t>
      </w:r>
      <w:r>
        <w:rPr>
          <w:rFonts w:ascii="Times New Roman" w:hAnsi="Times New Roman"/>
          <w:sz w:val="24"/>
          <w:szCs w:val="24"/>
        </w:rPr>
        <w:t>t，磷养分供给量为</w:t>
      </w:r>
      <w:r>
        <w:rPr>
          <w:rFonts w:hint="eastAsia" w:ascii="Times New Roman" w:hAnsi="Times New Roman"/>
          <w:sz w:val="24"/>
          <w:szCs w:val="24"/>
        </w:rPr>
        <w:t>4.32</w:t>
      </w:r>
      <w:r>
        <w:rPr>
          <w:rFonts w:ascii="Times New Roman" w:hAnsi="Times New Roman"/>
          <w:sz w:val="24"/>
          <w:szCs w:val="24"/>
        </w:rPr>
        <w:t>t。</w:t>
      </w:r>
    </w:p>
    <w:p w14:paraId="7304989D">
      <w:pPr>
        <w:pStyle w:val="49"/>
        <w:spacing w:line="360" w:lineRule="auto"/>
        <w:ind w:firstLine="480" w:firstLineChars="200"/>
        <w:jc w:val="both"/>
        <w:rPr>
          <w:rFonts w:ascii="Times New Roman" w:hAnsi="Times New Roman"/>
          <w:sz w:val="24"/>
          <w:szCs w:val="24"/>
        </w:rPr>
      </w:pPr>
      <w:r>
        <w:rPr>
          <w:rFonts w:ascii="Times New Roman" w:hAnsi="Times New Roman"/>
          <w:sz w:val="24"/>
          <w:szCs w:val="24"/>
        </w:rPr>
        <w:t>根据《畜禽粪污土地承载力测算技术指南》，以玉米为例，100kg产量适宜氮养分需求量取2.3，适宜磷养分需求量取0.3，目标产量以6.0t/hm</w:t>
      </w:r>
      <w:r>
        <w:rPr>
          <w:rFonts w:ascii="Times New Roman" w:hAnsi="Times New Roman"/>
          <w:sz w:val="24"/>
          <w:szCs w:val="24"/>
          <w:vertAlign w:val="superscript"/>
        </w:rPr>
        <w:t>2</w:t>
      </w:r>
      <w:r>
        <w:rPr>
          <w:rFonts w:ascii="Times New Roman" w:hAnsi="Times New Roman"/>
          <w:sz w:val="24"/>
          <w:szCs w:val="24"/>
        </w:rPr>
        <w:t>计，则转化为每平方玉米地氮养分需求量取0.0138</w:t>
      </w:r>
      <w:r>
        <w:rPr>
          <w:rFonts w:hint="eastAsia" w:ascii="Times New Roman" w:hAnsi="Times New Roman"/>
          <w:sz w:val="24"/>
          <w:szCs w:val="24"/>
        </w:rPr>
        <w:t>t/m</w:t>
      </w:r>
      <w:r>
        <w:rPr>
          <w:rFonts w:hint="eastAsia" w:ascii="Times New Roman" w:hAnsi="Times New Roman"/>
          <w:sz w:val="24"/>
          <w:szCs w:val="24"/>
          <w:vertAlign w:val="superscript"/>
        </w:rPr>
        <w:t>2</w:t>
      </w:r>
      <w:r>
        <w:rPr>
          <w:rFonts w:ascii="Times New Roman" w:hAnsi="Times New Roman"/>
          <w:sz w:val="24"/>
          <w:szCs w:val="24"/>
        </w:rPr>
        <w:t>，适宜磷养分需求量取0.0018</w:t>
      </w:r>
      <w:r>
        <w:rPr>
          <w:rFonts w:hint="eastAsia" w:ascii="Times New Roman" w:hAnsi="Times New Roman"/>
          <w:sz w:val="24"/>
          <w:szCs w:val="24"/>
        </w:rPr>
        <w:t>t/m</w:t>
      </w:r>
      <w:r>
        <w:rPr>
          <w:rFonts w:hint="eastAsia" w:ascii="Times New Roman" w:hAnsi="Times New Roman"/>
          <w:sz w:val="24"/>
          <w:szCs w:val="24"/>
          <w:vertAlign w:val="superscript"/>
        </w:rPr>
        <w:t>2</w:t>
      </w:r>
      <w:r>
        <w:rPr>
          <w:rFonts w:ascii="Times New Roman" w:hAnsi="Times New Roman"/>
          <w:sz w:val="24"/>
          <w:szCs w:val="24"/>
        </w:rPr>
        <w:t>，施肥供给养分占比取35%，施肥占施100%，粪肥当季利用率取30%。经计算，本项目规模养殖场配套玉米种植土地面积所需应为</w:t>
      </w:r>
      <w:r>
        <w:rPr>
          <w:rFonts w:hint="eastAsia" w:ascii="Times New Roman" w:hAnsi="Times New Roman"/>
          <w:sz w:val="24"/>
          <w:szCs w:val="24"/>
        </w:rPr>
        <w:t>1826.09</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（以N计）、</w:t>
      </w:r>
      <w:r>
        <w:rPr>
          <w:rFonts w:hint="eastAsia" w:ascii="Times New Roman" w:hAnsi="Times New Roman"/>
          <w:sz w:val="24"/>
          <w:szCs w:val="24"/>
        </w:rPr>
        <w:t>2400</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（以P计）。</w:t>
      </w:r>
      <w:r>
        <w:rPr>
          <w:rFonts w:hint="eastAsia" w:ascii="Times New Roman" w:hAnsi="Times New Roman"/>
          <w:sz w:val="24"/>
          <w:szCs w:val="24"/>
        </w:rPr>
        <w:t>雀仁乡有近约7.9万亩耕地，因此</w:t>
      </w:r>
      <w:r>
        <w:rPr>
          <w:rFonts w:ascii="Times New Roman" w:hAnsi="Times New Roman"/>
          <w:sz w:val="24"/>
          <w:szCs w:val="24"/>
        </w:rPr>
        <w:t>可消纳本项目粪污。粪污由输粪带运至有机肥加工厂，进行有机肥加工，最终出售给周边农户或外售周边其他县市。</w:t>
      </w:r>
    </w:p>
    <w:p w14:paraId="125FA2C5">
      <w:pPr>
        <w:ind w:firstLine="480"/>
      </w:pPr>
      <w:r>
        <w:rPr>
          <w:szCs w:val="24"/>
        </w:rPr>
        <w:t>本项目能够按照相关文件要求规范化处置鸡粪污，不仅实现了再生资源利用，而且不会对周围环境造成二次污染。</w:t>
      </w:r>
    </w:p>
    <w:p w14:paraId="79F40A0C">
      <w:pPr>
        <w:ind w:firstLine="480"/>
      </w:pPr>
      <w:r>
        <w:rPr>
          <w:rFonts w:hint="eastAsia"/>
        </w:rPr>
        <w:t>粪便运输选择专用的运输车辆，车厢底部应使用耐腐蚀材料，并采取防渗措施。车辆驶离暂存、养殖等场所前，应对车轮及车厢外部进行消毒。运载车辆应尽量避免进入人口密集区。若运输途中发生渗漏，应重新包装、消毒后运输。</w:t>
      </w:r>
    </w:p>
    <w:p w14:paraId="22326E30">
      <w:pPr>
        <w:ind w:firstLine="480"/>
      </w:pPr>
      <w:r>
        <w:rPr>
          <w:rFonts w:hint="eastAsia"/>
        </w:rPr>
        <w:t>（</w:t>
      </w:r>
      <w:r>
        <w:t>2</w:t>
      </w:r>
      <w:r>
        <w:rPr>
          <w:rFonts w:hint="eastAsia"/>
        </w:rPr>
        <w:t>）</w:t>
      </w:r>
      <w:r>
        <w:t>病死</w:t>
      </w:r>
      <w:r>
        <w:rPr>
          <w:rFonts w:hint="eastAsia"/>
        </w:rPr>
        <w:t>骆驼</w:t>
      </w:r>
    </w:p>
    <w:p w14:paraId="03B9FCC9">
      <w:pPr>
        <w:ind w:firstLine="480"/>
      </w:pPr>
      <w:r>
        <w:t>根据环办函[2014]789号文《关于病害动物无害化处理有关意见的复函》：“病害动物无害化处理项目由农业部门按照有关法律法规和技术规范进行监管，可以实现病害动物无害化处理和环境污染防控的目的，不宜再认定为危险废物集中处置项目。病害动物的无害化处理应执行《动物防治法》。”</w:t>
      </w:r>
    </w:p>
    <w:p w14:paraId="11235A3A">
      <w:pPr>
        <w:ind w:firstLine="480"/>
      </w:pPr>
      <w:r>
        <w:t>本项目</w:t>
      </w:r>
      <w:r>
        <w:rPr>
          <w:rFonts w:hint="eastAsia"/>
        </w:rPr>
        <w:t>外委第三方处置，进行无害化处理</w:t>
      </w:r>
      <w:r>
        <w:t>。</w:t>
      </w:r>
    </w:p>
    <w:p w14:paraId="1449272F">
      <w:pPr>
        <w:ind w:firstLine="480"/>
      </w:pPr>
      <w:r>
        <w:rPr>
          <w:rFonts w:hint="eastAsia"/>
        </w:rPr>
        <w:t>（</w:t>
      </w:r>
      <w:r>
        <w:t>3</w:t>
      </w:r>
      <w:r>
        <w:rPr>
          <w:rFonts w:hint="eastAsia"/>
        </w:rPr>
        <w:t>）</w:t>
      </w:r>
      <w:r>
        <w:t>废弃包装物</w:t>
      </w:r>
    </w:p>
    <w:p w14:paraId="5570EDD2">
      <w:pPr>
        <w:ind w:firstLine="480"/>
      </w:pPr>
      <w:r>
        <w:t>本项目饲料包装袋最终返回原包装袋购置厂家回收，废弃包装物得到了合理利用</w:t>
      </w:r>
      <w:r>
        <w:rPr>
          <w:rFonts w:hint="eastAsia"/>
        </w:rPr>
        <w:t>。</w:t>
      </w:r>
    </w:p>
    <w:p w14:paraId="68607085">
      <w:pPr>
        <w:ind w:firstLine="480"/>
      </w:pPr>
      <w:r>
        <w:rPr>
          <w:rFonts w:hint="eastAsia"/>
        </w:rPr>
        <w:t>（</w:t>
      </w:r>
      <w:r>
        <w:t>4</w:t>
      </w:r>
      <w:r>
        <w:rPr>
          <w:rFonts w:hint="eastAsia"/>
        </w:rPr>
        <w:t>）</w:t>
      </w:r>
      <w:r>
        <w:t>生活垃圾</w:t>
      </w:r>
    </w:p>
    <w:p w14:paraId="56C99959">
      <w:pPr>
        <w:ind w:firstLine="480"/>
      </w:pPr>
      <w:r>
        <w:t>本项目</w:t>
      </w:r>
      <w:bookmarkStart w:id="206" w:name="_Hlk185590388"/>
      <w:r>
        <w:t>生活垃圾集中收集起来运至当地生态环境部门指定的垃圾填埋场进行处理</w:t>
      </w:r>
      <w:bookmarkEnd w:id="206"/>
      <w:r>
        <w:rPr>
          <w:rFonts w:hint="eastAsia"/>
        </w:rPr>
        <w:t>。</w:t>
      </w:r>
    </w:p>
    <w:p w14:paraId="0F0CCEEA">
      <w:pPr>
        <w:ind w:firstLine="480"/>
      </w:pPr>
      <w:r>
        <w:rPr>
          <w:rFonts w:hint="eastAsia"/>
        </w:rPr>
        <w:t>（</w:t>
      </w:r>
      <w:r>
        <w:t>5</w:t>
      </w:r>
      <w:r>
        <w:rPr>
          <w:rFonts w:hint="eastAsia"/>
        </w:rPr>
        <w:t>）</w:t>
      </w:r>
      <w:r>
        <w:t>医疗废物</w:t>
      </w:r>
    </w:p>
    <w:p w14:paraId="796AA9D7">
      <w:pPr>
        <w:ind w:firstLine="480"/>
      </w:pPr>
      <w:r>
        <w:t>本项目对</w:t>
      </w:r>
      <w:r>
        <w:rPr>
          <w:rFonts w:hint="eastAsia"/>
        </w:rPr>
        <w:t>骆驼</w:t>
      </w:r>
      <w:r>
        <w:t>进行防疫、治疗过程中产生少量废弃药品、废针管等，医疗垃圾属于HW01类危险废物</w:t>
      </w:r>
      <w:r>
        <w:rPr>
          <w:rFonts w:hint="eastAsia"/>
        </w:rPr>
        <w:t>。本项目医疗垃圾由兽医站带走，不在场区暂存。</w:t>
      </w:r>
    </w:p>
    <w:p w14:paraId="0C029E36">
      <w:pPr>
        <w:ind w:firstLine="480"/>
      </w:pPr>
      <w:r>
        <w:t>综上分析，对固体废物采取相应治理措施后，固废可以得到合理处置，产生的固体废物对周围环境影响不大</w:t>
      </w:r>
      <w:r>
        <w:rPr>
          <w:rFonts w:hint="eastAsia"/>
        </w:rPr>
        <w:t>。</w:t>
      </w:r>
    </w:p>
    <w:p w14:paraId="5B7C2FE5">
      <w:pPr>
        <w:pStyle w:val="5"/>
      </w:pPr>
      <w:bookmarkStart w:id="207" w:name="_Toc106663529"/>
      <w:r>
        <w:rPr>
          <w:rFonts w:hint="eastAsia"/>
        </w:rPr>
        <w:t>6.2.6土壤污染防治措施</w:t>
      </w:r>
      <w:bookmarkEnd w:id="207"/>
    </w:p>
    <w:p w14:paraId="46463976">
      <w:pPr>
        <w:pStyle w:val="6"/>
        <w:ind w:firstLine="482"/>
      </w:pPr>
      <w:r>
        <w:rPr>
          <w:rFonts w:hint="eastAsia"/>
        </w:rPr>
        <w:t>6.2.6.1防治措施</w:t>
      </w:r>
    </w:p>
    <w:p w14:paraId="0F173278">
      <w:pPr>
        <w:ind w:firstLine="480"/>
      </w:pPr>
      <w:r>
        <w:rPr>
          <w:rFonts w:hint="eastAsia"/>
        </w:rPr>
        <w:t>（1）加强废水处理设施的维护和管理，及时发现处理设备的隐患，确保处理系统正常运行。</w:t>
      </w:r>
    </w:p>
    <w:p w14:paraId="07F7EDD4">
      <w:pPr>
        <w:ind w:firstLine="480"/>
      </w:pPr>
      <w:r>
        <w:rPr>
          <w:rFonts w:hint="eastAsia"/>
        </w:rPr>
        <w:t>（2）加强施工质量，对堆粪场、防渗化粪池按重点防渗区采取措施，参照《危险废物贮存污染控制标准》（GB18597-2023）：基础必须防渗，防渗层为至少1m厚粘土层（渗透系数≤10</w:t>
      </w:r>
      <w:r>
        <w:rPr>
          <w:rFonts w:hint="eastAsia"/>
          <w:vertAlign w:val="superscript"/>
        </w:rPr>
        <w:t>-7</w:t>
      </w:r>
      <w:r>
        <w:rPr>
          <w:rFonts w:hint="eastAsia"/>
        </w:rPr>
        <w:t>cm/s），或2mm厚高密度聚乙烯，或至2mm厚的其它人工材料，渗透系数≤10</w:t>
      </w:r>
      <w:r>
        <w:rPr>
          <w:rFonts w:hint="eastAsia"/>
          <w:vertAlign w:val="superscript"/>
        </w:rPr>
        <w:t>-10</w:t>
      </w:r>
      <w:r>
        <w:rPr>
          <w:rFonts w:hint="eastAsia"/>
        </w:rPr>
        <w:t>cm/s。</w:t>
      </w:r>
    </w:p>
    <w:p w14:paraId="4D6B9563">
      <w:pPr>
        <w:ind w:firstLine="480"/>
      </w:pPr>
      <w:r>
        <w:rPr>
          <w:rFonts w:hint="eastAsia"/>
        </w:rPr>
        <w:t>（3）对骆驼圈舍等按一般防渗区采取防渗措施。底压实粘土层厚度要≥1m，满足渗透系数K≤1.0×10</w:t>
      </w:r>
      <w:r>
        <w:rPr>
          <w:rFonts w:hint="eastAsia"/>
          <w:vertAlign w:val="superscript"/>
        </w:rPr>
        <w:t>-7</w:t>
      </w:r>
      <w:r>
        <w:rPr>
          <w:rFonts w:hint="eastAsia"/>
        </w:rPr>
        <w:t>cm/s；防渗粘土层上部及贮水池侧面铺设1.0mm高密度聚乙烯（HDPE）防渗膜（渗透系数K≤10</w:t>
      </w:r>
      <w:r>
        <w:rPr>
          <w:rFonts w:hint="eastAsia"/>
          <w:vertAlign w:val="superscript"/>
        </w:rPr>
        <w:t>-7</w:t>
      </w:r>
      <w:r>
        <w:rPr>
          <w:rFonts w:hint="eastAsia"/>
        </w:rPr>
        <w:t>cm/s），在做好基层防渗的基础上进行水泥硬化。</w:t>
      </w:r>
    </w:p>
    <w:p w14:paraId="334ED9B9">
      <w:pPr>
        <w:ind w:firstLine="480"/>
      </w:pPr>
      <w:r>
        <w:rPr>
          <w:rFonts w:hint="eastAsia"/>
        </w:rPr>
        <w:t>（4）场区边界建设雨水截流沟、排水沟，及时拦截和导排雨水，减少废水产生量，降低事故风险。</w:t>
      </w:r>
    </w:p>
    <w:p w14:paraId="7303511D">
      <w:pPr>
        <w:pStyle w:val="6"/>
        <w:ind w:firstLine="0" w:firstLineChars="0"/>
      </w:pPr>
      <w:r>
        <w:rPr>
          <w:rFonts w:hint="eastAsia"/>
        </w:rPr>
        <w:t>6.2.6.2跟踪监测</w:t>
      </w:r>
    </w:p>
    <w:p w14:paraId="614BCD9A">
      <w:pPr>
        <w:ind w:firstLine="480"/>
      </w:pPr>
      <w:r>
        <w:rPr>
          <w:rFonts w:hint="eastAsia"/>
        </w:rPr>
        <w:t>（1）监测点位</w:t>
      </w:r>
    </w:p>
    <w:p w14:paraId="341B87C1">
      <w:pPr>
        <w:ind w:firstLine="480"/>
      </w:pPr>
      <w:r>
        <w:rPr>
          <w:rFonts w:hint="eastAsia"/>
        </w:rPr>
        <w:t>根据《环境影响评价技术导则土壤环境》（HJ964-2018）的要求确定土壤跟踪监测点布设原则，结合厂区占地位置，共布设1个土壤跟踪监测点，考虑项目运营期土壤最可能受到污染同时受到污染后应交较严重的防渗化粪池，因此在上述区域分别设置1个土壤跟踪监测点位。</w:t>
      </w:r>
    </w:p>
    <w:p w14:paraId="1F33C5CA">
      <w:pPr>
        <w:ind w:firstLine="480"/>
      </w:pPr>
      <w:r>
        <w:rPr>
          <w:rFonts w:hint="eastAsia"/>
        </w:rPr>
        <w:t>监测点布设情况见表6.2-</w:t>
      </w:r>
      <w:r>
        <w:t>5</w:t>
      </w:r>
      <w:r>
        <w:rPr>
          <w:rFonts w:hint="eastAsia"/>
        </w:rPr>
        <w:t>。</w:t>
      </w:r>
    </w:p>
    <w:p w14:paraId="2037A596">
      <w:pPr>
        <w:pStyle w:val="11"/>
        <w:rPr>
          <w:sz w:val="24"/>
          <w:szCs w:val="22"/>
        </w:rPr>
      </w:pPr>
      <w:r>
        <w:rPr>
          <w:rFonts w:hint="eastAsia"/>
          <w:sz w:val="24"/>
          <w:szCs w:val="22"/>
        </w:rPr>
        <w:t>表6.2-</w:t>
      </w:r>
      <w:r>
        <w:rPr>
          <w:sz w:val="24"/>
          <w:szCs w:val="22"/>
        </w:rPr>
        <w:t>5</w:t>
      </w:r>
      <w:r>
        <w:rPr>
          <w:rFonts w:hint="eastAsia"/>
          <w:sz w:val="24"/>
          <w:szCs w:val="22"/>
        </w:rPr>
        <w:t>环境监测点一览表</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2D58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vAlign w:val="center"/>
          </w:tcPr>
          <w:p w14:paraId="11D81EBF">
            <w:pPr>
              <w:snapToGrid w:val="0"/>
              <w:spacing w:line="240" w:lineRule="auto"/>
              <w:ind w:firstLine="0" w:firstLineChars="0"/>
              <w:jc w:val="center"/>
              <w:rPr>
                <w:kern w:val="2"/>
                <w:sz w:val="21"/>
                <w:szCs w:val="21"/>
              </w:rPr>
            </w:pPr>
            <w:r>
              <w:rPr>
                <w:rFonts w:hint="eastAsia"/>
                <w:kern w:val="2"/>
                <w:sz w:val="21"/>
                <w:szCs w:val="21"/>
              </w:rPr>
              <w:t>功能</w:t>
            </w:r>
          </w:p>
        </w:tc>
        <w:tc>
          <w:tcPr>
            <w:tcW w:w="2130" w:type="dxa"/>
            <w:vAlign w:val="center"/>
          </w:tcPr>
          <w:p w14:paraId="2B204228">
            <w:pPr>
              <w:snapToGrid w:val="0"/>
              <w:spacing w:line="240" w:lineRule="auto"/>
              <w:ind w:firstLine="0" w:firstLineChars="0"/>
              <w:jc w:val="center"/>
              <w:rPr>
                <w:kern w:val="2"/>
                <w:sz w:val="21"/>
                <w:szCs w:val="21"/>
              </w:rPr>
            </w:pPr>
            <w:r>
              <w:rPr>
                <w:rFonts w:hint="eastAsia"/>
                <w:kern w:val="2"/>
                <w:sz w:val="21"/>
                <w:szCs w:val="21"/>
              </w:rPr>
              <w:t>编号</w:t>
            </w:r>
          </w:p>
        </w:tc>
        <w:tc>
          <w:tcPr>
            <w:tcW w:w="2131" w:type="dxa"/>
            <w:vAlign w:val="center"/>
          </w:tcPr>
          <w:p w14:paraId="0F96B7ED">
            <w:pPr>
              <w:snapToGrid w:val="0"/>
              <w:spacing w:line="240" w:lineRule="auto"/>
              <w:ind w:firstLine="0" w:firstLineChars="0"/>
              <w:jc w:val="center"/>
              <w:rPr>
                <w:kern w:val="2"/>
                <w:sz w:val="21"/>
                <w:szCs w:val="21"/>
              </w:rPr>
            </w:pPr>
            <w:r>
              <w:rPr>
                <w:rFonts w:hint="eastAsia"/>
                <w:kern w:val="2"/>
                <w:sz w:val="21"/>
                <w:szCs w:val="21"/>
              </w:rPr>
              <w:t>位置</w:t>
            </w:r>
          </w:p>
        </w:tc>
        <w:tc>
          <w:tcPr>
            <w:tcW w:w="2131" w:type="dxa"/>
            <w:vAlign w:val="center"/>
          </w:tcPr>
          <w:p w14:paraId="241AA5D6">
            <w:pPr>
              <w:snapToGrid w:val="0"/>
              <w:spacing w:line="240" w:lineRule="auto"/>
              <w:ind w:firstLine="0" w:firstLineChars="0"/>
              <w:jc w:val="center"/>
              <w:rPr>
                <w:kern w:val="2"/>
                <w:sz w:val="21"/>
                <w:szCs w:val="21"/>
              </w:rPr>
            </w:pPr>
            <w:r>
              <w:rPr>
                <w:rFonts w:hint="eastAsia"/>
                <w:kern w:val="2"/>
                <w:sz w:val="21"/>
                <w:szCs w:val="21"/>
              </w:rPr>
              <w:t>监测要求</w:t>
            </w:r>
          </w:p>
        </w:tc>
      </w:tr>
      <w:tr w14:paraId="121D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vAlign w:val="center"/>
          </w:tcPr>
          <w:p w14:paraId="448BF7E1">
            <w:pPr>
              <w:snapToGrid w:val="0"/>
              <w:spacing w:line="240" w:lineRule="auto"/>
              <w:ind w:firstLine="0" w:firstLineChars="0"/>
              <w:jc w:val="center"/>
              <w:rPr>
                <w:kern w:val="2"/>
                <w:sz w:val="21"/>
                <w:szCs w:val="21"/>
              </w:rPr>
            </w:pPr>
            <w:r>
              <w:rPr>
                <w:rFonts w:hint="eastAsia"/>
                <w:kern w:val="2"/>
                <w:sz w:val="21"/>
                <w:szCs w:val="21"/>
              </w:rPr>
              <w:t>占地范围内</w:t>
            </w:r>
          </w:p>
        </w:tc>
        <w:tc>
          <w:tcPr>
            <w:tcW w:w="2130" w:type="dxa"/>
            <w:vAlign w:val="center"/>
          </w:tcPr>
          <w:p w14:paraId="48B14E00">
            <w:pPr>
              <w:snapToGrid w:val="0"/>
              <w:spacing w:line="240" w:lineRule="auto"/>
              <w:ind w:firstLine="0" w:firstLineChars="0"/>
              <w:jc w:val="center"/>
              <w:rPr>
                <w:kern w:val="2"/>
                <w:sz w:val="21"/>
                <w:szCs w:val="21"/>
              </w:rPr>
            </w:pPr>
            <w:r>
              <w:rPr>
                <w:rFonts w:hint="eastAsia"/>
                <w:kern w:val="2"/>
                <w:sz w:val="21"/>
                <w:szCs w:val="21"/>
              </w:rPr>
              <w:t>T1</w:t>
            </w:r>
          </w:p>
        </w:tc>
        <w:tc>
          <w:tcPr>
            <w:tcW w:w="2131" w:type="dxa"/>
            <w:vAlign w:val="center"/>
          </w:tcPr>
          <w:p w14:paraId="550A38FB">
            <w:pPr>
              <w:snapToGrid w:val="0"/>
              <w:spacing w:line="240" w:lineRule="auto"/>
              <w:ind w:firstLine="0" w:firstLineChars="0"/>
              <w:jc w:val="center"/>
              <w:rPr>
                <w:kern w:val="2"/>
                <w:sz w:val="21"/>
                <w:szCs w:val="21"/>
              </w:rPr>
            </w:pPr>
            <w:r>
              <w:rPr>
                <w:rFonts w:hint="eastAsia"/>
                <w:kern w:val="2"/>
                <w:sz w:val="21"/>
                <w:szCs w:val="21"/>
              </w:rPr>
              <w:t>防渗化粪池</w:t>
            </w:r>
          </w:p>
        </w:tc>
        <w:tc>
          <w:tcPr>
            <w:tcW w:w="2131" w:type="dxa"/>
            <w:vAlign w:val="center"/>
          </w:tcPr>
          <w:p w14:paraId="0438CD01">
            <w:pPr>
              <w:snapToGrid w:val="0"/>
              <w:spacing w:line="240" w:lineRule="auto"/>
              <w:ind w:firstLine="0" w:firstLineChars="0"/>
              <w:jc w:val="center"/>
              <w:rPr>
                <w:kern w:val="2"/>
                <w:sz w:val="21"/>
                <w:szCs w:val="21"/>
              </w:rPr>
            </w:pPr>
            <w:r>
              <w:rPr>
                <w:rFonts w:hint="eastAsia"/>
                <w:kern w:val="2"/>
                <w:sz w:val="21"/>
                <w:szCs w:val="21"/>
              </w:rPr>
              <w:t>柱状样</w:t>
            </w:r>
          </w:p>
        </w:tc>
      </w:tr>
    </w:tbl>
    <w:p w14:paraId="09535B8A">
      <w:pPr>
        <w:ind w:firstLine="480"/>
      </w:pPr>
      <w:r>
        <w:rPr>
          <w:rFonts w:hint="eastAsia"/>
        </w:rPr>
        <w:t>（2）监测频率及监测因子</w:t>
      </w:r>
    </w:p>
    <w:p w14:paraId="5DEB813E">
      <w:pPr>
        <w:ind w:firstLine="480"/>
      </w:pPr>
      <w:r>
        <w:rPr>
          <w:rFonts w:hint="eastAsia"/>
        </w:rPr>
        <w:t>监测频率：1次/年。</w:t>
      </w:r>
    </w:p>
    <w:p w14:paraId="2ECA05A2">
      <w:pPr>
        <w:ind w:firstLine="480"/>
      </w:pPr>
      <w:r>
        <w:rPr>
          <w:rFonts w:hint="eastAsia"/>
        </w:rPr>
        <w:t>监测项目为：《畜禽养殖产地评价规范》（HJ568-2010）中表4养殖场土壤环境质量评价标准全值。</w:t>
      </w:r>
    </w:p>
    <w:p w14:paraId="1746F717">
      <w:pPr>
        <w:pStyle w:val="5"/>
      </w:pPr>
      <w:bookmarkStart w:id="208" w:name="_Toc106663530"/>
      <w:r>
        <w:rPr>
          <w:rFonts w:hint="eastAsia"/>
        </w:rPr>
        <w:t>6.2.7生态防治措施</w:t>
      </w:r>
      <w:bookmarkEnd w:id="208"/>
    </w:p>
    <w:p w14:paraId="1881DBAA">
      <w:pPr>
        <w:ind w:firstLine="480"/>
      </w:pPr>
      <w:r>
        <w:t>（1）工程设计时应做好厂区绿化的规划设计，落实绿化费用，设置专职绿化管理人员，保证绿化效果</w:t>
      </w:r>
      <w:r>
        <w:rPr>
          <w:rFonts w:hint="eastAsia"/>
        </w:rPr>
        <w:t>。</w:t>
      </w:r>
    </w:p>
    <w:p w14:paraId="48D4C5F9">
      <w:pPr>
        <w:ind w:firstLine="480"/>
      </w:pPr>
      <w:r>
        <w:t>（2）规划本项目绿化对项目区的生态环境将起到一定的恢复作用，使局部生态环境得到改善，对项目区生态环境产生的影响不大</w:t>
      </w:r>
      <w:r>
        <w:rPr>
          <w:rFonts w:hint="eastAsia"/>
        </w:rPr>
        <w:t>。</w:t>
      </w:r>
    </w:p>
    <w:p w14:paraId="25BBCAA9">
      <w:pPr>
        <w:ind w:firstLine="480"/>
      </w:pPr>
      <w:r>
        <w:t>（3）另外为了原料运输及检修、消防需要，为了环境保护的要求，厂内其他未绿化裸露地面必须进行平整、硬化，主干道和人行道必须铺设混凝土或沥青路面，以达到美化厂区环境，为生产营造所需的良好环境的目的</w:t>
      </w:r>
      <w:r>
        <w:rPr>
          <w:rFonts w:hint="eastAsia"/>
        </w:rPr>
        <w:t>。</w:t>
      </w:r>
    </w:p>
    <w:p w14:paraId="305A69C5">
      <w:pPr>
        <w:pStyle w:val="4"/>
      </w:pPr>
      <w:bookmarkStart w:id="209" w:name="_Toc89619350"/>
      <w:r>
        <w:rPr>
          <w:rFonts w:hint="eastAsia"/>
        </w:rPr>
        <w:t>6.3环境风险防范措施</w:t>
      </w:r>
      <w:bookmarkEnd w:id="209"/>
    </w:p>
    <w:p w14:paraId="17988322">
      <w:pPr>
        <w:ind w:firstLine="480"/>
      </w:pPr>
      <w:r>
        <w:rPr>
          <w:rFonts w:hint="eastAsia"/>
        </w:rPr>
        <w:t>应加大事故防范措施建设，加大防范力度，防患于未然。另外，要制定合理可行的事故应急预案，以控制事故和减少对环境造成的危害。</w:t>
      </w:r>
    </w:p>
    <w:p w14:paraId="50EB7DA7">
      <w:pPr>
        <w:pStyle w:val="5"/>
      </w:pPr>
      <w:bookmarkStart w:id="210" w:name="_Toc106663532"/>
      <w:r>
        <w:rPr>
          <w:rFonts w:hint="eastAsia"/>
        </w:rPr>
        <w:t>6.3.1火灾防范措施</w:t>
      </w:r>
      <w:bookmarkEnd w:id="210"/>
    </w:p>
    <w:p w14:paraId="75404263">
      <w:pPr>
        <w:ind w:firstLine="480"/>
      </w:pPr>
      <w:r>
        <w:rPr>
          <w:rFonts w:hint="eastAsia"/>
        </w:rPr>
        <w:t>（1）制定安全管理制度、安全操作规程和工艺操作规程。</w:t>
      </w:r>
    </w:p>
    <w:p w14:paraId="3D3FBE2F">
      <w:pPr>
        <w:ind w:firstLine="480"/>
      </w:pPr>
      <w:r>
        <w:rPr>
          <w:rFonts w:hint="eastAsia"/>
        </w:rPr>
        <w:t>（2）生产工人必须经过考核录用，认真培训。认真学习工艺生产技术、安全生产要点和岗位安全操作规程，熟悉生产原辅料及产品日常防护、急救措施以及泄漏处理和灭火方法，考试合格后，持证上岗。</w:t>
      </w:r>
    </w:p>
    <w:p w14:paraId="516FF268">
      <w:pPr>
        <w:pStyle w:val="5"/>
      </w:pPr>
      <w:bookmarkStart w:id="211" w:name="_Toc106663533"/>
      <w:r>
        <w:rPr>
          <w:rFonts w:hint="eastAsia"/>
        </w:rPr>
        <w:t>6.3.2废气处理措施故障防范措施</w:t>
      </w:r>
      <w:bookmarkEnd w:id="211"/>
    </w:p>
    <w:p w14:paraId="4EB357BF">
      <w:pPr>
        <w:ind w:firstLine="480"/>
      </w:pPr>
      <w:r>
        <w:rPr>
          <w:rFonts w:hint="eastAsia"/>
        </w:rPr>
        <w:t>要求建设单位必须加强环保设备的管理和维护，减小净化系统失效概率，降低对环境的不良影响。一旦发生废气非正常及事故排放，应立即停止生产，并及时检修，待故障解除后，方可恢复生产。</w:t>
      </w:r>
    </w:p>
    <w:p w14:paraId="513A1DAA">
      <w:pPr>
        <w:pStyle w:val="5"/>
      </w:pPr>
      <w:bookmarkStart w:id="212" w:name="_Toc106663534"/>
      <w:r>
        <w:rPr>
          <w:rFonts w:hint="eastAsia"/>
        </w:rPr>
        <w:t>6.3.3有害物质泄漏防范措施</w:t>
      </w:r>
      <w:bookmarkEnd w:id="212"/>
    </w:p>
    <w:p w14:paraId="3D90F673">
      <w:pPr>
        <w:ind w:firstLine="480"/>
      </w:pPr>
      <w:r>
        <w:rPr>
          <w:rFonts w:hint="eastAsia"/>
        </w:rPr>
        <w:t>（1）项目区内一般区域采用水泥硬化路面，堆粪场、防渗化粪池为重点防渗区，对于重点防治污染区执行地面防渗设计；要求防渗等级不大于1.0×10</w:t>
      </w:r>
      <w:r>
        <w:rPr>
          <w:rFonts w:hint="eastAsia"/>
          <w:vertAlign w:val="superscript"/>
        </w:rPr>
        <w:t>-12</w:t>
      </w:r>
      <w:r>
        <w:rPr>
          <w:rFonts w:hint="eastAsia"/>
        </w:rPr>
        <w:t>cm/s，可采用现浇防渗钢筋钢纤维混凝土层（渗透系数不大于1.0×10</w:t>
      </w:r>
      <w:r>
        <w:rPr>
          <w:rFonts w:hint="eastAsia"/>
          <w:vertAlign w:val="superscript"/>
        </w:rPr>
        <w:t>-12</w:t>
      </w:r>
      <w:r>
        <w:rPr>
          <w:rFonts w:hint="eastAsia"/>
        </w:rPr>
        <w:t>cm/s）、防渗涂料面层（渗透系数不大于1.0×10</w:t>
      </w:r>
      <w:r>
        <w:rPr>
          <w:rFonts w:hint="eastAsia"/>
          <w:vertAlign w:val="superscript"/>
        </w:rPr>
        <w:t>-12</w:t>
      </w:r>
      <w:r>
        <w:rPr>
          <w:rFonts w:hint="eastAsia"/>
        </w:rPr>
        <w:t>cm/s）。项目骆驼圈舍为一般防渗区。对于一般污染防治区，参照《一般工业固体废物贮存、处置场污染控制标准》（GB18599-2001）Ⅱ类场进行设计，天然基础层的渗透系数均大于1.0×10</w:t>
      </w:r>
      <w:r>
        <w:rPr>
          <w:rFonts w:hint="eastAsia"/>
          <w:vertAlign w:val="superscript"/>
        </w:rPr>
        <w:t>-7</w:t>
      </w:r>
      <w:r>
        <w:rPr>
          <w:rFonts w:hint="eastAsia"/>
        </w:rPr>
        <w:t>cm/s，因此应采用天然或人工材料构筑防渗层，防渗层的厚度应相当于渗透系数1.0×10</w:t>
      </w:r>
      <w:r>
        <w:rPr>
          <w:rFonts w:hint="eastAsia"/>
          <w:vertAlign w:val="superscript"/>
        </w:rPr>
        <w:t>-7</w:t>
      </w:r>
      <w:r>
        <w:rPr>
          <w:rFonts w:hint="eastAsia"/>
        </w:rPr>
        <w:t>cm/s和厚度1.5m的粘土层的防渗性能。</w:t>
      </w:r>
    </w:p>
    <w:p w14:paraId="7D4B5EA2">
      <w:pPr>
        <w:ind w:firstLine="480"/>
      </w:pPr>
      <w:r>
        <w:rPr>
          <w:rFonts w:hint="eastAsia"/>
        </w:rPr>
        <w:t>（2）加强环境监测，定期检查厂区硫化物、氨等恶臭气的气体浓度；发现异常情况立即处理。</w:t>
      </w:r>
    </w:p>
    <w:p w14:paraId="4F7A6A48">
      <w:pPr>
        <w:pStyle w:val="5"/>
      </w:pPr>
      <w:bookmarkStart w:id="213" w:name="_Toc106663535"/>
      <w:r>
        <w:rPr>
          <w:rFonts w:hint="eastAsia"/>
        </w:rPr>
        <w:t>6.3.4疫病风险防范措施</w:t>
      </w:r>
      <w:bookmarkEnd w:id="213"/>
    </w:p>
    <w:p w14:paraId="264C28B2">
      <w:pPr>
        <w:ind w:firstLine="480"/>
      </w:pPr>
      <w:r>
        <w:rPr>
          <w:rFonts w:hint="eastAsia"/>
        </w:rPr>
        <w:t>为预防疫情的发生，本养殖场首先做好综合预防措施和扑灭措施，预防措施包括：加强饲养管理，增强骆驼的抵抗力；坚持自繁自养；制订合理的免疫程序；药物预防。扑灭措施包括：疫情上报、诊断、隔离和封锁、紧急接种和治疗、消毒、尸体处理。当发生重大动物疫情时应按照当地政府和主管部门要求采取措施：</w:t>
      </w:r>
    </w:p>
    <w:p w14:paraId="52C1F4A7">
      <w:pPr>
        <w:ind w:firstLine="480"/>
      </w:pPr>
      <w:r>
        <w:rPr>
          <w:rFonts w:hint="eastAsia"/>
        </w:rPr>
        <w:t>（1）加强饲养管理，增强骆驼抵抗力。</w:t>
      </w:r>
    </w:p>
    <w:p w14:paraId="75D38926">
      <w:pPr>
        <w:ind w:firstLine="480"/>
      </w:pPr>
      <w:r>
        <w:rPr>
          <w:rFonts w:hint="eastAsia"/>
        </w:rPr>
        <w:t>1）要按照骆驼的品种、性别、年龄、体重、强弱等进行合理分群饲养。根据各类骆驼的营养需要、饲养标准，确定适宜的饲粮和饲喂方法。</w:t>
      </w:r>
    </w:p>
    <w:p w14:paraId="4F4178E1">
      <w:pPr>
        <w:ind w:firstLine="480"/>
      </w:pPr>
      <w:r>
        <w:rPr>
          <w:rFonts w:hint="eastAsia"/>
        </w:rPr>
        <w:t>2）保证骆驼圈舍清洁舒适，通风良好。每月用药物进行1～2次定期消毒。空出的骆驼圈舍，一定要彻底消毒，一周后才可进骆驼。</w:t>
      </w:r>
    </w:p>
    <w:p w14:paraId="1DC7362B">
      <w:pPr>
        <w:ind w:firstLine="480"/>
      </w:pPr>
      <w:r>
        <w:rPr>
          <w:rFonts w:hint="eastAsia"/>
        </w:rPr>
        <w:t>（2）制订合理的免疫程序，与当地兽医主管理部门保持联系，做好场区骆驼免疫工作。</w:t>
      </w:r>
    </w:p>
    <w:p w14:paraId="7E75CEB5">
      <w:pPr>
        <w:ind w:firstLine="480"/>
      </w:pPr>
      <w:r>
        <w:rPr>
          <w:rFonts w:hint="eastAsia"/>
        </w:rPr>
        <w:t>（3）发现传染病的紧急处理</w:t>
      </w:r>
    </w:p>
    <w:p w14:paraId="0887F3B6">
      <w:pPr>
        <w:ind w:firstLine="480"/>
      </w:pPr>
      <w:r>
        <w:rPr>
          <w:rFonts w:hint="eastAsia"/>
        </w:rPr>
        <w:t>发现传染病或疑似传染病时，应按照《中华人民共和国动物防疫法》的有关条款，采取相应的紧急防治措施，就地扑灭，尸体应作无害化处理。</w:t>
      </w:r>
    </w:p>
    <w:p w14:paraId="629D4DA1">
      <w:pPr>
        <w:ind w:firstLine="480"/>
      </w:pPr>
      <w:r>
        <w:rPr>
          <w:rFonts w:hint="eastAsia"/>
        </w:rPr>
        <w:t>具体实施措施有：</w:t>
      </w:r>
    </w:p>
    <w:p w14:paraId="47B80263">
      <w:pPr>
        <w:ind w:firstLine="480"/>
      </w:pPr>
      <w:r>
        <w:rPr>
          <w:rFonts w:hint="eastAsia"/>
        </w:rPr>
        <w:t>1）封闭管理。</w:t>
      </w:r>
    </w:p>
    <w:p w14:paraId="79407531">
      <w:pPr>
        <w:ind w:firstLine="480"/>
      </w:pPr>
      <w:r>
        <w:rPr>
          <w:rFonts w:hint="eastAsia"/>
        </w:rPr>
        <w:t>人员管理：禁止非本场人员进入生产区；本场饲养人员进入生产区时，必须更换工作衣鞋，通过紫外线消毒后，经消毒池入内；本场兽医不得到场外就诊、防疫。</w:t>
      </w:r>
    </w:p>
    <w:p w14:paraId="38DCC1DA">
      <w:pPr>
        <w:ind w:firstLine="480"/>
      </w:pPr>
      <w:r>
        <w:rPr>
          <w:rFonts w:hint="eastAsia"/>
        </w:rPr>
        <w:t>工具、车辆要求：场内外工具、车辆要严格分开，并定期消毒；外来工具、车辆一般不予进入。禁止生的畜产品带入生产区。</w:t>
      </w:r>
    </w:p>
    <w:p w14:paraId="08059527">
      <w:pPr>
        <w:ind w:firstLine="480"/>
      </w:pPr>
      <w:r>
        <w:rPr>
          <w:rFonts w:hint="eastAsia"/>
        </w:rPr>
        <w:t>把好引种关：引种前要了解产地疫病情况，并经动物防疫部门监测检疫，引入后要隔离饲养观察。</w:t>
      </w:r>
    </w:p>
    <w:p w14:paraId="59379B2F">
      <w:pPr>
        <w:ind w:firstLine="480"/>
      </w:pPr>
      <w:r>
        <w:rPr>
          <w:rFonts w:hint="eastAsia"/>
        </w:rPr>
        <w:t>2）科学免疫。</w:t>
      </w:r>
    </w:p>
    <w:p w14:paraId="454945BF">
      <w:pPr>
        <w:ind w:firstLine="480"/>
      </w:pPr>
      <w:r>
        <w:rPr>
          <w:rFonts w:hint="eastAsia"/>
        </w:rPr>
        <w:t>对骆驼实行科学免疫是有效防止疫病发生的重要措施。养殖场应根据本场的疫病史、场周围的疫情、骆驼免疫抗体水平及骆驼的不同饲养阶段等情况，有针对性地制定免疫计划。</w:t>
      </w:r>
    </w:p>
    <w:p w14:paraId="27058AE7">
      <w:pPr>
        <w:ind w:firstLine="480"/>
      </w:pPr>
      <w:r>
        <w:rPr>
          <w:rFonts w:hint="eastAsia"/>
        </w:rPr>
        <w:t>选择购买由国家畜牧兽医行政管理部门定点生产的疫苗，加强疫苗保管储存，并由兽医按防疫注射操作规程实行免疫，同时建立免疫档案。有条件的应及时开展免疫效果监测，并根据监测情况调整免疫程序。</w:t>
      </w:r>
    </w:p>
    <w:p w14:paraId="1AAE8395">
      <w:pPr>
        <w:ind w:firstLine="480"/>
      </w:pPr>
      <w:r>
        <w:rPr>
          <w:rFonts w:hint="eastAsia"/>
        </w:rPr>
        <w:t>3）规范消毒。</w:t>
      </w:r>
    </w:p>
    <w:p w14:paraId="33FA9F6E">
      <w:pPr>
        <w:ind w:firstLine="480"/>
      </w:pPr>
      <w:r>
        <w:rPr>
          <w:rFonts w:hint="eastAsia"/>
        </w:rPr>
        <w:t>消毒工作须做到经常化、制度化，要定期交替使用广谱、高效、低毒的消毒剂；制定科学的消毒程序，定期对骆驼圈舍周边环境消毒，任何饲养阶段的骆驼圈舍每周至少消毒2次，在条件允许的情况下，要实施带体消毒。</w:t>
      </w:r>
    </w:p>
    <w:p w14:paraId="30C3108F">
      <w:pPr>
        <w:ind w:firstLine="480"/>
      </w:pPr>
      <w:r>
        <w:rPr>
          <w:rFonts w:hint="eastAsia"/>
        </w:rPr>
        <w:t>4）合理用药。</w:t>
      </w:r>
    </w:p>
    <w:p w14:paraId="465F105F">
      <w:pPr>
        <w:ind w:firstLine="480"/>
      </w:pPr>
      <w:r>
        <w:rPr>
          <w:rFonts w:hint="eastAsia"/>
        </w:rPr>
        <w:t>规模养殖场兽医用药要严格实行处方用药制度，定期采集一些病骆驼的病料进行细菌分离培养和药敏试验，并根据药敏试验结果选择敏感药物进行预防、治疗，避免耐药菌株的产生。</w:t>
      </w:r>
    </w:p>
    <w:p w14:paraId="4803DEDC">
      <w:pPr>
        <w:ind w:firstLine="480"/>
      </w:pPr>
      <w:r>
        <w:rPr>
          <w:rFonts w:hint="eastAsia"/>
        </w:rPr>
        <w:t>5）疫情监测。</w:t>
      </w:r>
    </w:p>
    <w:p w14:paraId="5789694C">
      <w:pPr>
        <w:ind w:firstLine="480"/>
      </w:pPr>
      <w:r>
        <w:rPr>
          <w:rFonts w:hint="eastAsia"/>
        </w:rPr>
        <w:t>兽医每天要定期巡查骆驼圈舍，发现疫情要及时采取应对措施。规模养殖场一旦发生重大动物疫情时，要立即向当地动物防疫监督机构报告，并及时采取隔离、消毒、扑杀、紧急免疫等有效措施，控制疫情，防止疫情扩散。</w:t>
      </w:r>
    </w:p>
    <w:p w14:paraId="4D997E79">
      <w:pPr>
        <w:ind w:firstLine="480"/>
      </w:pPr>
      <w:r>
        <w:rPr>
          <w:rFonts w:hint="eastAsia"/>
        </w:rPr>
        <w:t>6）日常卫生。</w:t>
      </w:r>
    </w:p>
    <w:p w14:paraId="1495B716">
      <w:pPr>
        <w:ind w:firstLine="480"/>
      </w:pPr>
      <w:r>
        <w:rPr>
          <w:rFonts w:hint="eastAsia"/>
        </w:rPr>
        <w:t>平常要认真做好牧场卫生工作，及时处理粪便，定期进行灭鼠、灭蝇、灭蚊等工作。</w:t>
      </w:r>
    </w:p>
    <w:p w14:paraId="4E9D7346">
      <w:pPr>
        <w:pStyle w:val="5"/>
      </w:pPr>
      <w:bookmarkStart w:id="214" w:name="_Toc106663536"/>
      <w:r>
        <w:rPr>
          <w:rFonts w:hint="eastAsia"/>
        </w:rPr>
        <w:t>6.3.5养殖场隔离舍建设要求及日常防治措施</w:t>
      </w:r>
      <w:bookmarkEnd w:id="214"/>
    </w:p>
    <w:p w14:paraId="095C2BAF">
      <w:pPr>
        <w:ind w:firstLine="480"/>
      </w:pPr>
      <w:r>
        <w:rPr>
          <w:rFonts w:hint="eastAsia"/>
        </w:rPr>
        <w:t>本次环评建议设置隔离舍，隔离舍必须在年主导风向的下风向，并且不得在地下水径流的上游区。此外隔离区必须与生产区、生活办公区隔开，一般隔离舍区设置在距离生产区、生活办公区50-100m远处较为合适。要求隔离舍四周绿化隔离带隔开，并设专用消毒设施，隔离场的入口处设置警示标志。</w:t>
      </w:r>
    </w:p>
    <w:p w14:paraId="30049797">
      <w:pPr>
        <w:ind w:firstLine="480"/>
      </w:pPr>
      <w:r>
        <w:rPr>
          <w:rFonts w:hint="eastAsia"/>
        </w:rPr>
        <w:t>另外隔离舍区要加强管理：要求工作人员无人兽共患传染病；严禁非工作人员进入隔离区；工作人员进出隔离区应该遵循程序，更衣→换鞋→经消毒池→消毒通道进出；隔离舍要定期彻底清洗/毒隔设备（运输车辆等）；工作人员未经管理人员批准随意进出隔离舍；不得携进（出）任何物品。</w:t>
      </w:r>
    </w:p>
    <w:p w14:paraId="465E3C77">
      <w:pPr>
        <w:ind w:firstLine="480"/>
        <w:sectPr>
          <w:footerReference r:id="rId28" w:type="default"/>
          <w:footerReference r:id="rId2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14:paraId="79DACF3D">
      <w:pPr>
        <w:pStyle w:val="3"/>
      </w:pPr>
      <w:bookmarkStart w:id="215" w:name="_Toc89619351"/>
      <w:r>
        <w:rPr>
          <w:rFonts w:hint="eastAsia"/>
        </w:rPr>
        <w:t>7、环境影响经济损益分析</w:t>
      </w:r>
      <w:bookmarkEnd w:id="215"/>
    </w:p>
    <w:p w14:paraId="5A4D5F14">
      <w:pPr>
        <w:ind w:firstLine="480"/>
      </w:pPr>
      <w:r>
        <w:rPr>
          <w:rFonts w:hint="eastAsia"/>
        </w:rPr>
        <w:t>环境影响经济损益分析的主要任务是衡量项目的环保投资所能收到的环境效益和经济效益，衡量建设项目的环保投资在经济上的合理水平。建设项目的社会影响、经济影响、环境影响是一个系统的三要素，最终以提高人类的生活质量为目的。它们之间既是互相促进，又互相制约，必须通过全面规划、综合平衡、正确地把全局利益和局部利益、长远利益和近期利益结合起来，对环境保护和经济发展进行协调，实现社会效益、经济效益、环境效益的三统一，实现经济的持续发展和环境质量的不断改善。本项目属于畜牧养殖行业，通过对本项目的经济、社会和环境效益分析，使项目的建设论证更加充分可靠，工程的设计和实施更加完善，为项目决策者更好地考虑环境、经济和社会效益的统一提供依据，以实现经济的持续增长、社会的良性发展和环境质量的保持与改善。</w:t>
      </w:r>
    </w:p>
    <w:p w14:paraId="65456F49">
      <w:pPr>
        <w:pStyle w:val="4"/>
      </w:pPr>
      <w:bookmarkStart w:id="216" w:name="_Toc89619352"/>
      <w:r>
        <w:rPr>
          <w:rFonts w:hint="eastAsia"/>
        </w:rPr>
        <w:t>7.1社会效益分析</w:t>
      </w:r>
      <w:bookmarkEnd w:id="216"/>
    </w:p>
    <w:p w14:paraId="33CB2860">
      <w:pPr>
        <w:ind w:firstLine="480"/>
      </w:pPr>
      <w:r>
        <w:rPr>
          <w:rFonts w:hint="eastAsia"/>
        </w:rPr>
        <w:t>本项目的社会效益主要表现在：</w:t>
      </w:r>
    </w:p>
    <w:p w14:paraId="13D8B116">
      <w:pPr>
        <w:ind w:firstLine="480"/>
      </w:pPr>
      <w:r>
        <w:rPr>
          <w:rFonts w:hint="eastAsia"/>
        </w:rPr>
        <w:t>1、通过该项目的实施，调整种植业结构，加大农业综合开发利用的力度，将现有的资源优势转化为产业优势，提高土地的产出效益。</w:t>
      </w:r>
    </w:p>
    <w:p w14:paraId="7B0E5408">
      <w:pPr>
        <w:ind w:firstLine="480"/>
      </w:pPr>
      <w:r>
        <w:rPr>
          <w:rFonts w:hint="eastAsia"/>
        </w:rPr>
        <w:t>2、通过引进优良品质，采用现代化的养殖工艺与装备，通过标准化、规模化骆驼养殖模式，加速木垒县畜牧业产业化进程，推动木垒县畜牧业实现高效生产和可持续发展具有较好的示范作用。</w:t>
      </w:r>
    </w:p>
    <w:p w14:paraId="6FBABC33">
      <w:pPr>
        <w:ind w:firstLine="480"/>
      </w:pPr>
      <w:r>
        <w:rPr>
          <w:rFonts w:hint="eastAsia"/>
        </w:rPr>
        <w:t>3、项目实施后将促进和带动周边加工业等相关产业的发展。同时，结合本项目的实施，可以进一步促进规划区内基础设施的建设。</w:t>
      </w:r>
    </w:p>
    <w:p w14:paraId="69D2F61F">
      <w:pPr>
        <w:ind w:firstLine="480"/>
      </w:pPr>
      <w:r>
        <w:rPr>
          <w:rFonts w:hint="eastAsia"/>
        </w:rPr>
        <w:t>4、本项目的实施可以直接或间接的增加许多就业机会，促进社会的安定团结。</w:t>
      </w:r>
    </w:p>
    <w:p w14:paraId="5D38FE5E">
      <w:pPr>
        <w:ind w:firstLine="480"/>
      </w:pPr>
      <w:r>
        <w:rPr>
          <w:rFonts w:hint="eastAsia"/>
        </w:rPr>
        <w:t>5、项目的实施可以增加当地政府的税收，促进当地经济发展和人民生活质量。</w:t>
      </w:r>
    </w:p>
    <w:p w14:paraId="6E8346B2">
      <w:pPr>
        <w:pStyle w:val="4"/>
      </w:pPr>
      <w:bookmarkStart w:id="217" w:name="_Toc89619353"/>
      <w:r>
        <w:rPr>
          <w:rFonts w:hint="eastAsia"/>
        </w:rPr>
        <w:t>7.2经济效益分析</w:t>
      </w:r>
      <w:bookmarkEnd w:id="217"/>
    </w:p>
    <w:p w14:paraId="3D3BFFBE">
      <w:pPr>
        <w:ind w:firstLine="480"/>
      </w:pPr>
      <w:r>
        <w:rPr>
          <w:rFonts w:hint="eastAsia"/>
        </w:rPr>
        <w:t>1、直接经济效益</w:t>
      </w:r>
    </w:p>
    <w:p w14:paraId="41CEF736">
      <w:pPr>
        <w:ind w:firstLine="480"/>
      </w:pPr>
      <w:r>
        <w:rPr>
          <w:rFonts w:hint="eastAsia"/>
        </w:rPr>
        <w:t>根据项目可研提供数据，项目建成后，年收益可达3240万元，项目总投资450万元，项目收益率较高。</w:t>
      </w:r>
    </w:p>
    <w:p w14:paraId="3BEEAEA1">
      <w:pPr>
        <w:ind w:firstLine="480"/>
      </w:pPr>
      <w:r>
        <w:rPr>
          <w:rFonts w:hint="eastAsia"/>
        </w:rPr>
        <w:t>2、间接经济效益</w:t>
      </w:r>
    </w:p>
    <w:p w14:paraId="4EAE326D">
      <w:pPr>
        <w:ind w:firstLine="480"/>
      </w:pPr>
      <w:r>
        <w:rPr>
          <w:rFonts w:hint="eastAsia"/>
        </w:rPr>
        <w:t>该项目建设有利于调整区域农业结构，带动木垒县及周边地区种植业、运输业及相关产业的发展，形成骆驼养殖产业链，加快农业产业化进程，有效解决”三农”问题，增加当地农民的收入。</w:t>
      </w:r>
    </w:p>
    <w:p w14:paraId="0BD15492">
      <w:pPr>
        <w:pStyle w:val="5"/>
      </w:pPr>
      <w:bookmarkStart w:id="218" w:name="_Toc106663540"/>
      <w:r>
        <w:rPr>
          <w:rFonts w:hint="eastAsia"/>
        </w:rPr>
        <w:t>7.3环境效益分析</w:t>
      </w:r>
      <w:bookmarkEnd w:id="218"/>
    </w:p>
    <w:p w14:paraId="78A617C3">
      <w:pPr>
        <w:ind w:firstLine="480"/>
      </w:pPr>
      <w:r>
        <w:t>本项目拟投资</w:t>
      </w:r>
      <w:r>
        <w:rPr>
          <w:rFonts w:hint="eastAsia"/>
        </w:rPr>
        <w:t>80.5</w:t>
      </w:r>
      <w:r>
        <w:t>万元，用于废水处理、场区绿化、恶臭治理及病死</w:t>
      </w:r>
      <w:r>
        <w:rPr>
          <w:rFonts w:hint="eastAsia"/>
        </w:rPr>
        <w:t>骆驼</w:t>
      </w:r>
      <w:r>
        <w:t>无害化填埋处理等，保证对环境的影响降低到最小程度，满足建设项目环境保护管理的要求</w:t>
      </w:r>
      <w:r>
        <w:rPr>
          <w:rFonts w:hint="eastAsia"/>
        </w:rPr>
        <w:t>。</w:t>
      </w:r>
    </w:p>
    <w:p w14:paraId="16EA92EC">
      <w:pPr>
        <w:ind w:firstLine="480"/>
      </w:pPr>
      <w:r>
        <w:t>建设项目环保措施主要是体现国家环保政策，贯彻</w:t>
      </w:r>
      <w:r>
        <w:rPr>
          <w:rFonts w:hint="eastAsia"/>
        </w:rPr>
        <w:t>”</w:t>
      </w:r>
      <w:r>
        <w:t>总量控制</w:t>
      </w:r>
      <w:r>
        <w:rPr>
          <w:rFonts w:hint="eastAsia"/>
        </w:rPr>
        <w:t>”</w:t>
      </w:r>
      <w:r>
        <w:t>、</w:t>
      </w:r>
      <w:r>
        <w:rPr>
          <w:rFonts w:hint="eastAsia"/>
        </w:rPr>
        <w:t>”</w:t>
      </w:r>
      <w:r>
        <w:t>达标排放</w:t>
      </w:r>
      <w:r>
        <w:rPr>
          <w:rFonts w:hint="eastAsia"/>
        </w:rPr>
        <w:t>”</w:t>
      </w:r>
      <w:r>
        <w:t>污染控制原则，达到保护环境的目的</w:t>
      </w:r>
      <w:r>
        <w:rPr>
          <w:rFonts w:hint="eastAsia"/>
        </w:rPr>
        <w:t>。</w:t>
      </w:r>
      <w:r>
        <w:t>通过治理措施，本项目</w:t>
      </w:r>
      <w:r>
        <w:rPr>
          <w:rFonts w:hint="eastAsia"/>
          <w:lang w:val="en-US" w:eastAsia="zh-CN"/>
        </w:rPr>
        <w:t>渗滤液和</w:t>
      </w:r>
      <w:r>
        <w:t>生活污水可以实现达标排放，厂界噪声达标</w:t>
      </w:r>
      <w:r>
        <w:rPr>
          <w:rFonts w:hint="eastAsia"/>
        </w:rPr>
        <w:t>。</w:t>
      </w:r>
      <w:r>
        <w:t>这些措施的实施产生的环境效益较明显</w:t>
      </w:r>
      <w:r>
        <w:rPr>
          <w:rFonts w:hint="eastAsia"/>
        </w:rPr>
        <w:t>。</w:t>
      </w:r>
    </w:p>
    <w:p w14:paraId="40131D9C">
      <w:pPr>
        <w:pStyle w:val="4"/>
      </w:pPr>
      <w:bookmarkStart w:id="219" w:name="_Toc89619354"/>
      <w:r>
        <w:rPr>
          <w:rFonts w:hint="eastAsia"/>
        </w:rPr>
        <w:t>7.4环境经济效益分析</w:t>
      </w:r>
      <w:bookmarkEnd w:id="219"/>
    </w:p>
    <w:p w14:paraId="3863B427">
      <w:pPr>
        <w:pStyle w:val="5"/>
      </w:pPr>
      <w:bookmarkStart w:id="220" w:name="_Toc106663542"/>
      <w:r>
        <w:rPr>
          <w:rFonts w:hint="eastAsia"/>
        </w:rPr>
        <w:t>7.4.1环保投资</w:t>
      </w:r>
      <w:bookmarkEnd w:id="220"/>
    </w:p>
    <w:p w14:paraId="640304C6">
      <w:pPr>
        <w:ind w:firstLine="480"/>
      </w:pPr>
      <w:r>
        <w:rPr>
          <w:rFonts w:hint="eastAsia"/>
        </w:rPr>
        <w:t>依据《建设项目环境保护设计规定》，环保设施划分的基本原则是，污染治理环境保护所需的设施、装置和工程设施，生产工艺需要又为环境保护服务的设施，为保证生产有良好环境所采取的防尘、绿化设施等均属环保设施。</w:t>
      </w:r>
    </w:p>
    <w:p w14:paraId="62DAFA24">
      <w:pPr>
        <w:ind w:firstLine="480"/>
      </w:pPr>
      <w:r>
        <w:rPr>
          <w:rFonts w:hint="eastAsia"/>
        </w:rPr>
        <w:t>本项目总投资450万元，其中环保投资为70.5万元，占总投资的15.7%。环保投资明细见表7.3-1。</w:t>
      </w:r>
    </w:p>
    <w:p w14:paraId="05BB2B98">
      <w:pPr>
        <w:pStyle w:val="11"/>
      </w:pPr>
      <w:r>
        <w:rPr>
          <w:rFonts w:hint="eastAsia"/>
        </w:rPr>
        <w:t>表7</w:t>
      </w:r>
      <w:r>
        <w:t>.3-1</w:t>
      </w:r>
      <w:r>
        <w:rPr>
          <w:rFonts w:hint="eastAsia"/>
        </w:rPr>
        <w:t>环境保护投资估算一览表</w:t>
      </w:r>
    </w:p>
    <w:tbl>
      <w:tblPr>
        <w:tblStyle w:val="183"/>
        <w:tblW w:w="502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8"/>
        <w:gridCol w:w="699"/>
        <w:gridCol w:w="1278"/>
        <w:gridCol w:w="3513"/>
        <w:gridCol w:w="979"/>
        <w:gridCol w:w="1372"/>
      </w:tblGrid>
      <w:tr w14:paraId="2CA85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310" w:type="pct"/>
            <w:textDirection w:val="tbRlV"/>
            <w:vAlign w:val="center"/>
          </w:tcPr>
          <w:p w14:paraId="78842B00">
            <w:pPr>
              <w:spacing w:line="360" w:lineRule="exact"/>
              <w:ind w:firstLine="0" w:firstLineChars="0"/>
              <w:jc w:val="center"/>
              <w:rPr>
                <w:rFonts w:cs="宋体"/>
                <w:sz w:val="21"/>
                <w:szCs w:val="21"/>
              </w:rPr>
            </w:pPr>
            <w:r>
              <w:rPr>
                <w:rFonts w:cs="宋体"/>
                <w:sz w:val="21"/>
                <w:szCs w:val="21"/>
              </w:rPr>
              <w:t>序号</w:t>
            </w:r>
          </w:p>
        </w:tc>
        <w:tc>
          <w:tcPr>
            <w:tcW w:w="418" w:type="pct"/>
            <w:vAlign w:val="center"/>
          </w:tcPr>
          <w:p w14:paraId="01729577">
            <w:pPr>
              <w:spacing w:line="360" w:lineRule="exact"/>
              <w:ind w:firstLine="0" w:firstLineChars="0"/>
              <w:jc w:val="center"/>
              <w:rPr>
                <w:rFonts w:cs="宋体"/>
                <w:sz w:val="21"/>
                <w:szCs w:val="21"/>
              </w:rPr>
            </w:pPr>
            <w:r>
              <w:rPr>
                <w:rFonts w:cs="宋体"/>
                <w:sz w:val="21"/>
                <w:szCs w:val="21"/>
              </w:rPr>
              <w:t>类别</w:t>
            </w:r>
          </w:p>
        </w:tc>
        <w:tc>
          <w:tcPr>
            <w:tcW w:w="764" w:type="pct"/>
            <w:vAlign w:val="center"/>
          </w:tcPr>
          <w:p w14:paraId="23DCB074">
            <w:pPr>
              <w:spacing w:line="360" w:lineRule="exact"/>
              <w:ind w:firstLine="0" w:firstLineChars="0"/>
              <w:jc w:val="center"/>
              <w:rPr>
                <w:rFonts w:cs="宋体"/>
                <w:sz w:val="21"/>
                <w:szCs w:val="21"/>
              </w:rPr>
            </w:pPr>
            <w:r>
              <w:rPr>
                <w:rFonts w:cs="宋体"/>
                <w:sz w:val="21"/>
                <w:szCs w:val="21"/>
              </w:rPr>
              <w:t>污染环节源</w:t>
            </w:r>
          </w:p>
        </w:tc>
        <w:tc>
          <w:tcPr>
            <w:tcW w:w="2100" w:type="pct"/>
            <w:vAlign w:val="center"/>
          </w:tcPr>
          <w:p w14:paraId="646A0AC9">
            <w:pPr>
              <w:spacing w:line="360" w:lineRule="exact"/>
              <w:ind w:firstLine="0" w:firstLineChars="0"/>
              <w:jc w:val="center"/>
              <w:rPr>
                <w:rFonts w:cs="宋体"/>
                <w:sz w:val="21"/>
                <w:szCs w:val="21"/>
              </w:rPr>
            </w:pPr>
            <w:r>
              <w:rPr>
                <w:rFonts w:cs="宋体"/>
                <w:sz w:val="21"/>
                <w:szCs w:val="21"/>
              </w:rPr>
              <w:t>治理措施</w:t>
            </w:r>
          </w:p>
        </w:tc>
        <w:tc>
          <w:tcPr>
            <w:tcW w:w="585" w:type="pct"/>
            <w:vAlign w:val="center"/>
          </w:tcPr>
          <w:p w14:paraId="532CB2A6">
            <w:pPr>
              <w:spacing w:line="360" w:lineRule="exact"/>
              <w:ind w:firstLine="0" w:firstLineChars="0"/>
              <w:jc w:val="center"/>
              <w:rPr>
                <w:rFonts w:cs="宋体"/>
                <w:sz w:val="21"/>
                <w:szCs w:val="21"/>
              </w:rPr>
            </w:pPr>
            <w:r>
              <w:rPr>
                <w:rFonts w:cs="宋体"/>
                <w:sz w:val="21"/>
                <w:szCs w:val="21"/>
              </w:rPr>
              <w:t>投资</w:t>
            </w:r>
            <w:r>
              <w:rPr>
                <w:rFonts w:hint="eastAsia" w:cs="宋体"/>
                <w:sz w:val="21"/>
                <w:szCs w:val="21"/>
              </w:rPr>
              <w:t>（</w:t>
            </w:r>
            <w:r>
              <w:rPr>
                <w:rFonts w:cs="宋体"/>
                <w:sz w:val="21"/>
                <w:szCs w:val="21"/>
              </w:rPr>
              <w:t>万元</w:t>
            </w:r>
            <w:r>
              <w:rPr>
                <w:rFonts w:hint="eastAsia" w:cs="宋体"/>
                <w:sz w:val="21"/>
                <w:szCs w:val="21"/>
              </w:rPr>
              <w:t>）</w:t>
            </w:r>
          </w:p>
        </w:tc>
        <w:tc>
          <w:tcPr>
            <w:tcW w:w="820" w:type="pct"/>
            <w:vAlign w:val="center"/>
          </w:tcPr>
          <w:p w14:paraId="74CE6291">
            <w:pPr>
              <w:spacing w:line="360" w:lineRule="exact"/>
              <w:ind w:firstLine="0" w:firstLineChars="0"/>
              <w:jc w:val="center"/>
              <w:rPr>
                <w:rFonts w:cs="宋体"/>
                <w:sz w:val="21"/>
                <w:szCs w:val="21"/>
              </w:rPr>
            </w:pPr>
            <w:r>
              <w:rPr>
                <w:rFonts w:cs="宋体"/>
                <w:sz w:val="21"/>
                <w:szCs w:val="21"/>
              </w:rPr>
              <w:t>备注</w:t>
            </w:r>
          </w:p>
        </w:tc>
      </w:tr>
      <w:tr w14:paraId="2C36B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0" w:type="pct"/>
            <w:vAlign w:val="center"/>
          </w:tcPr>
          <w:p w14:paraId="50A4CF4B">
            <w:pPr>
              <w:spacing w:line="360" w:lineRule="exact"/>
              <w:ind w:firstLine="0" w:firstLineChars="0"/>
              <w:jc w:val="center"/>
              <w:rPr>
                <w:sz w:val="21"/>
                <w:szCs w:val="21"/>
              </w:rPr>
            </w:pPr>
            <w:r>
              <w:rPr>
                <w:sz w:val="21"/>
                <w:szCs w:val="21"/>
              </w:rPr>
              <w:t>1</w:t>
            </w:r>
          </w:p>
        </w:tc>
        <w:tc>
          <w:tcPr>
            <w:tcW w:w="418" w:type="pct"/>
            <w:vAlign w:val="center"/>
          </w:tcPr>
          <w:p w14:paraId="5DB163EF">
            <w:pPr>
              <w:spacing w:line="360" w:lineRule="exact"/>
              <w:ind w:firstLine="0" w:firstLineChars="0"/>
              <w:jc w:val="center"/>
              <w:rPr>
                <w:rFonts w:cs="宋体"/>
                <w:sz w:val="21"/>
                <w:szCs w:val="21"/>
              </w:rPr>
            </w:pPr>
            <w:r>
              <w:rPr>
                <w:rFonts w:cs="宋体"/>
                <w:sz w:val="21"/>
                <w:szCs w:val="21"/>
              </w:rPr>
              <w:t>废气</w:t>
            </w:r>
          </w:p>
        </w:tc>
        <w:tc>
          <w:tcPr>
            <w:tcW w:w="764" w:type="pct"/>
            <w:vAlign w:val="center"/>
          </w:tcPr>
          <w:p w14:paraId="7953B30B">
            <w:pPr>
              <w:spacing w:line="360" w:lineRule="exact"/>
              <w:ind w:firstLine="0" w:firstLineChars="0"/>
              <w:jc w:val="center"/>
              <w:rPr>
                <w:rFonts w:cs="宋体"/>
                <w:sz w:val="21"/>
                <w:szCs w:val="21"/>
              </w:rPr>
            </w:pPr>
            <w:r>
              <w:rPr>
                <w:rFonts w:cs="宋体"/>
                <w:sz w:val="21"/>
                <w:szCs w:val="21"/>
              </w:rPr>
              <w:t>养殖区恶臭</w:t>
            </w:r>
          </w:p>
        </w:tc>
        <w:tc>
          <w:tcPr>
            <w:tcW w:w="2100" w:type="pct"/>
            <w:vAlign w:val="center"/>
          </w:tcPr>
          <w:p w14:paraId="1B08AA6E">
            <w:pPr>
              <w:spacing w:line="360" w:lineRule="exact"/>
              <w:ind w:firstLine="0" w:firstLineChars="0"/>
              <w:jc w:val="center"/>
              <w:rPr>
                <w:rFonts w:cs="宋体"/>
                <w:sz w:val="21"/>
                <w:szCs w:val="21"/>
              </w:rPr>
            </w:pPr>
            <w:r>
              <w:rPr>
                <w:rFonts w:cs="宋体"/>
                <w:sz w:val="21"/>
                <w:szCs w:val="21"/>
              </w:rPr>
              <w:t>喷洒除臭剂</w:t>
            </w:r>
          </w:p>
        </w:tc>
        <w:tc>
          <w:tcPr>
            <w:tcW w:w="585" w:type="pct"/>
            <w:vAlign w:val="center"/>
          </w:tcPr>
          <w:p w14:paraId="367EF423">
            <w:pPr>
              <w:spacing w:line="360" w:lineRule="exact"/>
              <w:ind w:firstLine="0" w:firstLineChars="0"/>
              <w:jc w:val="center"/>
              <w:rPr>
                <w:sz w:val="21"/>
                <w:szCs w:val="21"/>
              </w:rPr>
            </w:pPr>
            <w:r>
              <w:rPr>
                <w:rFonts w:hint="eastAsia"/>
                <w:sz w:val="21"/>
                <w:szCs w:val="21"/>
              </w:rPr>
              <w:t>5</w:t>
            </w:r>
          </w:p>
        </w:tc>
        <w:tc>
          <w:tcPr>
            <w:tcW w:w="820" w:type="pct"/>
            <w:vAlign w:val="center"/>
          </w:tcPr>
          <w:p w14:paraId="3F68A2B4">
            <w:pPr>
              <w:spacing w:line="360" w:lineRule="exact"/>
              <w:ind w:firstLine="0" w:firstLineChars="0"/>
              <w:jc w:val="center"/>
              <w:rPr>
                <w:sz w:val="21"/>
              </w:rPr>
            </w:pPr>
          </w:p>
        </w:tc>
      </w:tr>
      <w:tr w14:paraId="182D7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310" w:type="pct"/>
            <w:vAlign w:val="center"/>
          </w:tcPr>
          <w:p w14:paraId="4952BA16">
            <w:pPr>
              <w:spacing w:line="360" w:lineRule="exact"/>
              <w:ind w:firstLine="0" w:firstLineChars="0"/>
              <w:jc w:val="center"/>
              <w:rPr>
                <w:sz w:val="21"/>
                <w:szCs w:val="21"/>
              </w:rPr>
            </w:pPr>
            <w:r>
              <w:rPr>
                <w:sz w:val="21"/>
                <w:szCs w:val="21"/>
              </w:rPr>
              <w:t>2</w:t>
            </w:r>
          </w:p>
        </w:tc>
        <w:tc>
          <w:tcPr>
            <w:tcW w:w="418" w:type="pct"/>
            <w:vAlign w:val="center"/>
          </w:tcPr>
          <w:p w14:paraId="05B9C46C">
            <w:pPr>
              <w:spacing w:line="360" w:lineRule="exact"/>
              <w:ind w:firstLine="0" w:firstLineChars="0"/>
              <w:jc w:val="center"/>
              <w:rPr>
                <w:rFonts w:cs="宋体"/>
                <w:sz w:val="21"/>
                <w:szCs w:val="21"/>
              </w:rPr>
            </w:pPr>
            <w:r>
              <w:rPr>
                <w:rFonts w:cs="宋体"/>
                <w:sz w:val="21"/>
                <w:szCs w:val="21"/>
              </w:rPr>
              <w:t>废水</w:t>
            </w:r>
          </w:p>
        </w:tc>
        <w:tc>
          <w:tcPr>
            <w:tcW w:w="764" w:type="pct"/>
            <w:vAlign w:val="center"/>
          </w:tcPr>
          <w:p w14:paraId="42B12253">
            <w:pPr>
              <w:spacing w:line="360" w:lineRule="exact"/>
              <w:ind w:firstLine="0" w:firstLineChars="0"/>
              <w:jc w:val="center"/>
              <w:rPr>
                <w:rFonts w:cs="宋体"/>
                <w:sz w:val="21"/>
                <w:szCs w:val="21"/>
              </w:rPr>
            </w:pPr>
            <w:r>
              <w:rPr>
                <w:rFonts w:hint="eastAsia" w:cs="宋体"/>
                <w:sz w:val="21"/>
                <w:szCs w:val="21"/>
              </w:rPr>
              <w:t>生活污水</w:t>
            </w:r>
          </w:p>
        </w:tc>
        <w:tc>
          <w:tcPr>
            <w:tcW w:w="2100" w:type="pct"/>
            <w:vAlign w:val="center"/>
          </w:tcPr>
          <w:p w14:paraId="207EA1BF">
            <w:pPr>
              <w:spacing w:line="360" w:lineRule="exact"/>
              <w:ind w:firstLine="0" w:firstLineChars="0"/>
              <w:jc w:val="center"/>
              <w:rPr>
                <w:rFonts w:cs="宋体"/>
                <w:sz w:val="21"/>
                <w:szCs w:val="21"/>
              </w:rPr>
            </w:pPr>
            <w:r>
              <w:rPr>
                <w:rFonts w:hint="eastAsia" w:cs="宋体"/>
                <w:sz w:val="21"/>
                <w:szCs w:val="21"/>
              </w:rPr>
              <w:t>排水管线</w:t>
            </w:r>
          </w:p>
        </w:tc>
        <w:tc>
          <w:tcPr>
            <w:tcW w:w="585" w:type="pct"/>
            <w:vAlign w:val="center"/>
          </w:tcPr>
          <w:p w14:paraId="350FDCD3">
            <w:pPr>
              <w:spacing w:line="360" w:lineRule="exact"/>
              <w:ind w:firstLine="0" w:firstLineChars="0"/>
              <w:jc w:val="center"/>
              <w:rPr>
                <w:sz w:val="21"/>
                <w:szCs w:val="21"/>
              </w:rPr>
            </w:pPr>
            <w:r>
              <w:rPr>
                <w:rFonts w:hint="eastAsia"/>
                <w:sz w:val="21"/>
                <w:szCs w:val="21"/>
              </w:rPr>
              <w:t>5</w:t>
            </w:r>
          </w:p>
        </w:tc>
        <w:tc>
          <w:tcPr>
            <w:tcW w:w="820" w:type="pct"/>
            <w:vAlign w:val="center"/>
          </w:tcPr>
          <w:p w14:paraId="3C976C96">
            <w:pPr>
              <w:spacing w:line="360" w:lineRule="exact"/>
              <w:ind w:firstLine="0" w:firstLineChars="0"/>
              <w:jc w:val="center"/>
              <w:rPr>
                <w:sz w:val="21"/>
              </w:rPr>
            </w:pPr>
          </w:p>
        </w:tc>
      </w:tr>
      <w:tr w14:paraId="309FD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10" w:type="pct"/>
            <w:vAlign w:val="center"/>
          </w:tcPr>
          <w:p w14:paraId="239A25FF">
            <w:pPr>
              <w:spacing w:line="360" w:lineRule="exact"/>
              <w:ind w:firstLine="0" w:firstLineChars="0"/>
              <w:jc w:val="center"/>
              <w:rPr>
                <w:sz w:val="21"/>
                <w:szCs w:val="21"/>
              </w:rPr>
            </w:pPr>
            <w:r>
              <w:rPr>
                <w:sz w:val="21"/>
                <w:szCs w:val="21"/>
              </w:rPr>
              <w:t>3</w:t>
            </w:r>
          </w:p>
        </w:tc>
        <w:tc>
          <w:tcPr>
            <w:tcW w:w="418" w:type="pct"/>
            <w:vMerge w:val="restart"/>
            <w:tcBorders>
              <w:bottom w:val="nil"/>
            </w:tcBorders>
            <w:vAlign w:val="center"/>
          </w:tcPr>
          <w:p w14:paraId="6BB077F5">
            <w:pPr>
              <w:spacing w:line="360" w:lineRule="exact"/>
              <w:ind w:firstLine="0" w:firstLineChars="0"/>
              <w:jc w:val="center"/>
              <w:rPr>
                <w:rFonts w:cs="宋体"/>
                <w:sz w:val="21"/>
                <w:szCs w:val="21"/>
              </w:rPr>
            </w:pPr>
            <w:r>
              <w:rPr>
                <w:rFonts w:cs="宋体"/>
                <w:sz w:val="21"/>
                <w:szCs w:val="21"/>
              </w:rPr>
              <w:t>固废</w:t>
            </w:r>
          </w:p>
        </w:tc>
        <w:tc>
          <w:tcPr>
            <w:tcW w:w="764" w:type="pct"/>
            <w:vMerge w:val="restart"/>
            <w:vAlign w:val="center"/>
          </w:tcPr>
          <w:p w14:paraId="6BF6E76A">
            <w:pPr>
              <w:spacing w:line="360" w:lineRule="exact"/>
              <w:ind w:firstLine="0" w:firstLineChars="0"/>
              <w:jc w:val="center"/>
              <w:rPr>
                <w:rFonts w:cs="宋体"/>
                <w:sz w:val="21"/>
                <w:szCs w:val="21"/>
              </w:rPr>
            </w:pPr>
            <w:r>
              <w:rPr>
                <w:rFonts w:cs="宋体"/>
                <w:sz w:val="21"/>
                <w:szCs w:val="21"/>
              </w:rPr>
              <w:t>病死</w:t>
            </w:r>
            <w:r>
              <w:rPr>
                <w:rFonts w:hint="eastAsia" w:cs="宋体"/>
                <w:sz w:val="21"/>
                <w:szCs w:val="21"/>
              </w:rPr>
              <w:t>骆驼</w:t>
            </w:r>
          </w:p>
        </w:tc>
        <w:tc>
          <w:tcPr>
            <w:tcW w:w="2100" w:type="pct"/>
            <w:vMerge w:val="restart"/>
            <w:vAlign w:val="center"/>
          </w:tcPr>
          <w:p w14:paraId="7A18BF9F">
            <w:pPr>
              <w:spacing w:line="360" w:lineRule="exact"/>
              <w:ind w:firstLine="0" w:firstLineChars="0"/>
              <w:jc w:val="center"/>
              <w:rPr>
                <w:rFonts w:cs="宋体"/>
                <w:sz w:val="21"/>
                <w:szCs w:val="21"/>
              </w:rPr>
            </w:pPr>
            <w:r>
              <w:rPr>
                <w:rFonts w:hint="eastAsia" w:cs="宋体"/>
                <w:sz w:val="21"/>
                <w:szCs w:val="21"/>
              </w:rPr>
              <w:t>外委第三方处置</w:t>
            </w:r>
          </w:p>
        </w:tc>
        <w:tc>
          <w:tcPr>
            <w:tcW w:w="585" w:type="pct"/>
            <w:vMerge w:val="restart"/>
            <w:vAlign w:val="center"/>
          </w:tcPr>
          <w:p w14:paraId="227C292E">
            <w:pPr>
              <w:spacing w:line="360" w:lineRule="exact"/>
              <w:ind w:firstLine="0" w:firstLineChars="0"/>
              <w:jc w:val="center"/>
              <w:rPr>
                <w:sz w:val="21"/>
                <w:szCs w:val="21"/>
              </w:rPr>
            </w:pPr>
            <w:r>
              <w:rPr>
                <w:rFonts w:hint="eastAsia"/>
                <w:sz w:val="21"/>
                <w:szCs w:val="21"/>
              </w:rPr>
              <w:t>15</w:t>
            </w:r>
          </w:p>
        </w:tc>
        <w:tc>
          <w:tcPr>
            <w:tcW w:w="820" w:type="pct"/>
            <w:vMerge w:val="restart"/>
            <w:vAlign w:val="center"/>
          </w:tcPr>
          <w:p w14:paraId="10448B47">
            <w:pPr>
              <w:spacing w:line="360" w:lineRule="exact"/>
              <w:ind w:firstLine="0" w:firstLineChars="0"/>
              <w:jc w:val="center"/>
              <w:rPr>
                <w:sz w:val="21"/>
              </w:rPr>
            </w:pPr>
          </w:p>
        </w:tc>
      </w:tr>
      <w:tr w14:paraId="2CA6C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10" w:type="pct"/>
            <w:vAlign w:val="center"/>
          </w:tcPr>
          <w:p w14:paraId="7E8D0B01">
            <w:pPr>
              <w:spacing w:line="360" w:lineRule="exact"/>
              <w:ind w:firstLine="0" w:firstLineChars="0"/>
              <w:jc w:val="center"/>
              <w:rPr>
                <w:sz w:val="21"/>
                <w:szCs w:val="21"/>
              </w:rPr>
            </w:pPr>
            <w:r>
              <w:rPr>
                <w:sz w:val="21"/>
                <w:szCs w:val="21"/>
              </w:rPr>
              <w:t>4</w:t>
            </w:r>
          </w:p>
        </w:tc>
        <w:tc>
          <w:tcPr>
            <w:tcW w:w="418" w:type="pct"/>
            <w:vMerge w:val="continue"/>
            <w:tcBorders>
              <w:top w:val="nil"/>
              <w:bottom w:val="nil"/>
            </w:tcBorders>
            <w:vAlign w:val="center"/>
          </w:tcPr>
          <w:p w14:paraId="03EC13A9">
            <w:pPr>
              <w:spacing w:line="360" w:lineRule="exact"/>
              <w:ind w:firstLine="0" w:firstLineChars="0"/>
              <w:jc w:val="center"/>
              <w:rPr>
                <w:sz w:val="21"/>
              </w:rPr>
            </w:pPr>
          </w:p>
        </w:tc>
        <w:tc>
          <w:tcPr>
            <w:tcW w:w="764" w:type="pct"/>
            <w:vMerge w:val="continue"/>
            <w:vAlign w:val="center"/>
          </w:tcPr>
          <w:p w14:paraId="12BAFC42">
            <w:pPr>
              <w:spacing w:line="360" w:lineRule="exact"/>
              <w:ind w:firstLine="0" w:firstLineChars="0"/>
              <w:jc w:val="center"/>
              <w:rPr>
                <w:rFonts w:cs="宋体"/>
                <w:sz w:val="21"/>
                <w:szCs w:val="21"/>
              </w:rPr>
            </w:pPr>
          </w:p>
        </w:tc>
        <w:tc>
          <w:tcPr>
            <w:tcW w:w="2100" w:type="pct"/>
            <w:vMerge w:val="continue"/>
            <w:vAlign w:val="center"/>
          </w:tcPr>
          <w:p w14:paraId="2A6C3CDB">
            <w:pPr>
              <w:spacing w:line="360" w:lineRule="exact"/>
              <w:ind w:firstLine="0" w:firstLineChars="0"/>
              <w:jc w:val="center"/>
              <w:rPr>
                <w:sz w:val="21"/>
                <w:szCs w:val="14"/>
              </w:rPr>
            </w:pPr>
          </w:p>
        </w:tc>
        <w:tc>
          <w:tcPr>
            <w:tcW w:w="585" w:type="pct"/>
            <w:vMerge w:val="continue"/>
            <w:vAlign w:val="center"/>
          </w:tcPr>
          <w:p w14:paraId="15675EF9">
            <w:pPr>
              <w:spacing w:line="360" w:lineRule="exact"/>
              <w:ind w:firstLine="0" w:firstLineChars="0"/>
              <w:jc w:val="center"/>
              <w:rPr>
                <w:sz w:val="21"/>
                <w:szCs w:val="21"/>
              </w:rPr>
            </w:pPr>
          </w:p>
        </w:tc>
        <w:tc>
          <w:tcPr>
            <w:tcW w:w="820" w:type="pct"/>
            <w:vMerge w:val="continue"/>
            <w:vAlign w:val="center"/>
          </w:tcPr>
          <w:p w14:paraId="39B33FE3">
            <w:pPr>
              <w:spacing w:line="360" w:lineRule="exact"/>
              <w:ind w:firstLine="0" w:firstLineChars="0"/>
              <w:jc w:val="center"/>
              <w:rPr>
                <w:sz w:val="21"/>
              </w:rPr>
            </w:pPr>
          </w:p>
        </w:tc>
      </w:tr>
      <w:tr w14:paraId="4A83C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10" w:type="pct"/>
            <w:vAlign w:val="center"/>
          </w:tcPr>
          <w:p w14:paraId="145E1E7E">
            <w:pPr>
              <w:spacing w:line="360" w:lineRule="exact"/>
              <w:ind w:firstLine="0" w:firstLineChars="0"/>
              <w:jc w:val="center"/>
              <w:rPr>
                <w:sz w:val="21"/>
                <w:szCs w:val="21"/>
              </w:rPr>
            </w:pPr>
            <w:r>
              <w:rPr>
                <w:sz w:val="21"/>
                <w:szCs w:val="21"/>
              </w:rPr>
              <w:t>5</w:t>
            </w:r>
          </w:p>
        </w:tc>
        <w:tc>
          <w:tcPr>
            <w:tcW w:w="418" w:type="pct"/>
            <w:vMerge w:val="continue"/>
            <w:tcBorders>
              <w:top w:val="nil"/>
            </w:tcBorders>
            <w:vAlign w:val="center"/>
          </w:tcPr>
          <w:p w14:paraId="79C490AD">
            <w:pPr>
              <w:spacing w:line="360" w:lineRule="exact"/>
              <w:ind w:firstLine="0" w:firstLineChars="0"/>
              <w:jc w:val="center"/>
              <w:rPr>
                <w:sz w:val="21"/>
              </w:rPr>
            </w:pPr>
          </w:p>
        </w:tc>
        <w:tc>
          <w:tcPr>
            <w:tcW w:w="764" w:type="pct"/>
            <w:vAlign w:val="center"/>
          </w:tcPr>
          <w:p w14:paraId="04EF32F0">
            <w:pPr>
              <w:spacing w:line="360" w:lineRule="exact"/>
              <w:ind w:firstLine="0" w:firstLineChars="0"/>
              <w:jc w:val="center"/>
              <w:rPr>
                <w:rFonts w:cs="宋体"/>
                <w:sz w:val="21"/>
                <w:szCs w:val="21"/>
              </w:rPr>
            </w:pPr>
            <w:r>
              <w:rPr>
                <w:rFonts w:cs="宋体"/>
                <w:sz w:val="21"/>
                <w:szCs w:val="21"/>
              </w:rPr>
              <w:t>生活垃圾</w:t>
            </w:r>
          </w:p>
        </w:tc>
        <w:tc>
          <w:tcPr>
            <w:tcW w:w="2100" w:type="pct"/>
            <w:vAlign w:val="center"/>
          </w:tcPr>
          <w:p w14:paraId="6781DEDA">
            <w:pPr>
              <w:spacing w:line="360" w:lineRule="exact"/>
              <w:ind w:firstLine="0" w:firstLineChars="0"/>
              <w:jc w:val="center"/>
              <w:rPr>
                <w:rFonts w:cs="宋体"/>
                <w:sz w:val="21"/>
                <w:szCs w:val="21"/>
              </w:rPr>
            </w:pPr>
            <w:r>
              <w:rPr>
                <w:rFonts w:cs="宋体"/>
                <w:sz w:val="21"/>
                <w:szCs w:val="21"/>
              </w:rPr>
              <w:t>厂区设置垃圾桶，集中收集后交环卫部门统一处理</w:t>
            </w:r>
          </w:p>
        </w:tc>
        <w:tc>
          <w:tcPr>
            <w:tcW w:w="585" w:type="pct"/>
            <w:vAlign w:val="center"/>
          </w:tcPr>
          <w:p w14:paraId="7C4F3DD7">
            <w:pPr>
              <w:spacing w:line="360" w:lineRule="exact"/>
              <w:ind w:firstLine="0" w:firstLineChars="0"/>
              <w:jc w:val="center"/>
              <w:rPr>
                <w:sz w:val="21"/>
                <w:szCs w:val="21"/>
              </w:rPr>
            </w:pPr>
            <w:r>
              <w:rPr>
                <w:rFonts w:hint="eastAsia"/>
                <w:sz w:val="21"/>
                <w:szCs w:val="21"/>
              </w:rPr>
              <w:t>0.5</w:t>
            </w:r>
          </w:p>
        </w:tc>
        <w:tc>
          <w:tcPr>
            <w:tcW w:w="820" w:type="pct"/>
            <w:vAlign w:val="center"/>
          </w:tcPr>
          <w:p w14:paraId="0704497C">
            <w:pPr>
              <w:spacing w:line="360" w:lineRule="exact"/>
              <w:ind w:firstLine="0" w:firstLineChars="0"/>
              <w:jc w:val="center"/>
              <w:rPr>
                <w:sz w:val="21"/>
              </w:rPr>
            </w:pPr>
          </w:p>
        </w:tc>
      </w:tr>
      <w:tr w14:paraId="7707D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10" w:type="pct"/>
            <w:vAlign w:val="center"/>
          </w:tcPr>
          <w:p w14:paraId="3D989D8B">
            <w:pPr>
              <w:spacing w:line="360" w:lineRule="exact"/>
              <w:ind w:firstLine="0" w:firstLineChars="0"/>
              <w:jc w:val="center"/>
              <w:rPr>
                <w:sz w:val="21"/>
                <w:szCs w:val="21"/>
              </w:rPr>
            </w:pPr>
            <w:r>
              <w:rPr>
                <w:sz w:val="21"/>
                <w:szCs w:val="21"/>
              </w:rPr>
              <w:t>6</w:t>
            </w:r>
          </w:p>
        </w:tc>
        <w:tc>
          <w:tcPr>
            <w:tcW w:w="418" w:type="pct"/>
            <w:vAlign w:val="center"/>
          </w:tcPr>
          <w:p w14:paraId="22E0A38E">
            <w:pPr>
              <w:spacing w:line="360" w:lineRule="exact"/>
              <w:ind w:firstLine="0" w:firstLineChars="0"/>
              <w:jc w:val="center"/>
              <w:rPr>
                <w:rFonts w:cs="宋体"/>
                <w:sz w:val="21"/>
                <w:szCs w:val="21"/>
              </w:rPr>
            </w:pPr>
            <w:r>
              <w:rPr>
                <w:rFonts w:cs="宋体"/>
                <w:sz w:val="21"/>
                <w:szCs w:val="21"/>
              </w:rPr>
              <w:t>噪声</w:t>
            </w:r>
          </w:p>
        </w:tc>
        <w:tc>
          <w:tcPr>
            <w:tcW w:w="764" w:type="pct"/>
            <w:vAlign w:val="center"/>
          </w:tcPr>
          <w:p w14:paraId="1EEF520F">
            <w:pPr>
              <w:spacing w:line="360" w:lineRule="exact"/>
              <w:ind w:firstLine="0" w:firstLineChars="0"/>
              <w:jc w:val="center"/>
              <w:rPr>
                <w:rFonts w:cs="宋体"/>
                <w:sz w:val="21"/>
                <w:szCs w:val="21"/>
              </w:rPr>
            </w:pPr>
            <w:r>
              <w:rPr>
                <w:rFonts w:cs="宋体"/>
                <w:sz w:val="21"/>
                <w:szCs w:val="21"/>
              </w:rPr>
              <w:t>设备噪声</w:t>
            </w:r>
          </w:p>
        </w:tc>
        <w:tc>
          <w:tcPr>
            <w:tcW w:w="2100" w:type="pct"/>
            <w:vAlign w:val="center"/>
          </w:tcPr>
          <w:p w14:paraId="5E2BCA43">
            <w:pPr>
              <w:spacing w:line="360" w:lineRule="exact"/>
              <w:ind w:firstLine="0" w:firstLineChars="0"/>
              <w:jc w:val="center"/>
              <w:rPr>
                <w:rFonts w:cs="宋体"/>
                <w:sz w:val="21"/>
                <w:szCs w:val="21"/>
              </w:rPr>
            </w:pPr>
            <w:r>
              <w:rPr>
                <w:rFonts w:cs="宋体"/>
                <w:sz w:val="21"/>
                <w:szCs w:val="21"/>
              </w:rPr>
              <w:t>合理布局，选用低噪声设备、减振、厂房隔声等</w:t>
            </w:r>
          </w:p>
        </w:tc>
        <w:tc>
          <w:tcPr>
            <w:tcW w:w="585" w:type="pct"/>
            <w:vAlign w:val="center"/>
          </w:tcPr>
          <w:p w14:paraId="50FB4AC0">
            <w:pPr>
              <w:spacing w:line="360" w:lineRule="exact"/>
              <w:ind w:firstLine="0" w:firstLineChars="0"/>
              <w:jc w:val="center"/>
              <w:rPr>
                <w:sz w:val="21"/>
                <w:szCs w:val="21"/>
              </w:rPr>
            </w:pPr>
            <w:r>
              <w:rPr>
                <w:sz w:val="21"/>
                <w:szCs w:val="21"/>
              </w:rPr>
              <w:t>15</w:t>
            </w:r>
          </w:p>
        </w:tc>
        <w:tc>
          <w:tcPr>
            <w:tcW w:w="820" w:type="pct"/>
            <w:vAlign w:val="center"/>
          </w:tcPr>
          <w:p w14:paraId="536F7C7E">
            <w:pPr>
              <w:spacing w:line="360" w:lineRule="exact"/>
              <w:ind w:firstLine="0" w:firstLineChars="0"/>
              <w:jc w:val="center"/>
              <w:rPr>
                <w:sz w:val="21"/>
              </w:rPr>
            </w:pPr>
          </w:p>
        </w:tc>
      </w:tr>
      <w:tr w14:paraId="6A810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0" w:type="pct"/>
            <w:vAlign w:val="center"/>
          </w:tcPr>
          <w:p w14:paraId="0302A6DF">
            <w:pPr>
              <w:spacing w:line="360" w:lineRule="exact"/>
              <w:ind w:firstLine="0" w:firstLineChars="0"/>
              <w:jc w:val="center"/>
              <w:rPr>
                <w:sz w:val="21"/>
                <w:szCs w:val="21"/>
              </w:rPr>
            </w:pPr>
            <w:r>
              <w:rPr>
                <w:sz w:val="21"/>
                <w:szCs w:val="21"/>
              </w:rPr>
              <w:t>7</w:t>
            </w:r>
          </w:p>
        </w:tc>
        <w:tc>
          <w:tcPr>
            <w:tcW w:w="1182" w:type="pct"/>
            <w:gridSpan w:val="2"/>
            <w:vAlign w:val="center"/>
          </w:tcPr>
          <w:p w14:paraId="17C86DD7">
            <w:pPr>
              <w:spacing w:line="360" w:lineRule="exact"/>
              <w:ind w:firstLine="0" w:firstLineChars="0"/>
              <w:jc w:val="center"/>
              <w:rPr>
                <w:rFonts w:cs="宋体"/>
                <w:sz w:val="21"/>
                <w:szCs w:val="21"/>
              </w:rPr>
            </w:pPr>
            <w:r>
              <w:rPr>
                <w:rFonts w:cs="宋体"/>
                <w:sz w:val="21"/>
                <w:szCs w:val="21"/>
              </w:rPr>
              <w:t>绿化</w:t>
            </w:r>
          </w:p>
        </w:tc>
        <w:tc>
          <w:tcPr>
            <w:tcW w:w="2100" w:type="pct"/>
            <w:vAlign w:val="center"/>
          </w:tcPr>
          <w:p w14:paraId="7F2A86C1">
            <w:pPr>
              <w:spacing w:line="360" w:lineRule="exact"/>
              <w:ind w:firstLine="0" w:firstLineChars="0"/>
              <w:jc w:val="center"/>
              <w:rPr>
                <w:rFonts w:cs="宋体"/>
                <w:sz w:val="21"/>
                <w:szCs w:val="21"/>
              </w:rPr>
            </w:pPr>
            <w:r>
              <w:rPr>
                <w:rFonts w:cs="宋体"/>
                <w:sz w:val="21"/>
                <w:szCs w:val="21"/>
              </w:rPr>
              <w:t>在厂区空地植树种草</w:t>
            </w:r>
          </w:p>
        </w:tc>
        <w:tc>
          <w:tcPr>
            <w:tcW w:w="585" w:type="pct"/>
            <w:vAlign w:val="center"/>
          </w:tcPr>
          <w:p w14:paraId="1D808D0E">
            <w:pPr>
              <w:spacing w:line="360" w:lineRule="exact"/>
              <w:ind w:firstLine="0" w:firstLineChars="0"/>
              <w:jc w:val="center"/>
              <w:rPr>
                <w:sz w:val="21"/>
                <w:szCs w:val="21"/>
              </w:rPr>
            </w:pPr>
            <w:r>
              <w:rPr>
                <w:sz w:val="21"/>
                <w:szCs w:val="21"/>
              </w:rPr>
              <w:t>10</w:t>
            </w:r>
          </w:p>
        </w:tc>
        <w:tc>
          <w:tcPr>
            <w:tcW w:w="820" w:type="pct"/>
            <w:vAlign w:val="center"/>
          </w:tcPr>
          <w:p w14:paraId="67B01E23">
            <w:pPr>
              <w:spacing w:line="360" w:lineRule="exact"/>
              <w:ind w:firstLine="0" w:firstLineChars="0"/>
              <w:jc w:val="center"/>
              <w:rPr>
                <w:sz w:val="21"/>
              </w:rPr>
            </w:pPr>
          </w:p>
        </w:tc>
      </w:tr>
      <w:tr w14:paraId="43CD5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5" w:hRule="atLeast"/>
          <w:jc w:val="center"/>
        </w:trPr>
        <w:tc>
          <w:tcPr>
            <w:tcW w:w="310" w:type="pct"/>
            <w:vAlign w:val="center"/>
          </w:tcPr>
          <w:p w14:paraId="73CBE712">
            <w:pPr>
              <w:spacing w:line="360" w:lineRule="exact"/>
              <w:ind w:firstLine="0" w:firstLineChars="0"/>
              <w:jc w:val="center"/>
              <w:rPr>
                <w:sz w:val="21"/>
                <w:szCs w:val="21"/>
              </w:rPr>
            </w:pPr>
            <w:r>
              <w:rPr>
                <w:sz w:val="21"/>
                <w:szCs w:val="21"/>
              </w:rPr>
              <w:t>8</w:t>
            </w:r>
          </w:p>
        </w:tc>
        <w:tc>
          <w:tcPr>
            <w:tcW w:w="418" w:type="pct"/>
            <w:vAlign w:val="center"/>
          </w:tcPr>
          <w:p w14:paraId="706C99EB">
            <w:pPr>
              <w:spacing w:line="360" w:lineRule="exact"/>
              <w:ind w:firstLine="0" w:firstLineChars="0"/>
              <w:jc w:val="center"/>
              <w:rPr>
                <w:rFonts w:cs="宋体"/>
                <w:sz w:val="21"/>
                <w:szCs w:val="21"/>
              </w:rPr>
            </w:pPr>
            <w:r>
              <w:rPr>
                <w:rFonts w:cs="宋体"/>
                <w:sz w:val="21"/>
                <w:szCs w:val="21"/>
              </w:rPr>
              <w:t>地下水及土壤防治</w:t>
            </w:r>
          </w:p>
        </w:tc>
        <w:tc>
          <w:tcPr>
            <w:tcW w:w="764" w:type="pct"/>
            <w:vAlign w:val="center"/>
          </w:tcPr>
          <w:p w14:paraId="1159BA4B">
            <w:pPr>
              <w:spacing w:line="360" w:lineRule="exact"/>
              <w:ind w:firstLine="0" w:firstLineChars="0"/>
              <w:jc w:val="center"/>
              <w:rPr>
                <w:rFonts w:cs="宋体"/>
                <w:sz w:val="21"/>
                <w:szCs w:val="21"/>
              </w:rPr>
            </w:pPr>
            <w:r>
              <w:rPr>
                <w:rFonts w:cs="宋体"/>
                <w:sz w:val="21"/>
                <w:szCs w:val="21"/>
              </w:rPr>
              <w:t>防渗工程</w:t>
            </w:r>
          </w:p>
        </w:tc>
        <w:tc>
          <w:tcPr>
            <w:tcW w:w="2100" w:type="pct"/>
            <w:vAlign w:val="center"/>
          </w:tcPr>
          <w:p w14:paraId="3A4C94B5">
            <w:pPr>
              <w:spacing w:line="360" w:lineRule="exact"/>
              <w:ind w:firstLine="0" w:firstLineChars="0"/>
              <w:jc w:val="center"/>
              <w:rPr>
                <w:rFonts w:cs="宋体"/>
                <w:sz w:val="21"/>
                <w:szCs w:val="21"/>
              </w:rPr>
            </w:pPr>
            <w:r>
              <w:rPr>
                <w:rFonts w:cs="宋体"/>
                <w:sz w:val="21"/>
                <w:szCs w:val="21"/>
              </w:rPr>
              <w:t>根据</w:t>
            </w:r>
            <w:r>
              <w:rPr>
                <w:sz w:val="21"/>
                <w:szCs w:val="21"/>
              </w:rPr>
              <w:t>HJ610-2016</w:t>
            </w:r>
            <w:r>
              <w:rPr>
                <w:rFonts w:cs="宋体"/>
                <w:sz w:val="21"/>
                <w:szCs w:val="21"/>
              </w:rPr>
              <w:t>《环境影响评价技</w:t>
            </w:r>
          </w:p>
          <w:p w14:paraId="26F1A5D8">
            <w:pPr>
              <w:spacing w:line="360" w:lineRule="exact"/>
              <w:ind w:firstLine="0" w:firstLineChars="0"/>
              <w:jc w:val="center"/>
              <w:rPr>
                <w:rFonts w:cs="宋体"/>
                <w:sz w:val="21"/>
                <w:szCs w:val="21"/>
              </w:rPr>
            </w:pPr>
            <w:r>
              <w:rPr>
                <w:rFonts w:cs="宋体"/>
                <w:sz w:val="21"/>
                <w:szCs w:val="21"/>
              </w:rPr>
              <w:t>术导则地下水环境》及</w:t>
            </w:r>
            <w:r>
              <w:rPr>
                <w:sz w:val="21"/>
                <w:szCs w:val="21"/>
              </w:rPr>
              <w:t>GB18597-2001</w:t>
            </w:r>
            <w:r>
              <w:rPr>
                <w:rFonts w:cs="宋体"/>
                <w:sz w:val="21"/>
                <w:szCs w:val="21"/>
              </w:rPr>
              <w:t>《危险废物贮存污染控制标准》进行分区防渗，具体如下：重点防渗区包括：</w:t>
            </w:r>
            <w:r>
              <w:rPr>
                <w:rFonts w:hint="eastAsia" w:cs="宋体"/>
                <w:sz w:val="21"/>
                <w:szCs w:val="21"/>
              </w:rPr>
              <w:t>堆肥场。</w:t>
            </w:r>
            <w:r>
              <w:rPr>
                <w:rFonts w:cs="宋体"/>
                <w:sz w:val="21"/>
                <w:szCs w:val="21"/>
              </w:rPr>
              <w:t>重点污染区各单元防渗层等效黏土防渗层</w:t>
            </w:r>
            <w:r>
              <w:rPr>
                <w:sz w:val="21"/>
                <w:szCs w:val="21"/>
              </w:rPr>
              <w:t>Mb≥6.0m</w:t>
            </w:r>
            <w:r>
              <w:rPr>
                <w:rFonts w:cs="宋体"/>
                <w:sz w:val="21"/>
                <w:szCs w:val="21"/>
              </w:rPr>
              <w:t>，渗透系数</w:t>
            </w:r>
            <w:r>
              <w:rPr>
                <w:sz w:val="21"/>
                <w:szCs w:val="21"/>
              </w:rPr>
              <w:t>≤10</w:t>
            </w:r>
            <w:r>
              <w:rPr>
                <w:sz w:val="21"/>
                <w:szCs w:val="21"/>
                <w:vertAlign w:val="superscript"/>
              </w:rPr>
              <w:t>-7</w:t>
            </w:r>
            <w:r>
              <w:rPr>
                <w:sz w:val="21"/>
                <w:szCs w:val="21"/>
              </w:rPr>
              <w:t>cm/s</w:t>
            </w:r>
            <w:r>
              <w:rPr>
                <w:rFonts w:hint="eastAsia" w:cs="宋体"/>
                <w:sz w:val="21"/>
                <w:szCs w:val="21"/>
              </w:rPr>
              <w:t>。堆肥场</w:t>
            </w:r>
            <w:r>
              <w:rPr>
                <w:rFonts w:cs="宋体"/>
                <w:sz w:val="21"/>
                <w:szCs w:val="21"/>
              </w:rPr>
              <w:t>混凝土地面采用混凝土防渗、</w:t>
            </w:r>
            <w:r>
              <w:rPr>
                <w:sz w:val="21"/>
                <w:szCs w:val="21"/>
              </w:rPr>
              <w:t>HDPE</w:t>
            </w:r>
            <w:r>
              <w:rPr>
                <w:rFonts w:cs="宋体"/>
                <w:sz w:val="21"/>
                <w:szCs w:val="21"/>
              </w:rPr>
              <w:t>膜防渗和钠基膨润土防水毯防渗层，确保等效黏土防渗层</w:t>
            </w:r>
            <w:r>
              <w:rPr>
                <w:sz w:val="21"/>
                <w:szCs w:val="21"/>
              </w:rPr>
              <w:t>Mb≥6.0m</w:t>
            </w:r>
            <w:r>
              <w:rPr>
                <w:rFonts w:cs="宋体"/>
                <w:sz w:val="21"/>
                <w:szCs w:val="21"/>
              </w:rPr>
              <w:t>，</w:t>
            </w:r>
            <w:r>
              <w:rPr>
                <w:sz w:val="21"/>
                <w:szCs w:val="21"/>
              </w:rPr>
              <w:t>K≤1×10-7cm/s</w:t>
            </w:r>
            <w:r>
              <w:rPr>
                <w:rFonts w:hint="eastAsia" w:cs="宋体"/>
                <w:sz w:val="21"/>
                <w:szCs w:val="21"/>
              </w:rPr>
              <w:t>。</w:t>
            </w:r>
            <w:r>
              <w:rPr>
                <w:rFonts w:cs="宋体"/>
                <w:sz w:val="21"/>
                <w:szCs w:val="21"/>
              </w:rPr>
              <w:t>一般防渗区包括：</w:t>
            </w:r>
            <w:r>
              <w:rPr>
                <w:rFonts w:hint="eastAsia" w:cs="宋体"/>
                <w:sz w:val="21"/>
                <w:szCs w:val="21"/>
              </w:rPr>
              <w:t>骆驼圈舍。</w:t>
            </w:r>
            <w:r>
              <w:rPr>
                <w:rFonts w:cs="宋体"/>
                <w:sz w:val="21"/>
                <w:szCs w:val="21"/>
              </w:rPr>
              <w:t>对一般防渗区采取的防渗措施：等效黏土防渗层</w:t>
            </w:r>
            <w:r>
              <w:rPr>
                <w:sz w:val="21"/>
                <w:szCs w:val="21"/>
              </w:rPr>
              <w:t>Mb≥1.5m</w:t>
            </w:r>
            <w:r>
              <w:rPr>
                <w:rFonts w:cs="宋体"/>
                <w:sz w:val="21"/>
                <w:szCs w:val="21"/>
              </w:rPr>
              <w:t>，</w:t>
            </w:r>
            <w:r>
              <w:rPr>
                <w:sz w:val="21"/>
                <w:szCs w:val="21"/>
              </w:rPr>
              <w:t>K≤1×10</w:t>
            </w:r>
            <w:r>
              <w:rPr>
                <w:sz w:val="21"/>
                <w:szCs w:val="21"/>
                <w:vertAlign w:val="superscript"/>
              </w:rPr>
              <w:t>-7</w:t>
            </w:r>
            <w:r>
              <w:rPr>
                <w:sz w:val="21"/>
                <w:szCs w:val="21"/>
              </w:rPr>
              <w:t>cm/s</w:t>
            </w:r>
            <w:r>
              <w:rPr>
                <w:rFonts w:cs="宋体"/>
                <w:sz w:val="21"/>
                <w:szCs w:val="21"/>
              </w:rPr>
              <w:t>，再在上层铺</w:t>
            </w:r>
            <w:r>
              <w:rPr>
                <w:sz w:val="21"/>
                <w:szCs w:val="21"/>
              </w:rPr>
              <w:t>10~15cm</w:t>
            </w:r>
            <w:r>
              <w:rPr>
                <w:rFonts w:cs="宋体"/>
                <w:sz w:val="21"/>
                <w:szCs w:val="21"/>
              </w:rPr>
              <w:t>水泥进行硬化</w:t>
            </w:r>
            <w:r>
              <w:rPr>
                <w:rFonts w:hint="eastAsia" w:cs="宋体"/>
                <w:sz w:val="21"/>
                <w:szCs w:val="21"/>
              </w:rPr>
              <w:t>。</w:t>
            </w:r>
            <w:r>
              <w:rPr>
                <w:rFonts w:cs="宋体"/>
                <w:sz w:val="21"/>
                <w:szCs w:val="21"/>
              </w:rPr>
              <w:t>简单防渗区：包括办公生活区等地面水泥硬化处理</w:t>
            </w:r>
            <w:r>
              <w:rPr>
                <w:rFonts w:hint="eastAsia" w:cs="宋体"/>
                <w:sz w:val="21"/>
                <w:szCs w:val="21"/>
              </w:rPr>
              <w:t>。</w:t>
            </w:r>
          </w:p>
        </w:tc>
        <w:tc>
          <w:tcPr>
            <w:tcW w:w="585" w:type="pct"/>
            <w:vAlign w:val="center"/>
          </w:tcPr>
          <w:p w14:paraId="1F740AE4">
            <w:pPr>
              <w:spacing w:line="360" w:lineRule="exact"/>
              <w:ind w:firstLine="0" w:firstLineChars="0"/>
              <w:jc w:val="center"/>
              <w:rPr>
                <w:sz w:val="21"/>
                <w:szCs w:val="21"/>
              </w:rPr>
            </w:pPr>
            <w:r>
              <w:rPr>
                <w:rFonts w:hint="eastAsia"/>
                <w:sz w:val="21"/>
                <w:szCs w:val="21"/>
              </w:rPr>
              <w:t>20</w:t>
            </w:r>
          </w:p>
        </w:tc>
        <w:tc>
          <w:tcPr>
            <w:tcW w:w="820" w:type="pct"/>
            <w:vAlign w:val="center"/>
          </w:tcPr>
          <w:p w14:paraId="41D281E1">
            <w:pPr>
              <w:spacing w:line="360" w:lineRule="exact"/>
              <w:ind w:firstLine="0" w:firstLineChars="0"/>
              <w:jc w:val="center"/>
              <w:rPr>
                <w:sz w:val="21"/>
              </w:rPr>
            </w:pPr>
          </w:p>
        </w:tc>
      </w:tr>
      <w:tr w14:paraId="0ADAB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92" w:type="pct"/>
            <w:gridSpan w:val="3"/>
            <w:vAlign w:val="center"/>
          </w:tcPr>
          <w:p w14:paraId="38CD8FD2">
            <w:pPr>
              <w:spacing w:line="360" w:lineRule="exact"/>
              <w:ind w:firstLine="0" w:firstLineChars="0"/>
              <w:jc w:val="center"/>
              <w:rPr>
                <w:rFonts w:cs="宋体"/>
                <w:sz w:val="21"/>
                <w:szCs w:val="21"/>
              </w:rPr>
            </w:pPr>
            <w:r>
              <w:rPr>
                <w:rFonts w:cs="宋体"/>
                <w:sz w:val="21"/>
                <w:szCs w:val="21"/>
              </w:rPr>
              <w:t>合计</w:t>
            </w:r>
          </w:p>
        </w:tc>
        <w:tc>
          <w:tcPr>
            <w:tcW w:w="2100" w:type="pct"/>
            <w:vAlign w:val="center"/>
          </w:tcPr>
          <w:p w14:paraId="41134162">
            <w:pPr>
              <w:spacing w:line="360" w:lineRule="exact"/>
              <w:ind w:firstLine="0" w:firstLineChars="0"/>
              <w:jc w:val="center"/>
              <w:rPr>
                <w:sz w:val="21"/>
              </w:rPr>
            </w:pPr>
          </w:p>
        </w:tc>
        <w:tc>
          <w:tcPr>
            <w:tcW w:w="585" w:type="pct"/>
            <w:vAlign w:val="center"/>
          </w:tcPr>
          <w:p w14:paraId="1AC01B21">
            <w:pPr>
              <w:spacing w:line="360" w:lineRule="exact"/>
              <w:ind w:firstLine="0" w:firstLineChars="0"/>
              <w:jc w:val="center"/>
              <w:rPr>
                <w:sz w:val="21"/>
                <w:szCs w:val="21"/>
              </w:rPr>
            </w:pPr>
            <w:r>
              <w:rPr>
                <w:rFonts w:hint="eastAsia"/>
                <w:sz w:val="21"/>
                <w:szCs w:val="21"/>
              </w:rPr>
              <w:t>70.5</w:t>
            </w:r>
          </w:p>
        </w:tc>
        <w:tc>
          <w:tcPr>
            <w:tcW w:w="820" w:type="pct"/>
            <w:vAlign w:val="center"/>
          </w:tcPr>
          <w:p w14:paraId="56DD8240">
            <w:pPr>
              <w:spacing w:line="360" w:lineRule="exact"/>
              <w:ind w:firstLine="0" w:firstLineChars="0"/>
              <w:jc w:val="center"/>
              <w:rPr>
                <w:sz w:val="21"/>
              </w:rPr>
            </w:pPr>
          </w:p>
        </w:tc>
      </w:tr>
    </w:tbl>
    <w:p w14:paraId="0315F532">
      <w:pPr>
        <w:pStyle w:val="5"/>
      </w:pPr>
      <w:bookmarkStart w:id="221" w:name="_Toc106663543"/>
      <w:r>
        <w:rPr>
          <w:rFonts w:hint="eastAsia"/>
        </w:rPr>
        <w:t>7.4.2环境效益分析</w:t>
      </w:r>
      <w:bookmarkEnd w:id="221"/>
    </w:p>
    <w:p w14:paraId="7C6C1F3B">
      <w:pPr>
        <w:ind w:firstLine="480"/>
      </w:pPr>
      <w:r>
        <w:t>总体来说，本项目生产运行后所产生的环境正面影响相对来说是较大的，这在环境影响预测评价中已经进行了详细评述</w:t>
      </w:r>
      <w:r>
        <w:rPr>
          <w:rFonts w:hint="eastAsia"/>
        </w:rPr>
        <w:t>。</w:t>
      </w:r>
      <w:r>
        <w:t>污染损失值以潜在损失值为主体，所含因素较多，难以完全量化估算，故本环评重点对所采取的污染防治措施的环境损益进行分析评述</w:t>
      </w:r>
      <w:r>
        <w:rPr>
          <w:rFonts w:hint="eastAsia"/>
        </w:rPr>
        <w:t>。</w:t>
      </w:r>
    </w:p>
    <w:p w14:paraId="5AF710BF">
      <w:pPr>
        <w:ind w:firstLine="480"/>
      </w:pPr>
      <w:r>
        <w:t>污染控制措施的经济损益包括两个方面：一是直接经济效益，二是间接经济效益</w:t>
      </w:r>
      <w:r>
        <w:rPr>
          <w:rFonts w:hint="eastAsia"/>
        </w:rPr>
        <w:t>。</w:t>
      </w:r>
      <w:r>
        <w:t>直接经济效益是指环保措施直接提供的产品价值</w:t>
      </w:r>
      <w:r>
        <w:rPr>
          <w:rFonts w:hint="eastAsia"/>
        </w:rPr>
        <w:t>（</w:t>
      </w:r>
      <w:r>
        <w:t>即内部效益</w:t>
      </w:r>
      <w:r>
        <w:rPr>
          <w:rFonts w:hint="eastAsia"/>
        </w:rPr>
        <w:t>）</w:t>
      </w:r>
      <w:r>
        <w:t>，间接经济效益是指污染物治理后所能减少的因污染带来的损失费用</w:t>
      </w:r>
      <w:r>
        <w:rPr>
          <w:rFonts w:hint="eastAsia"/>
        </w:rPr>
        <w:t>（</w:t>
      </w:r>
      <w:r>
        <w:t>即外部效益</w:t>
      </w:r>
      <w:r>
        <w:rPr>
          <w:rFonts w:hint="eastAsia"/>
        </w:rPr>
        <w:t>）。</w:t>
      </w:r>
      <w:r>
        <w:t>间接经济效益和损失是一个问题的两个方面，两者之间存在着互换关系，即环境污染使污染区域使用功能下降所造成的损失值，可以作为减少污染所得到的利益</w:t>
      </w:r>
      <w:r>
        <w:rPr>
          <w:rFonts w:hint="eastAsia"/>
        </w:rPr>
        <w:t>。</w:t>
      </w:r>
    </w:p>
    <w:p w14:paraId="534A58F6">
      <w:pPr>
        <w:ind w:firstLine="480"/>
      </w:pPr>
      <w:r>
        <w:t>本项目建成后，产生的</w:t>
      </w:r>
      <w:r>
        <w:rPr>
          <w:rFonts w:hint="eastAsia"/>
        </w:rPr>
        <w:t>骆驼</w:t>
      </w:r>
      <w:r>
        <w:t>粪</w:t>
      </w:r>
      <w:r>
        <w:rPr>
          <w:rFonts w:hint="eastAsia"/>
        </w:rPr>
        <w:t>处理后作为有机肥外售</w:t>
      </w:r>
      <w:r>
        <w:t>，由其负责定期清运工作，实现资源的综合利用</w:t>
      </w:r>
      <w:r>
        <w:rPr>
          <w:rFonts w:hint="eastAsia"/>
        </w:rPr>
        <w:t>。</w:t>
      </w:r>
    </w:p>
    <w:p w14:paraId="6643AC95">
      <w:pPr>
        <w:ind w:firstLine="480"/>
      </w:pPr>
      <w:r>
        <w:t>在此，间接经济效益是指因采取污染防治措施而避免或减缓环境影响而降低的环境经济损失</w:t>
      </w:r>
      <w:r>
        <w:rPr>
          <w:rFonts w:hint="eastAsia"/>
        </w:rPr>
        <w:t>。</w:t>
      </w:r>
      <w:r>
        <w:t>根据间接经济效益和损失可以互换的关系，本环评采用污染损失值反推因减少污染所得到的利益，进行环境经济损益分析</w:t>
      </w:r>
      <w:r>
        <w:rPr>
          <w:rFonts w:hint="eastAsia"/>
        </w:rPr>
        <w:t>。</w:t>
      </w:r>
    </w:p>
    <w:p w14:paraId="4D40BA74">
      <w:pPr>
        <w:ind w:firstLine="480"/>
      </w:pPr>
      <w:r>
        <w:t>从项目所处位置来看，如果本项目不加治理任意排放，会造成地表水、地下水质量下降，直接影响到项目区附近人群的生活</w:t>
      </w:r>
      <w:r>
        <w:rPr>
          <w:rFonts w:hint="eastAsia"/>
        </w:rPr>
        <w:t>。</w:t>
      </w:r>
      <w:r>
        <w:t>因此，本项目</w:t>
      </w:r>
      <w:r>
        <w:rPr>
          <w:rFonts w:hint="eastAsia"/>
        </w:rPr>
        <w:t>”</w:t>
      </w:r>
      <w:r>
        <w:t>三废</w:t>
      </w:r>
      <w:r>
        <w:rPr>
          <w:rFonts w:hint="eastAsia"/>
        </w:rPr>
        <w:t>”</w:t>
      </w:r>
      <w:r>
        <w:t>若不加治理的排放，所造成的经济损失十分巨大，从反面说明污染治理工程的间接效益巨大</w:t>
      </w:r>
      <w:r>
        <w:rPr>
          <w:rFonts w:hint="eastAsia"/>
        </w:rPr>
        <w:t>。</w:t>
      </w:r>
    </w:p>
    <w:p w14:paraId="473DC450">
      <w:pPr>
        <w:pStyle w:val="4"/>
      </w:pPr>
      <w:bookmarkStart w:id="222" w:name="_Toc89619355"/>
      <w:bookmarkStart w:id="223" w:name="_Toc24143"/>
      <w:r>
        <w:rPr>
          <w:rFonts w:hint="eastAsia"/>
        </w:rPr>
        <w:t>7.5小结</w:t>
      </w:r>
      <w:bookmarkEnd w:id="222"/>
      <w:bookmarkEnd w:id="223"/>
    </w:p>
    <w:p w14:paraId="27A1188A">
      <w:pPr>
        <w:ind w:firstLine="480"/>
      </w:pPr>
      <w:r>
        <w:t>综上分析，本项目的实施在促进地方经济发展的同时又具有良好的社会效益</w:t>
      </w:r>
      <w:r>
        <w:rPr>
          <w:rFonts w:hint="eastAsia"/>
        </w:rPr>
        <w:t>。</w:t>
      </w:r>
      <w:r>
        <w:t>该项目市场前景良好，能促进当地经济的发展，将为周围群众扩大就业机会，能提高群众的生活质量，所以从社会经济角度看是可行的</w:t>
      </w:r>
      <w:r>
        <w:rPr>
          <w:rFonts w:hint="eastAsia"/>
        </w:rPr>
        <w:t>。</w:t>
      </w:r>
      <w:r>
        <w:t>同时，项目在保证环保投资的前提下，能够实现达标排放，环境效益比较明显，因此从环境经济角度来看也是合理可行的</w:t>
      </w:r>
      <w:r>
        <w:rPr>
          <w:rFonts w:hint="eastAsia"/>
        </w:rPr>
        <w:t>。</w:t>
      </w:r>
      <w:r>
        <w:t>本项目具有较好的经济效益、社会效益和环境效益</w:t>
      </w:r>
      <w:r>
        <w:rPr>
          <w:rFonts w:hint="eastAsia"/>
        </w:rPr>
        <w:t>。</w:t>
      </w:r>
    </w:p>
    <w:p w14:paraId="78D6D4F5">
      <w:pPr>
        <w:tabs>
          <w:tab w:val="center" w:pos="4393"/>
        </w:tabs>
        <w:ind w:firstLine="480"/>
        <w:sectPr>
          <w:footerReference r:id="rId30" w:type="default"/>
          <w:pgSz w:w="11906" w:h="16838"/>
          <w:pgMar w:top="1440" w:right="1800" w:bottom="1440" w:left="1800" w:header="851" w:footer="720" w:gutter="0"/>
          <w:pgBorders>
            <w:top w:val="none" w:sz="0" w:space="0"/>
            <w:left w:val="none" w:sz="0" w:space="0"/>
            <w:bottom w:val="none" w:sz="0" w:space="0"/>
            <w:right w:val="none" w:sz="0" w:space="0"/>
          </w:pgBorders>
          <w:cols w:space="425" w:num="1"/>
          <w:docGrid w:type="lines" w:linePitch="326" w:charSpace="0"/>
        </w:sectPr>
      </w:pPr>
      <w:r>
        <w:tab/>
      </w:r>
    </w:p>
    <w:p w14:paraId="63BAEF58">
      <w:pPr>
        <w:pStyle w:val="3"/>
      </w:pPr>
      <w:bookmarkStart w:id="224" w:name="_Toc31169"/>
      <w:bookmarkStart w:id="225" w:name="_Toc89619356"/>
      <w:r>
        <w:rPr>
          <w:rFonts w:hint="eastAsia"/>
        </w:rPr>
        <w:t>8</w:t>
      </w:r>
      <w:r>
        <w:t>、环境管理与</w:t>
      </w:r>
      <w:r>
        <w:rPr>
          <w:rFonts w:hint="eastAsia"/>
        </w:rPr>
        <w:t>环境</w:t>
      </w:r>
      <w:r>
        <w:t>监测计划</w:t>
      </w:r>
      <w:bookmarkEnd w:id="224"/>
      <w:bookmarkEnd w:id="225"/>
    </w:p>
    <w:p w14:paraId="157CEF05">
      <w:pPr>
        <w:pStyle w:val="4"/>
      </w:pPr>
      <w:bookmarkStart w:id="226" w:name="_Toc89619357"/>
      <w:bookmarkStart w:id="227" w:name="_Toc27120"/>
      <w:bookmarkStart w:id="228" w:name="_Toc117518136"/>
      <w:bookmarkStart w:id="229" w:name="_Toc117518382"/>
      <w:bookmarkStart w:id="230" w:name="_Toc265225833"/>
      <w:bookmarkStart w:id="231" w:name="_Toc370052948"/>
      <w:bookmarkStart w:id="232" w:name="_Toc265225645"/>
      <w:bookmarkStart w:id="233" w:name="_Toc117518577"/>
      <w:bookmarkStart w:id="234" w:name="_Toc117518217"/>
      <w:bookmarkStart w:id="235" w:name="_Toc117518302"/>
      <w:bookmarkStart w:id="236" w:name="_Toc304234029"/>
      <w:bookmarkStart w:id="237" w:name="_Toc269723052"/>
      <w:bookmarkStart w:id="238" w:name="_Toc117517872"/>
      <w:bookmarkStart w:id="239" w:name="_Toc23478"/>
      <w:bookmarkStart w:id="240" w:name="_Toc273384091"/>
      <w:r>
        <w:rPr>
          <w:rFonts w:hint="eastAsia"/>
        </w:rPr>
        <w:t>8.1环境管理</w:t>
      </w:r>
      <w:bookmarkEnd w:id="226"/>
      <w:bookmarkEnd w:id="227"/>
    </w:p>
    <w:p w14:paraId="74EA4371">
      <w:pPr>
        <w:ind w:firstLine="480"/>
      </w:pPr>
      <w:bookmarkStart w:id="241" w:name="_Toc9027"/>
      <w:r>
        <w:rPr>
          <w:rFonts w:hint="eastAsia"/>
        </w:rPr>
        <w:t>环境管理是指建设单位、设计单位和施工单位在工程的可行性研究、工程设计、建设期和运行期必须遵守国家、省市的有关环境保护法规、政策、标准，落实环境影响评价报告中拟定采取的减缓措施，并确保环境保护设施处于正常运行状态。环境管理计划制定出机构的能力建设、执行各项防治措施的职责、实施进度、监测内容和报告程序，以及资金投入和来源等内容。在工程建设期和运行期，接受地方生态环境主管部门的监督和指导，并配合生态环境主管部门完成对工程建设的”三同时”审查</w:t>
      </w:r>
      <w:bookmarkEnd w:id="241"/>
      <w:r>
        <w:rPr>
          <w:rFonts w:hint="eastAsia"/>
        </w:rPr>
        <w:t>。</w:t>
      </w:r>
    </w:p>
    <w:p w14:paraId="5A2A41D5">
      <w:pPr>
        <w:pStyle w:val="5"/>
      </w:pPr>
      <w:bookmarkStart w:id="242" w:name="_Toc106663547"/>
      <w:bookmarkStart w:id="243" w:name="_Toc9564"/>
      <w:r>
        <w:rPr>
          <w:rFonts w:hint="eastAsia"/>
        </w:rPr>
        <w:t>8.1.1设置环境管理机构</w:t>
      </w:r>
      <w:bookmarkEnd w:id="242"/>
      <w:bookmarkEnd w:id="243"/>
    </w:p>
    <w:p w14:paraId="222C64EB">
      <w:pPr>
        <w:ind w:firstLine="480"/>
      </w:pPr>
      <w:bookmarkStart w:id="244" w:name="_Toc29128"/>
      <w:r>
        <w:rPr>
          <w:rFonts w:hint="eastAsia"/>
        </w:rPr>
        <w:t>厂区内设置专门的安全生产、环境保护与事故应急管理机构（环保处），并设置专职环保人员负责环境管理、环境监测和事故应急处理。环保处设置专职处长1名，直接向企业领导负责，统一负责管理、组织、落实、监督企业的环境保护工作。厂区内设置兼职环保人员，承担各级环境管理职责，并向环保处负责</w:t>
      </w:r>
      <w:bookmarkEnd w:id="244"/>
      <w:r>
        <w:rPr>
          <w:rFonts w:hint="eastAsia"/>
        </w:rPr>
        <w:t>。</w:t>
      </w:r>
    </w:p>
    <w:p w14:paraId="1C284B5D">
      <w:pPr>
        <w:ind w:firstLine="480"/>
      </w:pPr>
      <w:bookmarkStart w:id="245" w:name="_Toc15753"/>
      <w:r>
        <w:rPr>
          <w:rFonts w:hint="eastAsia"/>
        </w:rPr>
        <w:t>环保处设置专职管理人员2～3名，负责与各单项污染治理设施的沟通、协调与日常管理。对工作人员实行培训后持证上岗，制定工作人员岗位责任制，增强操作人员的环境保护意识。机构人员具体职责为：</w:t>
      </w:r>
      <w:bookmarkEnd w:id="245"/>
    </w:p>
    <w:p w14:paraId="50DFE6E8">
      <w:pPr>
        <w:ind w:firstLine="480"/>
      </w:pPr>
      <w:bookmarkStart w:id="246" w:name="_Toc2979"/>
      <w:r>
        <w:rPr>
          <w:rFonts w:hint="eastAsia"/>
        </w:rPr>
        <w:t>（1）认真贯彻执行国家以及昌吉州、木垒县环保法规及行业环保规定，负责制定全场近、远期环境保护规划并督促计划实施。落实环保要求，解决存在的环保问题</w:t>
      </w:r>
      <w:bookmarkEnd w:id="246"/>
      <w:r>
        <w:rPr>
          <w:rFonts w:hint="eastAsia"/>
        </w:rPr>
        <w:t>。</w:t>
      </w:r>
    </w:p>
    <w:p w14:paraId="38AA2DFF">
      <w:pPr>
        <w:ind w:firstLine="480"/>
      </w:pPr>
      <w:bookmarkStart w:id="247" w:name="_Toc32751"/>
      <w:r>
        <w:rPr>
          <w:rFonts w:hint="eastAsia"/>
        </w:rPr>
        <w:t>（2）组织制定厂内的环境保护管理规章制度，并监督检查其执行情况，针对企业的具体情况，制定并组织实施环境保护规划和年度工作计划；</w:t>
      </w:r>
      <w:bookmarkEnd w:id="247"/>
    </w:p>
    <w:p w14:paraId="73B34FB3">
      <w:pPr>
        <w:ind w:firstLine="480"/>
      </w:pPr>
      <w:bookmarkStart w:id="248" w:name="_Toc28465"/>
      <w:r>
        <w:rPr>
          <w:rFonts w:hint="eastAsia"/>
        </w:rPr>
        <w:t>（3）落实环保设施运行的管理计划、操作规程，及时汇总存在的问题，提交技术部门改进解决</w:t>
      </w:r>
      <w:bookmarkEnd w:id="248"/>
      <w:r>
        <w:rPr>
          <w:rFonts w:hint="eastAsia"/>
        </w:rPr>
        <w:t>。</w:t>
      </w:r>
    </w:p>
    <w:p w14:paraId="41056B7B">
      <w:pPr>
        <w:ind w:firstLine="480"/>
      </w:pPr>
      <w:bookmarkStart w:id="249" w:name="_Toc17709"/>
      <w:r>
        <w:t>（4）负责开展日常的环境监测工作，建立健全原始记录，分析掌握污染动态以及</w:t>
      </w:r>
      <w:r>
        <w:rPr>
          <w:rFonts w:hint="eastAsia"/>
        </w:rPr>
        <w:t>”</w:t>
      </w:r>
      <w:r>
        <w:t>三废</w:t>
      </w:r>
      <w:r>
        <w:rPr>
          <w:rFonts w:hint="eastAsia"/>
        </w:rPr>
        <w:t>”</w:t>
      </w:r>
      <w:r>
        <w:t>的综合处置情况；</w:t>
      </w:r>
      <w:bookmarkEnd w:id="249"/>
    </w:p>
    <w:p w14:paraId="07F9256E">
      <w:pPr>
        <w:ind w:firstLine="480"/>
      </w:pPr>
      <w:bookmarkStart w:id="250" w:name="_Toc32609"/>
      <w:r>
        <w:t>（5）建立环保档案，做好企业环境管理台账记录和企业环保资料的统计整理工作，及时向当地环保部门上报环保工作报表以及提供相应的技术数据；</w:t>
      </w:r>
      <w:bookmarkEnd w:id="250"/>
    </w:p>
    <w:p w14:paraId="7C1D94F8">
      <w:pPr>
        <w:ind w:firstLine="480"/>
      </w:pPr>
      <w:bookmarkStart w:id="251" w:name="_Toc26113"/>
      <w:r>
        <w:t>（7）检查落实安全消防措施，开展环保、安全知识教育，对从事与环保工作有关的特殊岗位（如承担环保设施运行与维护）的员工的技能进行定期培训和考核；</w:t>
      </w:r>
      <w:bookmarkEnd w:id="251"/>
    </w:p>
    <w:p w14:paraId="15E8EE26">
      <w:pPr>
        <w:ind w:firstLine="480"/>
      </w:pPr>
      <w:bookmarkStart w:id="252" w:name="_Toc21851"/>
      <w:r>
        <w:t>（8）负责处理各类污染事故和突发紧急事件，组织抢救和善后处理工作；</w:t>
      </w:r>
      <w:bookmarkEnd w:id="252"/>
    </w:p>
    <w:p w14:paraId="2404EB9E">
      <w:pPr>
        <w:ind w:firstLine="480"/>
      </w:pPr>
      <w:bookmarkStart w:id="253" w:name="_Toc13513"/>
      <w:r>
        <w:t>（9）负责企业的清洁生产工作的开展和维持，配合当地环境保护部门对企业的环境管理</w:t>
      </w:r>
      <w:bookmarkEnd w:id="253"/>
      <w:r>
        <w:rPr>
          <w:rFonts w:hint="eastAsia"/>
        </w:rPr>
        <w:t>。</w:t>
      </w:r>
    </w:p>
    <w:p w14:paraId="6BCFCEA2">
      <w:pPr>
        <w:ind w:firstLine="480"/>
      </w:pPr>
      <w:bookmarkStart w:id="254" w:name="_Toc2172"/>
      <w:r>
        <w:t>（10）做好企业环境管理信息公开工作</w:t>
      </w:r>
      <w:bookmarkEnd w:id="254"/>
      <w:r>
        <w:rPr>
          <w:rFonts w:hint="eastAsia"/>
        </w:rPr>
        <w:t>。</w:t>
      </w:r>
    </w:p>
    <w:p w14:paraId="1E370C92">
      <w:pPr>
        <w:pStyle w:val="5"/>
      </w:pPr>
      <w:bookmarkStart w:id="255" w:name="_Toc2076"/>
      <w:bookmarkStart w:id="256" w:name="_Toc106663548"/>
      <w:r>
        <w:t>8.1.2落实环境管理制度</w:t>
      </w:r>
      <w:bookmarkEnd w:id="255"/>
      <w:bookmarkEnd w:id="256"/>
    </w:p>
    <w:p w14:paraId="40EA1049">
      <w:pPr>
        <w:ind w:firstLine="480"/>
      </w:pPr>
      <w:bookmarkStart w:id="257" w:name="_Toc26364"/>
      <w:r>
        <w:t>在本项目设计以及施工与营运过程中必须制定严格的环境管理计划</w:t>
      </w:r>
      <w:r>
        <w:rPr>
          <w:rFonts w:hint="eastAsia"/>
        </w:rPr>
        <w:t>。</w:t>
      </w:r>
      <w:r>
        <w:t>环境管理由项目负责人直接领导，由具有环境保护知识与经验的工程技术人员担任环保员，负责并协调有关环境监测的具体事项，环保业务上同时接受各子项目所在地的指导和监督</w:t>
      </w:r>
      <w:bookmarkEnd w:id="257"/>
      <w:r>
        <w:rPr>
          <w:rFonts w:hint="eastAsia"/>
        </w:rPr>
        <w:t>。</w:t>
      </w:r>
    </w:p>
    <w:p w14:paraId="6E7F92CA">
      <w:pPr>
        <w:ind w:firstLine="480"/>
      </w:pPr>
      <w:bookmarkStart w:id="258" w:name="_Toc1869"/>
      <w:r>
        <w:rPr>
          <w:rFonts w:hint="eastAsia"/>
        </w:rPr>
        <w:t>（1）”</w:t>
      </w:r>
      <w:r>
        <w:t>三同时</w:t>
      </w:r>
      <w:r>
        <w:rPr>
          <w:rFonts w:hint="eastAsia"/>
        </w:rPr>
        <w:t>”</w:t>
      </w:r>
      <w:r>
        <w:t>制度</w:t>
      </w:r>
      <w:bookmarkEnd w:id="258"/>
    </w:p>
    <w:p w14:paraId="2F2F3A28">
      <w:pPr>
        <w:ind w:firstLine="480"/>
      </w:pPr>
      <w:bookmarkStart w:id="259" w:name="_Toc11513"/>
      <w:r>
        <w:t>根据《建设项目环境保护管理条例》，建设项目需要配套建设的环境保护设施，必须与主体工程同时设计、同时施工、同时投产使用</w:t>
      </w:r>
      <w:r>
        <w:rPr>
          <w:rFonts w:hint="eastAsia"/>
        </w:rPr>
        <w:t>。</w:t>
      </w:r>
      <w:r>
        <w:t>建设单位应当按照国务院环境保护行政主管部门规定的标准和程序，对配套建设的环境保护设施进行验收，编制验收报告</w:t>
      </w:r>
      <w:r>
        <w:rPr>
          <w:rFonts w:hint="eastAsia"/>
        </w:rPr>
        <w:t>。</w:t>
      </w:r>
      <w:r>
        <w:t>建设单位在环境保护设施验收过程中，应当如实查验、监测、记载建设项目环境保护设施的建设和调试情况，不得弄虚作假，验收报告应依法向社会公开</w:t>
      </w:r>
      <w:r>
        <w:rPr>
          <w:rFonts w:hint="eastAsia"/>
        </w:rPr>
        <w:t>。</w:t>
      </w:r>
      <w:r>
        <w:t>本项目配套建设的环境保护设施经验收合格，方可再次投入生产或者使用</w:t>
      </w:r>
      <w:bookmarkEnd w:id="259"/>
      <w:r>
        <w:rPr>
          <w:rFonts w:hint="eastAsia"/>
        </w:rPr>
        <w:t>。</w:t>
      </w:r>
    </w:p>
    <w:p w14:paraId="41D6E43A">
      <w:pPr>
        <w:ind w:firstLine="480"/>
      </w:pPr>
      <w:bookmarkStart w:id="260" w:name="_Toc12235"/>
      <w:r>
        <w:rPr>
          <w:rFonts w:hint="eastAsia"/>
        </w:rPr>
        <w:t>（2）排污许可证制度</w:t>
      </w:r>
      <w:bookmarkEnd w:id="260"/>
    </w:p>
    <w:p w14:paraId="6BFE5AC9">
      <w:pPr>
        <w:ind w:firstLine="480"/>
      </w:pPr>
      <w:bookmarkStart w:id="261" w:name="_Toc29891"/>
      <w:r>
        <w:rPr>
          <w:rFonts w:hint="eastAsia"/>
        </w:rPr>
        <w:t>根据《固定污染源排污许可分类管理名录（2019年版）》，本项目为“一、畜牧业03中的家禽饲养032-无污水排放口的规模化畜禽养殖场、养殖小区”因此为登记管理。</w:t>
      </w:r>
      <w:r>
        <w:t>建设单位应当在项目投入生产或使用并产生实际排污行为之前申请领取排污许可证</w:t>
      </w:r>
      <w:r>
        <w:rPr>
          <w:rFonts w:hint="eastAsia"/>
        </w:rPr>
        <w:t>。</w:t>
      </w:r>
      <w:r>
        <w:t>依法按照排污许可证申请与核发技术规范提交排污许可申请，申报排放污染物种类、排放浓度等，测算并申报污染物排放量</w:t>
      </w:r>
      <w:r>
        <w:rPr>
          <w:rFonts w:hint="eastAsia"/>
        </w:rPr>
        <w:t>。</w:t>
      </w:r>
      <w:r>
        <w:t>建设单位应当严格执行排污许可证的规定，禁止无证排污或不按证排污</w:t>
      </w:r>
      <w:bookmarkEnd w:id="261"/>
      <w:r>
        <w:rPr>
          <w:rFonts w:hint="eastAsia"/>
        </w:rPr>
        <w:t>。</w:t>
      </w:r>
    </w:p>
    <w:p w14:paraId="17EDC96F">
      <w:pPr>
        <w:ind w:firstLine="480"/>
      </w:pPr>
      <w:bookmarkStart w:id="262" w:name="_Toc701"/>
      <w:r>
        <w:rPr>
          <w:rFonts w:hint="eastAsia"/>
        </w:rPr>
        <w:t>（3）</w:t>
      </w:r>
      <w:r>
        <w:t>环保台账制度</w:t>
      </w:r>
      <w:bookmarkEnd w:id="262"/>
    </w:p>
    <w:p w14:paraId="185556E8">
      <w:pPr>
        <w:ind w:firstLine="480"/>
      </w:pPr>
      <w:bookmarkStart w:id="263" w:name="_Toc12954"/>
      <w:r>
        <w:t>厂内需完善记录制度和档案保存制度，有利于环境管理质量的追踪和持续改进；记录和台帐包括设施运行和维护记录、危险废物进出台帐、废水、废气污染物监测台帐、所有化学品使用台帐、突发性事件的处理、调查记录等，妥善保存所有记录、台帐及污染物排放监测资料、环境管理档案资料等</w:t>
      </w:r>
      <w:bookmarkEnd w:id="263"/>
      <w:r>
        <w:rPr>
          <w:rFonts w:hint="eastAsia"/>
        </w:rPr>
        <w:t>。</w:t>
      </w:r>
    </w:p>
    <w:p w14:paraId="1CF3C2DF">
      <w:pPr>
        <w:ind w:firstLine="480"/>
      </w:pPr>
      <w:bookmarkStart w:id="264" w:name="_Toc1104"/>
      <w:r>
        <w:rPr>
          <w:rFonts w:hint="eastAsia"/>
        </w:rPr>
        <w:t>（4）</w:t>
      </w:r>
      <w:r>
        <w:t>污染治理设施管理制度</w:t>
      </w:r>
      <w:bookmarkEnd w:id="264"/>
    </w:p>
    <w:p w14:paraId="4E87AE84">
      <w:pPr>
        <w:ind w:firstLine="480"/>
      </w:pPr>
      <w:bookmarkStart w:id="265" w:name="_Toc24380"/>
      <w:r>
        <w:t>厂内必须确保污染处理设施长期、稳定、有效地运行，不得擅自拆除或者闲置污染处理设施，不得故意不正常使用污染处理设施</w:t>
      </w:r>
      <w:r>
        <w:rPr>
          <w:rFonts w:hint="eastAsia"/>
        </w:rPr>
        <w:t>。</w:t>
      </w:r>
      <w:r>
        <w:t>污染处理设施的管理必须与生产经营活动一起纳入单位日常管理工作的范畴，落实责任人、操作人员、维修人员、运行经费、设备的备品备件、化学药品和其他原辅材料</w:t>
      </w:r>
      <w:r>
        <w:rPr>
          <w:rFonts w:hint="eastAsia"/>
        </w:rPr>
        <w:t>。</w:t>
      </w:r>
      <w:r>
        <w:t>同时要建立岗位责任制、制定操作规程、建立管理台帐</w:t>
      </w:r>
      <w:bookmarkEnd w:id="265"/>
      <w:r>
        <w:rPr>
          <w:rFonts w:hint="eastAsia"/>
        </w:rPr>
        <w:t>。</w:t>
      </w:r>
    </w:p>
    <w:p w14:paraId="463EDF0F">
      <w:pPr>
        <w:ind w:firstLine="480"/>
      </w:pPr>
      <w:bookmarkStart w:id="266" w:name="_Toc17029"/>
      <w:r>
        <w:rPr>
          <w:rFonts w:hint="eastAsia"/>
        </w:rPr>
        <w:t>（5）</w:t>
      </w:r>
      <w:r>
        <w:t>报告制度</w:t>
      </w:r>
      <w:bookmarkEnd w:id="266"/>
    </w:p>
    <w:p w14:paraId="75002BDF">
      <w:pPr>
        <w:ind w:firstLine="480"/>
      </w:pPr>
      <w:bookmarkStart w:id="267" w:name="_Toc20462"/>
      <w:r>
        <w:t>报告内容主要为污染治理设施的运行情况、污染物排放情况及污染事故或污染纠纷等</w:t>
      </w:r>
      <w:r>
        <w:rPr>
          <w:rFonts w:hint="eastAsia"/>
        </w:rPr>
        <w:t>。</w:t>
      </w:r>
      <w:r>
        <w:t>厂内环境保护相关的所有记录、台帐及污染物排放监测资料、环境管理档案资料等应妥善保存并定期上报，发现污染因子超标，快速果断采取应对措施</w:t>
      </w:r>
      <w:r>
        <w:rPr>
          <w:rFonts w:hint="eastAsia"/>
        </w:rPr>
        <w:t>。</w:t>
      </w:r>
      <w:r>
        <w:t>建设单位应定期向属地环保部门报告污染治理设施运行情况、污染物排放情况以及污染事故、污染纠纷等情况，便于政府部门及时了解污染动态，以利于采取相应的对策措施</w:t>
      </w:r>
      <w:bookmarkEnd w:id="267"/>
      <w:r>
        <w:rPr>
          <w:rFonts w:hint="eastAsia"/>
        </w:rPr>
        <w:t>。</w:t>
      </w:r>
    </w:p>
    <w:p w14:paraId="229FF9A8">
      <w:pPr>
        <w:ind w:firstLine="480"/>
      </w:pPr>
      <w:bookmarkStart w:id="268" w:name="_Toc1940"/>
      <w:r>
        <w:rPr>
          <w:rFonts w:hint="eastAsia"/>
        </w:rPr>
        <w:t>（6）</w:t>
      </w:r>
      <w:r>
        <w:t>环保奖惩制度</w:t>
      </w:r>
      <w:bookmarkEnd w:id="268"/>
    </w:p>
    <w:p w14:paraId="6E396E61">
      <w:pPr>
        <w:ind w:firstLine="480"/>
      </w:pPr>
      <w:bookmarkStart w:id="269" w:name="_Toc28659"/>
      <w:r>
        <w:t>企业应加强宣传教育，提高员工的污染隐患意识和环境风险意识；制定员工参与环保技术培训的计划，提高员工技术素质水平；设立岗位实责制，制定严格的奖、罚制度</w:t>
      </w:r>
      <w:r>
        <w:rPr>
          <w:rFonts w:hint="eastAsia"/>
        </w:rPr>
        <w:t>。</w:t>
      </w:r>
      <w:r>
        <w:t>建议企业设置环境保护奖励条例，纳入人员考核体系</w:t>
      </w:r>
      <w:r>
        <w:rPr>
          <w:rFonts w:hint="eastAsia"/>
        </w:rPr>
        <w:t>。</w:t>
      </w:r>
      <w:r>
        <w:t>对爱护环保设施、节能降耗、改善环境者实行奖励</w:t>
      </w:r>
      <w:bookmarkEnd w:id="269"/>
      <w:r>
        <w:rPr>
          <w:rFonts w:hint="eastAsia"/>
        </w:rPr>
        <w:t>。</w:t>
      </w:r>
    </w:p>
    <w:p w14:paraId="2C4C82F7">
      <w:pPr>
        <w:ind w:firstLine="480"/>
      </w:pPr>
      <w:bookmarkStart w:id="270" w:name="_Toc15374"/>
      <w:r>
        <w:t>对环保观念淡薄、不按环保管理要求，造成环保设施损坏、环境污染及资源和能源浪费者一律处以重罚</w:t>
      </w:r>
      <w:bookmarkEnd w:id="270"/>
      <w:r>
        <w:rPr>
          <w:rFonts w:hint="eastAsia"/>
        </w:rPr>
        <w:t>。</w:t>
      </w:r>
    </w:p>
    <w:p w14:paraId="0E48FDCC">
      <w:pPr>
        <w:ind w:firstLine="480"/>
      </w:pPr>
      <w:bookmarkStart w:id="271" w:name="_Toc28298"/>
      <w:r>
        <w:rPr>
          <w:rFonts w:hint="eastAsia"/>
        </w:rPr>
        <w:t>（7）</w:t>
      </w:r>
      <w:r>
        <w:t>信息公开制度</w:t>
      </w:r>
      <w:bookmarkEnd w:id="271"/>
    </w:p>
    <w:p w14:paraId="213D3A34">
      <w:pPr>
        <w:ind w:firstLine="480"/>
      </w:pPr>
      <w:bookmarkStart w:id="272" w:name="_Toc24420"/>
      <w:r>
        <w:t>建设单位在环评编制、审批、排污许可证申请、竣工环保验收、正常运行等各阶段均应按照有关要求，通过网站或者其他便于公众知悉的方式，依法向社会公开本项目污染物排放清单，明确污染物排放的管理要求</w:t>
      </w:r>
      <w:r>
        <w:rPr>
          <w:rFonts w:hint="eastAsia"/>
        </w:rPr>
        <w:t>。</w:t>
      </w:r>
      <w:r>
        <w:t>包括工程组成及原辅材料组分要求，建设项目采取的环境保护措施及主要运行参数，排放的污染物种类、排放浓度和总量指标，排污口信息，执行的环境标准，环境风险防范措施以及环境监测等相关内容</w:t>
      </w:r>
      <w:bookmarkEnd w:id="272"/>
      <w:r>
        <w:rPr>
          <w:rFonts w:hint="eastAsia"/>
        </w:rPr>
        <w:t>。</w:t>
      </w:r>
    </w:p>
    <w:bookmarkEnd w:id="228"/>
    <w:bookmarkEnd w:id="229"/>
    <w:bookmarkEnd w:id="230"/>
    <w:bookmarkEnd w:id="231"/>
    <w:bookmarkEnd w:id="232"/>
    <w:bookmarkEnd w:id="233"/>
    <w:bookmarkEnd w:id="234"/>
    <w:bookmarkEnd w:id="235"/>
    <w:bookmarkEnd w:id="236"/>
    <w:bookmarkEnd w:id="237"/>
    <w:bookmarkEnd w:id="238"/>
    <w:bookmarkEnd w:id="239"/>
    <w:bookmarkEnd w:id="240"/>
    <w:p w14:paraId="44EE8E1E">
      <w:pPr>
        <w:pStyle w:val="5"/>
      </w:pPr>
      <w:bookmarkStart w:id="273" w:name="_Toc106663549"/>
      <w:r>
        <w:rPr>
          <w:rFonts w:hint="eastAsia"/>
        </w:rPr>
        <w:t>8.1.3制定环境管理计划</w:t>
      </w:r>
      <w:bookmarkEnd w:id="273"/>
    </w:p>
    <w:p w14:paraId="0ECEFBB4">
      <w:pPr>
        <w:pStyle w:val="6"/>
        <w:ind w:firstLine="482"/>
      </w:pPr>
      <w:r>
        <w:rPr>
          <w:rFonts w:hint="eastAsia"/>
        </w:rPr>
        <w:t>8.1.3.1施工期环境管理要求</w:t>
      </w:r>
    </w:p>
    <w:p w14:paraId="359AE3F6">
      <w:pPr>
        <w:ind w:firstLine="480"/>
      </w:pPr>
      <w:r>
        <w:rPr>
          <w:rFonts w:hint="eastAsia"/>
        </w:rPr>
        <w:t>针对项目施工期的环境的影响，采取以下措施：</w:t>
      </w:r>
    </w:p>
    <w:p w14:paraId="1228175B">
      <w:pPr>
        <w:ind w:firstLine="480"/>
      </w:pPr>
      <w:r>
        <w:rPr>
          <w:rFonts w:hint="eastAsia"/>
        </w:rPr>
        <w:t>（1）本项目属于新建项目，建设单位要求施工方采取水、气、声、生态保护及水土保持措施等，将环保工作的执行情况作为工程验收的标准之一等。</w:t>
      </w:r>
    </w:p>
    <w:p w14:paraId="2714C05F">
      <w:pPr>
        <w:ind w:firstLine="480"/>
      </w:pPr>
      <w:r>
        <w:rPr>
          <w:rFonts w:hint="eastAsia"/>
        </w:rPr>
        <w:t>（2）施工承包方应明确管理人员、职责等，并按照其承包施工段的环保要求，编制详细的”工程施工环境管理方案”，连同施工计划一起呈报业主环保管理部门以及相关的地方环保部门，前期工程进行回顾性分析。</w:t>
      </w:r>
    </w:p>
    <w:p w14:paraId="6224CCD5">
      <w:pPr>
        <w:ind w:firstLine="480"/>
      </w:pPr>
      <w:r>
        <w:rPr>
          <w:rFonts w:hint="eastAsia"/>
        </w:rPr>
        <w:t>（3）在施工作业之前，对全体施工人员进行培训，包括环保知识、意识和能力的培训。在施工作业过程中，施工承包方应严格执行批准的工程施工环境管理方案，并认真落实各项环境保护措施。</w:t>
      </w:r>
    </w:p>
    <w:p w14:paraId="38D2FCCB">
      <w:pPr>
        <w:ind w:firstLine="480"/>
      </w:pPr>
      <w:r>
        <w:rPr>
          <w:rFonts w:hint="eastAsia"/>
        </w:rPr>
        <w:t>（4）建议对该工程实施工程环境监督机制，并纳入到整体工程监理当中。环境监督工作方式以定期巡查为主，对存在重大环境问题隐患的施工区随时进行跟踪检查，做好记录，及时处理。监督环评报告书提出的环保措施得到落实，通过工程监理发出指令来控制施工中的环境问题。</w:t>
      </w:r>
    </w:p>
    <w:p w14:paraId="1138C36D">
      <w:pPr>
        <w:pStyle w:val="6"/>
        <w:ind w:firstLine="482"/>
      </w:pPr>
      <w:r>
        <w:rPr>
          <w:rFonts w:hint="eastAsia"/>
        </w:rPr>
        <w:t>8.1.3.2运营期环境管理要求</w:t>
      </w:r>
    </w:p>
    <w:p w14:paraId="49ADF19B">
      <w:pPr>
        <w:ind w:firstLine="480"/>
      </w:pPr>
      <w:r>
        <w:rPr>
          <w:rFonts w:hint="eastAsia"/>
        </w:rPr>
        <w:t>运营期环境管理主要包括以下几方面：</w:t>
      </w:r>
    </w:p>
    <w:p w14:paraId="311AAC50">
      <w:pPr>
        <w:ind w:firstLine="480"/>
      </w:pPr>
      <w:r>
        <w:rPr>
          <w:rFonts w:hint="eastAsia"/>
        </w:rPr>
        <w:t>（1）检查本项目生产运营过程中臭气防护的效果是否符合有关标准。</w:t>
      </w:r>
    </w:p>
    <w:p w14:paraId="67514D34">
      <w:pPr>
        <w:ind w:firstLine="480"/>
      </w:pPr>
      <w:r>
        <w:rPr>
          <w:rFonts w:hint="eastAsia"/>
        </w:rPr>
        <w:t>（2）检查企业是否对生产过程中产生</w:t>
      </w:r>
      <w:r>
        <w:rPr>
          <w:rFonts w:hint="eastAsia"/>
          <w:lang w:val="en-US" w:eastAsia="zh-CN"/>
        </w:rPr>
        <w:t>渗滤液和</w:t>
      </w:r>
      <w:r>
        <w:rPr>
          <w:rFonts w:hint="eastAsia"/>
        </w:rPr>
        <w:t>生活污水进行了无害化处理。防渗化粪池应建立规范的运行管理和操作责任制度，搞好设备维护。对排放废水水质进行监控，严禁不达标废水排放。</w:t>
      </w:r>
    </w:p>
    <w:p w14:paraId="350BC36B">
      <w:pPr>
        <w:ind w:firstLine="480"/>
      </w:pPr>
      <w:r>
        <w:rPr>
          <w:rFonts w:hint="eastAsia"/>
        </w:rPr>
        <w:t>（3）厂区产生噪声的设备如风机、水泵是否为国家禁止生产、销售、使用的淘汰产品。一些设备在运行了一段时期后，会产生额外的噪声与振动，也会使噪声值升高，应监督企业加强设备的维护，及时更换磨损部件，降低噪声，以确保厂界噪声满足标准要求。定期对厂界进行噪声监测，发现噪声超标应及时采取有效措施。</w:t>
      </w:r>
    </w:p>
    <w:p w14:paraId="1F54BF8F">
      <w:pPr>
        <w:ind w:firstLine="480"/>
      </w:pPr>
      <w:r>
        <w:rPr>
          <w:rFonts w:hint="eastAsia"/>
        </w:rPr>
        <w:t>（4）检查企业是否对生产过程中产生的畜禽粪、污泥进行合理的用于生产有机肥，病死畜禽尸体是否采用无害化处理。监督企业不准将未处理的固体废物随意排放。</w:t>
      </w:r>
    </w:p>
    <w:p w14:paraId="114582B4">
      <w:pPr>
        <w:ind w:firstLine="480"/>
      </w:pPr>
      <w:r>
        <w:rPr>
          <w:rFonts w:hint="eastAsia"/>
        </w:rPr>
        <w:t>（5）厂界周围进行绿化，选择净化效率高的物种，建立绿化带；</w:t>
      </w:r>
    </w:p>
    <w:p w14:paraId="32B3FE3F">
      <w:pPr>
        <w:ind w:firstLine="480"/>
      </w:pPr>
      <w:r>
        <w:rPr>
          <w:rFonts w:hint="eastAsia"/>
        </w:rPr>
        <w:t>本项目环境管理措施及要求见表8.1-1。</w:t>
      </w:r>
    </w:p>
    <w:p w14:paraId="3E2D7BF9">
      <w:pPr>
        <w:pStyle w:val="11"/>
      </w:pPr>
      <w:r>
        <w:rPr>
          <w:rFonts w:hint="eastAsia"/>
        </w:rPr>
        <w:t>表8.1-1环境管理措施及要求一览表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5250"/>
        <w:gridCol w:w="1077"/>
        <w:gridCol w:w="1091"/>
      </w:tblGrid>
      <w:tr w14:paraId="2599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Align w:val="center"/>
          </w:tcPr>
          <w:p w14:paraId="71F9C510">
            <w:pPr>
              <w:snapToGrid w:val="0"/>
              <w:spacing w:line="240" w:lineRule="auto"/>
              <w:ind w:firstLine="0" w:firstLineChars="0"/>
              <w:jc w:val="center"/>
              <w:rPr>
                <w:kern w:val="2"/>
                <w:sz w:val="21"/>
                <w:szCs w:val="21"/>
              </w:rPr>
            </w:pPr>
            <w:r>
              <w:rPr>
                <w:rFonts w:hint="eastAsia"/>
                <w:kern w:val="2"/>
                <w:sz w:val="21"/>
                <w:szCs w:val="21"/>
              </w:rPr>
              <w:t>建设阶段</w:t>
            </w:r>
          </w:p>
        </w:tc>
        <w:tc>
          <w:tcPr>
            <w:tcW w:w="3080" w:type="pct"/>
            <w:vAlign w:val="center"/>
          </w:tcPr>
          <w:p w14:paraId="1609ED34">
            <w:pPr>
              <w:snapToGrid w:val="0"/>
              <w:spacing w:line="240" w:lineRule="auto"/>
              <w:ind w:firstLine="0" w:firstLineChars="0"/>
              <w:jc w:val="center"/>
              <w:rPr>
                <w:kern w:val="2"/>
                <w:sz w:val="21"/>
                <w:szCs w:val="21"/>
              </w:rPr>
            </w:pPr>
            <w:r>
              <w:rPr>
                <w:rFonts w:hint="eastAsia"/>
                <w:kern w:val="2"/>
                <w:sz w:val="21"/>
                <w:szCs w:val="21"/>
              </w:rPr>
              <w:t>环境监控管理措施</w:t>
            </w:r>
          </w:p>
        </w:tc>
        <w:tc>
          <w:tcPr>
            <w:tcW w:w="632" w:type="pct"/>
            <w:vAlign w:val="center"/>
          </w:tcPr>
          <w:p w14:paraId="15DD9712">
            <w:pPr>
              <w:snapToGrid w:val="0"/>
              <w:spacing w:line="240" w:lineRule="auto"/>
              <w:ind w:firstLine="0" w:firstLineChars="0"/>
              <w:jc w:val="center"/>
              <w:rPr>
                <w:kern w:val="2"/>
                <w:sz w:val="21"/>
                <w:szCs w:val="21"/>
              </w:rPr>
            </w:pPr>
            <w:r>
              <w:rPr>
                <w:rFonts w:hint="eastAsia"/>
                <w:kern w:val="2"/>
                <w:sz w:val="21"/>
                <w:szCs w:val="21"/>
              </w:rPr>
              <w:t>实施方</w:t>
            </w:r>
          </w:p>
        </w:tc>
        <w:tc>
          <w:tcPr>
            <w:tcW w:w="640" w:type="pct"/>
            <w:vAlign w:val="center"/>
          </w:tcPr>
          <w:p w14:paraId="70F94356">
            <w:pPr>
              <w:snapToGrid w:val="0"/>
              <w:spacing w:line="240" w:lineRule="auto"/>
              <w:ind w:firstLine="0" w:firstLineChars="0"/>
              <w:jc w:val="center"/>
              <w:rPr>
                <w:kern w:val="2"/>
                <w:sz w:val="21"/>
                <w:szCs w:val="21"/>
              </w:rPr>
            </w:pPr>
            <w:r>
              <w:rPr>
                <w:rFonts w:hint="eastAsia"/>
                <w:kern w:val="2"/>
                <w:sz w:val="21"/>
                <w:szCs w:val="21"/>
              </w:rPr>
              <w:t>监督管理</w:t>
            </w:r>
          </w:p>
        </w:tc>
      </w:tr>
      <w:tr w14:paraId="4E74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Align w:val="center"/>
          </w:tcPr>
          <w:p w14:paraId="7F0B5FB2">
            <w:pPr>
              <w:snapToGrid w:val="0"/>
              <w:spacing w:line="240" w:lineRule="auto"/>
              <w:ind w:firstLine="0" w:firstLineChars="0"/>
              <w:jc w:val="center"/>
              <w:rPr>
                <w:kern w:val="2"/>
                <w:sz w:val="21"/>
                <w:szCs w:val="21"/>
              </w:rPr>
            </w:pPr>
            <w:r>
              <w:rPr>
                <w:rFonts w:hint="eastAsia"/>
                <w:kern w:val="2"/>
                <w:sz w:val="21"/>
                <w:szCs w:val="21"/>
              </w:rPr>
              <w:t>施工期</w:t>
            </w:r>
          </w:p>
        </w:tc>
        <w:tc>
          <w:tcPr>
            <w:tcW w:w="3080" w:type="pct"/>
            <w:vAlign w:val="center"/>
          </w:tcPr>
          <w:p w14:paraId="726336D5">
            <w:pPr>
              <w:snapToGrid w:val="0"/>
              <w:spacing w:line="240" w:lineRule="auto"/>
              <w:ind w:firstLine="0" w:firstLineChars="0"/>
              <w:rPr>
                <w:kern w:val="2"/>
                <w:sz w:val="21"/>
                <w:szCs w:val="21"/>
              </w:rPr>
            </w:pPr>
            <w:r>
              <w:rPr>
                <w:kern w:val="2"/>
                <w:sz w:val="21"/>
                <w:szCs w:val="21"/>
              </w:rPr>
              <w:t>（1）注意控制施工现场对地面的扰动，减少扬尘；</w:t>
            </w:r>
          </w:p>
          <w:p w14:paraId="633B7D4B">
            <w:pPr>
              <w:snapToGrid w:val="0"/>
              <w:spacing w:line="240" w:lineRule="auto"/>
              <w:ind w:firstLine="0" w:firstLineChars="0"/>
              <w:rPr>
                <w:kern w:val="2"/>
                <w:sz w:val="21"/>
                <w:szCs w:val="21"/>
              </w:rPr>
            </w:pPr>
            <w:r>
              <w:rPr>
                <w:kern w:val="2"/>
                <w:sz w:val="21"/>
                <w:szCs w:val="21"/>
              </w:rPr>
              <w:t>（2）施工完毕及时清理现场垃圾；</w:t>
            </w:r>
          </w:p>
          <w:p w14:paraId="7C428015">
            <w:pPr>
              <w:snapToGrid w:val="0"/>
              <w:spacing w:line="240" w:lineRule="auto"/>
              <w:ind w:firstLine="0" w:firstLineChars="0"/>
              <w:rPr>
                <w:kern w:val="2"/>
                <w:sz w:val="21"/>
                <w:szCs w:val="21"/>
              </w:rPr>
            </w:pPr>
            <w:r>
              <w:rPr>
                <w:kern w:val="2"/>
                <w:sz w:val="21"/>
                <w:szCs w:val="21"/>
              </w:rPr>
              <w:t>（3）加强施工管理，禁止现场随意乱排生活污水；</w:t>
            </w:r>
          </w:p>
          <w:p w14:paraId="1E389DAB">
            <w:pPr>
              <w:snapToGrid w:val="0"/>
              <w:spacing w:line="240" w:lineRule="auto"/>
              <w:ind w:firstLine="0" w:firstLineChars="0"/>
              <w:rPr>
                <w:kern w:val="2"/>
                <w:sz w:val="21"/>
                <w:szCs w:val="21"/>
              </w:rPr>
            </w:pPr>
            <w:r>
              <w:rPr>
                <w:kern w:val="2"/>
                <w:sz w:val="21"/>
                <w:szCs w:val="21"/>
              </w:rPr>
              <w:t>（4）环保投资、环保措施</w:t>
            </w:r>
            <w:r>
              <w:rPr>
                <w:rFonts w:hint="eastAsia"/>
                <w:kern w:val="2"/>
                <w:sz w:val="21"/>
                <w:szCs w:val="21"/>
              </w:rPr>
              <w:t>”</w:t>
            </w:r>
            <w:r>
              <w:rPr>
                <w:kern w:val="2"/>
                <w:sz w:val="21"/>
                <w:szCs w:val="21"/>
              </w:rPr>
              <w:t>三同时</w:t>
            </w:r>
            <w:r>
              <w:rPr>
                <w:rFonts w:hint="eastAsia"/>
                <w:kern w:val="2"/>
                <w:sz w:val="21"/>
                <w:szCs w:val="21"/>
              </w:rPr>
              <w:t>”。</w:t>
            </w:r>
          </w:p>
        </w:tc>
        <w:tc>
          <w:tcPr>
            <w:tcW w:w="632" w:type="pct"/>
            <w:vAlign w:val="center"/>
          </w:tcPr>
          <w:p w14:paraId="7D055C4B">
            <w:pPr>
              <w:snapToGrid w:val="0"/>
              <w:spacing w:line="240" w:lineRule="auto"/>
              <w:ind w:firstLine="0" w:firstLineChars="0"/>
              <w:jc w:val="center"/>
              <w:rPr>
                <w:kern w:val="2"/>
                <w:sz w:val="21"/>
                <w:szCs w:val="21"/>
              </w:rPr>
            </w:pPr>
            <w:r>
              <w:rPr>
                <w:rFonts w:hint="eastAsia"/>
                <w:kern w:val="2"/>
                <w:sz w:val="21"/>
                <w:szCs w:val="21"/>
              </w:rPr>
              <w:t>施工单位、建设单位</w:t>
            </w:r>
          </w:p>
        </w:tc>
        <w:tc>
          <w:tcPr>
            <w:tcW w:w="640" w:type="pct"/>
            <w:vMerge w:val="restart"/>
            <w:vAlign w:val="center"/>
          </w:tcPr>
          <w:p w14:paraId="51B2ABC5">
            <w:pPr>
              <w:snapToGrid w:val="0"/>
              <w:spacing w:line="240" w:lineRule="auto"/>
              <w:ind w:firstLine="0" w:firstLineChars="0"/>
              <w:jc w:val="center"/>
              <w:rPr>
                <w:kern w:val="2"/>
                <w:sz w:val="21"/>
                <w:szCs w:val="21"/>
              </w:rPr>
            </w:pPr>
            <w:r>
              <w:rPr>
                <w:rFonts w:hint="eastAsia"/>
                <w:kern w:val="2"/>
                <w:sz w:val="21"/>
                <w:szCs w:val="21"/>
              </w:rPr>
              <w:t>昌吉州生态环境局、环境监察大队</w:t>
            </w:r>
          </w:p>
        </w:tc>
      </w:tr>
      <w:tr w14:paraId="2882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648" w:type="pct"/>
            <w:vMerge w:val="restart"/>
            <w:vAlign w:val="center"/>
          </w:tcPr>
          <w:p w14:paraId="688F1184">
            <w:pPr>
              <w:snapToGrid w:val="0"/>
              <w:spacing w:line="240" w:lineRule="auto"/>
              <w:ind w:firstLine="0" w:firstLineChars="0"/>
              <w:jc w:val="center"/>
              <w:rPr>
                <w:kern w:val="2"/>
                <w:sz w:val="21"/>
                <w:szCs w:val="21"/>
              </w:rPr>
            </w:pPr>
            <w:r>
              <w:rPr>
                <w:rFonts w:hint="eastAsia"/>
                <w:kern w:val="2"/>
                <w:sz w:val="21"/>
                <w:szCs w:val="21"/>
              </w:rPr>
              <w:t>运营期</w:t>
            </w:r>
          </w:p>
        </w:tc>
        <w:tc>
          <w:tcPr>
            <w:tcW w:w="3080" w:type="pct"/>
            <w:vAlign w:val="center"/>
          </w:tcPr>
          <w:p w14:paraId="539FECEA">
            <w:pPr>
              <w:snapToGrid w:val="0"/>
              <w:spacing w:line="240" w:lineRule="auto"/>
              <w:ind w:firstLine="0" w:firstLineChars="0"/>
              <w:rPr>
                <w:kern w:val="2"/>
                <w:sz w:val="21"/>
                <w:szCs w:val="21"/>
              </w:rPr>
            </w:pPr>
            <w:r>
              <w:rPr>
                <w:kern w:val="2"/>
                <w:sz w:val="21"/>
                <w:szCs w:val="21"/>
              </w:rPr>
              <w:t>（1）废气治理</w:t>
            </w:r>
          </w:p>
          <w:p w14:paraId="39509F6E">
            <w:pPr>
              <w:snapToGrid w:val="0"/>
              <w:spacing w:line="240" w:lineRule="auto"/>
              <w:ind w:firstLine="0" w:firstLineChars="0"/>
              <w:rPr>
                <w:kern w:val="2"/>
                <w:sz w:val="21"/>
                <w:szCs w:val="21"/>
              </w:rPr>
            </w:pPr>
            <w:r>
              <w:rPr>
                <w:kern w:val="2"/>
                <w:sz w:val="21"/>
                <w:szCs w:val="21"/>
              </w:rPr>
              <w:fldChar w:fldCharType="begin"/>
            </w:r>
            <w:r>
              <w:rPr>
                <w:kern w:val="2"/>
                <w:sz w:val="21"/>
                <w:szCs w:val="21"/>
              </w:rPr>
              <w:instrText xml:space="preserve"> </w:instrText>
            </w:r>
            <w:r>
              <w:rPr>
                <w:rFonts w:hint="eastAsia"/>
                <w:kern w:val="2"/>
                <w:sz w:val="21"/>
                <w:szCs w:val="21"/>
              </w:rPr>
              <w:instrText xml:space="preserve">= 1 \* GB3</w:instrText>
            </w:r>
            <w:r>
              <w:rPr>
                <w:kern w:val="2"/>
                <w:sz w:val="21"/>
                <w:szCs w:val="21"/>
              </w:rPr>
              <w:instrText xml:space="preserve"> </w:instrText>
            </w:r>
            <w:r>
              <w:rPr>
                <w:kern w:val="2"/>
                <w:sz w:val="21"/>
                <w:szCs w:val="21"/>
              </w:rPr>
              <w:fldChar w:fldCharType="separate"/>
            </w:r>
            <w:r>
              <w:rPr>
                <w:rFonts w:hint="eastAsia"/>
                <w:kern w:val="2"/>
                <w:sz w:val="21"/>
                <w:szCs w:val="21"/>
              </w:rPr>
              <w:t>①</w:t>
            </w:r>
            <w:r>
              <w:rPr>
                <w:kern w:val="2"/>
                <w:sz w:val="21"/>
                <w:szCs w:val="21"/>
              </w:rPr>
              <w:fldChar w:fldCharType="end"/>
            </w:r>
            <w:r>
              <w:rPr>
                <w:kern w:val="2"/>
                <w:sz w:val="21"/>
                <w:szCs w:val="21"/>
              </w:rPr>
              <w:t>圈舍的恶臭气体以无组织形式排放；</w:t>
            </w:r>
          </w:p>
          <w:p w14:paraId="6501114E">
            <w:pPr>
              <w:snapToGrid w:val="0"/>
              <w:spacing w:line="240" w:lineRule="auto"/>
              <w:ind w:firstLine="0" w:firstLineChars="0"/>
              <w:rPr>
                <w:kern w:val="2"/>
                <w:sz w:val="21"/>
                <w:szCs w:val="21"/>
              </w:rPr>
            </w:pPr>
            <w:r>
              <w:rPr>
                <w:kern w:val="2"/>
                <w:sz w:val="21"/>
                <w:szCs w:val="21"/>
              </w:rPr>
              <w:fldChar w:fldCharType="begin"/>
            </w:r>
            <w:r>
              <w:rPr>
                <w:kern w:val="2"/>
                <w:sz w:val="21"/>
                <w:szCs w:val="21"/>
              </w:rPr>
              <w:instrText xml:space="preserve"> </w:instrText>
            </w:r>
            <w:r>
              <w:rPr>
                <w:rFonts w:hint="eastAsia"/>
                <w:kern w:val="2"/>
                <w:sz w:val="21"/>
                <w:szCs w:val="21"/>
              </w:rPr>
              <w:instrText xml:space="preserve">= 2 \* GB3</w:instrText>
            </w:r>
            <w:r>
              <w:rPr>
                <w:kern w:val="2"/>
                <w:sz w:val="21"/>
                <w:szCs w:val="21"/>
              </w:rPr>
              <w:instrText xml:space="preserve"> </w:instrText>
            </w:r>
            <w:r>
              <w:rPr>
                <w:kern w:val="2"/>
                <w:sz w:val="21"/>
                <w:szCs w:val="21"/>
              </w:rPr>
              <w:fldChar w:fldCharType="separate"/>
            </w:r>
            <w:r>
              <w:rPr>
                <w:rFonts w:hint="eastAsia"/>
                <w:kern w:val="2"/>
                <w:sz w:val="21"/>
                <w:szCs w:val="21"/>
              </w:rPr>
              <w:t>②</w:t>
            </w:r>
            <w:r>
              <w:rPr>
                <w:kern w:val="2"/>
                <w:sz w:val="21"/>
                <w:szCs w:val="21"/>
              </w:rPr>
              <w:fldChar w:fldCharType="end"/>
            </w:r>
            <w:r>
              <w:rPr>
                <w:kern w:val="2"/>
                <w:sz w:val="21"/>
                <w:szCs w:val="21"/>
              </w:rPr>
              <w:t>定期对臭气排放进行监测，环保设施严格控制、定期检查、减少臭气排放；</w:t>
            </w:r>
          </w:p>
          <w:p w14:paraId="7501CF13">
            <w:pPr>
              <w:snapToGrid w:val="0"/>
              <w:spacing w:line="240" w:lineRule="auto"/>
              <w:ind w:firstLine="0" w:firstLineChars="0"/>
              <w:rPr>
                <w:kern w:val="2"/>
                <w:sz w:val="21"/>
                <w:szCs w:val="21"/>
              </w:rPr>
            </w:pPr>
            <w:r>
              <w:rPr>
                <w:kern w:val="2"/>
                <w:sz w:val="21"/>
                <w:szCs w:val="21"/>
              </w:rPr>
              <w:fldChar w:fldCharType="begin"/>
            </w:r>
            <w:r>
              <w:rPr>
                <w:kern w:val="2"/>
                <w:sz w:val="21"/>
                <w:szCs w:val="21"/>
              </w:rPr>
              <w:instrText xml:space="preserve"> </w:instrText>
            </w:r>
            <w:r>
              <w:rPr>
                <w:rFonts w:hint="eastAsia"/>
                <w:kern w:val="2"/>
                <w:sz w:val="21"/>
                <w:szCs w:val="21"/>
              </w:rPr>
              <w:instrText xml:space="preserve">= 3 \* GB3</w:instrText>
            </w:r>
            <w:r>
              <w:rPr>
                <w:kern w:val="2"/>
                <w:sz w:val="21"/>
                <w:szCs w:val="21"/>
              </w:rPr>
              <w:instrText xml:space="preserve"> </w:instrText>
            </w:r>
            <w:r>
              <w:rPr>
                <w:kern w:val="2"/>
                <w:sz w:val="21"/>
                <w:szCs w:val="21"/>
              </w:rPr>
              <w:fldChar w:fldCharType="separate"/>
            </w:r>
            <w:r>
              <w:rPr>
                <w:rFonts w:hint="eastAsia"/>
                <w:kern w:val="2"/>
                <w:sz w:val="21"/>
                <w:szCs w:val="21"/>
              </w:rPr>
              <w:t>③</w:t>
            </w:r>
            <w:r>
              <w:rPr>
                <w:kern w:val="2"/>
                <w:sz w:val="21"/>
                <w:szCs w:val="21"/>
              </w:rPr>
              <w:fldChar w:fldCharType="end"/>
            </w:r>
            <w:r>
              <w:rPr>
                <w:kern w:val="2"/>
                <w:sz w:val="21"/>
                <w:szCs w:val="21"/>
              </w:rPr>
              <w:t>加强环保设施维护工作，保持其正常运行</w:t>
            </w:r>
          </w:p>
        </w:tc>
        <w:tc>
          <w:tcPr>
            <w:tcW w:w="632" w:type="pct"/>
            <w:vAlign w:val="center"/>
          </w:tcPr>
          <w:p w14:paraId="617201C3">
            <w:pPr>
              <w:snapToGrid w:val="0"/>
              <w:spacing w:line="240" w:lineRule="auto"/>
              <w:ind w:firstLine="0" w:firstLineChars="0"/>
              <w:jc w:val="center"/>
              <w:rPr>
                <w:kern w:val="2"/>
                <w:sz w:val="21"/>
                <w:szCs w:val="21"/>
              </w:rPr>
            </w:pPr>
            <w:r>
              <w:rPr>
                <w:rFonts w:hint="eastAsia"/>
                <w:kern w:val="2"/>
                <w:sz w:val="21"/>
                <w:szCs w:val="21"/>
              </w:rPr>
              <w:t>建设单位</w:t>
            </w:r>
          </w:p>
        </w:tc>
        <w:tc>
          <w:tcPr>
            <w:tcW w:w="640" w:type="pct"/>
            <w:vMerge w:val="continue"/>
            <w:vAlign w:val="center"/>
          </w:tcPr>
          <w:p w14:paraId="6DBA8B66">
            <w:pPr>
              <w:snapToGrid w:val="0"/>
              <w:spacing w:line="240" w:lineRule="auto"/>
              <w:ind w:firstLine="0" w:firstLineChars="0"/>
              <w:jc w:val="center"/>
              <w:rPr>
                <w:kern w:val="2"/>
                <w:sz w:val="21"/>
                <w:szCs w:val="21"/>
              </w:rPr>
            </w:pPr>
          </w:p>
        </w:tc>
      </w:tr>
      <w:tr w14:paraId="6F29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3C40BE09">
            <w:pPr>
              <w:snapToGrid w:val="0"/>
              <w:spacing w:line="240" w:lineRule="auto"/>
              <w:ind w:firstLine="0" w:firstLineChars="0"/>
              <w:jc w:val="center"/>
              <w:rPr>
                <w:kern w:val="2"/>
                <w:sz w:val="21"/>
                <w:szCs w:val="21"/>
              </w:rPr>
            </w:pPr>
          </w:p>
        </w:tc>
        <w:tc>
          <w:tcPr>
            <w:tcW w:w="3080" w:type="pct"/>
            <w:vAlign w:val="center"/>
          </w:tcPr>
          <w:p w14:paraId="1AC74506">
            <w:pPr>
              <w:snapToGrid w:val="0"/>
              <w:spacing w:line="240" w:lineRule="auto"/>
              <w:ind w:firstLine="0" w:firstLineChars="0"/>
              <w:rPr>
                <w:kern w:val="2"/>
                <w:sz w:val="21"/>
                <w:szCs w:val="21"/>
              </w:rPr>
            </w:pPr>
            <w:r>
              <w:rPr>
                <w:rFonts w:hint="eastAsia"/>
                <w:kern w:val="2"/>
                <w:sz w:val="21"/>
                <w:szCs w:val="21"/>
              </w:rPr>
              <w:t>（2）</w:t>
            </w:r>
            <w:r>
              <w:rPr>
                <w:kern w:val="2"/>
                <w:sz w:val="21"/>
                <w:szCs w:val="21"/>
              </w:rPr>
              <w:t>加强管理，保证粪污处理设施正常运行</w:t>
            </w:r>
            <w:r>
              <w:rPr>
                <w:rFonts w:hint="eastAsia"/>
                <w:kern w:val="2"/>
                <w:sz w:val="21"/>
                <w:szCs w:val="21"/>
              </w:rPr>
              <w:t>。</w:t>
            </w:r>
          </w:p>
        </w:tc>
        <w:tc>
          <w:tcPr>
            <w:tcW w:w="632" w:type="pct"/>
            <w:vAlign w:val="center"/>
          </w:tcPr>
          <w:p w14:paraId="69AFC447">
            <w:pPr>
              <w:snapToGrid w:val="0"/>
              <w:spacing w:line="240" w:lineRule="auto"/>
              <w:ind w:firstLine="0" w:firstLineChars="0"/>
              <w:jc w:val="center"/>
              <w:rPr>
                <w:kern w:val="2"/>
                <w:sz w:val="21"/>
                <w:szCs w:val="21"/>
              </w:rPr>
            </w:pPr>
            <w:r>
              <w:rPr>
                <w:rFonts w:hint="eastAsia"/>
                <w:kern w:val="2"/>
                <w:sz w:val="21"/>
                <w:szCs w:val="21"/>
              </w:rPr>
              <w:t>建设单位</w:t>
            </w:r>
          </w:p>
        </w:tc>
        <w:tc>
          <w:tcPr>
            <w:tcW w:w="640" w:type="pct"/>
            <w:vMerge w:val="continue"/>
            <w:vAlign w:val="center"/>
          </w:tcPr>
          <w:p w14:paraId="1709D47A">
            <w:pPr>
              <w:snapToGrid w:val="0"/>
              <w:spacing w:line="240" w:lineRule="auto"/>
              <w:ind w:firstLine="0" w:firstLineChars="0"/>
              <w:jc w:val="center"/>
              <w:rPr>
                <w:kern w:val="2"/>
                <w:sz w:val="21"/>
                <w:szCs w:val="21"/>
              </w:rPr>
            </w:pPr>
          </w:p>
        </w:tc>
      </w:tr>
      <w:tr w14:paraId="49E0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1459F63B">
            <w:pPr>
              <w:snapToGrid w:val="0"/>
              <w:spacing w:line="240" w:lineRule="auto"/>
              <w:ind w:firstLine="0" w:firstLineChars="0"/>
              <w:jc w:val="center"/>
              <w:rPr>
                <w:kern w:val="2"/>
                <w:sz w:val="21"/>
                <w:szCs w:val="21"/>
              </w:rPr>
            </w:pPr>
          </w:p>
        </w:tc>
        <w:tc>
          <w:tcPr>
            <w:tcW w:w="3080" w:type="pct"/>
            <w:vAlign w:val="center"/>
          </w:tcPr>
          <w:p w14:paraId="5A47F233">
            <w:pPr>
              <w:snapToGrid w:val="0"/>
              <w:spacing w:line="240" w:lineRule="auto"/>
              <w:ind w:firstLine="0" w:firstLineChars="0"/>
              <w:rPr>
                <w:kern w:val="2"/>
                <w:sz w:val="21"/>
                <w:szCs w:val="21"/>
              </w:rPr>
            </w:pPr>
            <w:r>
              <w:rPr>
                <w:kern w:val="2"/>
                <w:sz w:val="21"/>
                <w:szCs w:val="21"/>
              </w:rPr>
              <w:t>（3）噪声</w:t>
            </w:r>
          </w:p>
          <w:p w14:paraId="15237448">
            <w:pPr>
              <w:snapToGrid w:val="0"/>
              <w:spacing w:line="240" w:lineRule="auto"/>
              <w:ind w:firstLine="0" w:firstLineChars="0"/>
              <w:rPr>
                <w:kern w:val="2"/>
                <w:sz w:val="21"/>
                <w:szCs w:val="21"/>
              </w:rPr>
            </w:pPr>
            <w:r>
              <w:rPr>
                <w:rFonts w:hint="eastAsia" w:cs="宋体"/>
                <w:kern w:val="2"/>
                <w:sz w:val="21"/>
                <w:szCs w:val="21"/>
              </w:rPr>
              <w:t>①</w:t>
            </w:r>
            <w:r>
              <w:rPr>
                <w:kern w:val="2"/>
                <w:sz w:val="21"/>
                <w:szCs w:val="21"/>
              </w:rPr>
              <w:t>选用低噪声设备及必要的隔声、减震措施；</w:t>
            </w:r>
          </w:p>
          <w:p w14:paraId="0C30BB43">
            <w:pPr>
              <w:snapToGrid w:val="0"/>
              <w:spacing w:line="240" w:lineRule="auto"/>
              <w:ind w:firstLine="0" w:firstLineChars="0"/>
              <w:rPr>
                <w:kern w:val="2"/>
                <w:sz w:val="21"/>
                <w:szCs w:val="21"/>
              </w:rPr>
            </w:pPr>
            <w:r>
              <w:rPr>
                <w:rFonts w:hint="eastAsia" w:cs="宋体"/>
                <w:kern w:val="2"/>
                <w:sz w:val="21"/>
                <w:szCs w:val="21"/>
              </w:rPr>
              <w:t>②</w:t>
            </w:r>
            <w:r>
              <w:rPr>
                <w:kern w:val="2"/>
                <w:sz w:val="21"/>
                <w:szCs w:val="21"/>
              </w:rPr>
              <w:t>保持设备良好的运营工况，及时维修检修</w:t>
            </w:r>
            <w:r>
              <w:rPr>
                <w:rFonts w:hint="eastAsia"/>
                <w:kern w:val="2"/>
                <w:sz w:val="21"/>
                <w:szCs w:val="21"/>
              </w:rPr>
              <w:t>。</w:t>
            </w:r>
          </w:p>
        </w:tc>
        <w:tc>
          <w:tcPr>
            <w:tcW w:w="632" w:type="pct"/>
            <w:vAlign w:val="center"/>
          </w:tcPr>
          <w:p w14:paraId="448CA94B">
            <w:pPr>
              <w:snapToGrid w:val="0"/>
              <w:spacing w:line="240" w:lineRule="auto"/>
              <w:ind w:firstLine="0" w:firstLineChars="0"/>
              <w:jc w:val="center"/>
              <w:rPr>
                <w:kern w:val="2"/>
                <w:sz w:val="21"/>
                <w:szCs w:val="21"/>
              </w:rPr>
            </w:pPr>
            <w:r>
              <w:rPr>
                <w:rFonts w:hint="eastAsia"/>
                <w:kern w:val="2"/>
                <w:sz w:val="21"/>
                <w:szCs w:val="21"/>
              </w:rPr>
              <w:t>建设单位</w:t>
            </w:r>
          </w:p>
        </w:tc>
        <w:tc>
          <w:tcPr>
            <w:tcW w:w="640" w:type="pct"/>
            <w:vMerge w:val="continue"/>
            <w:vAlign w:val="center"/>
          </w:tcPr>
          <w:p w14:paraId="634785AD">
            <w:pPr>
              <w:snapToGrid w:val="0"/>
              <w:spacing w:line="240" w:lineRule="auto"/>
              <w:ind w:firstLine="0" w:firstLineChars="0"/>
              <w:jc w:val="center"/>
              <w:rPr>
                <w:kern w:val="2"/>
                <w:sz w:val="21"/>
                <w:szCs w:val="21"/>
              </w:rPr>
            </w:pPr>
          </w:p>
        </w:tc>
      </w:tr>
      <w:tr w14:paraId="707A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35302A27">
            <w:pPr>
              <w:snapToGrid w:val="0"/>
              <w:spacing w:line="240" w:lineRule="auto"/>
              <w:ind w:firstLine="0" w:firstLineChars="0"/>
              <w:jc w:val="center"/>
              <w:rPr>
                <w:kern w:val="2"/>
                <w:sz w:val="21"/>
                <w:szCs w:val="21"/>
              </w:rPr>
            </w:pPr>
          </w:p>
        </w:tc>
        <w:tc>
          <w:tcPr>
            <w:tcW w:w="3080" w:type="pct"/>
            <w:vAlign w:val="center"/>
          </w:tcPr>
          <w:p w14:paraId="13CDF1FD">
            <w:pPr>
              <w:snapToGrid w:val="0"/>
              <w:spacing w:line="240" w:lineRule="auto"/>
              <w:ind w:firstLine="0" w:firstLineChars="0"/>
              <w:rPr>
                <w:kern w:val="2"/>
                <w:sz w:val="21"/>
                <w:szCs w:val="21"/>
              </w:rPr>
            </w:pPr>
            <w:r>
              <w:rPr>
                <w:kern w:val="2"/>
                <w:sz w:val="21"/>
                <w:szCs w:val="21"/>
              </w:rPr>
              <w:t>（4）固体废物</w:t>
            </w:r>
          </w:p>
          <w:p w14:paraId="5EC925E3">
            <w:pPr>
              <w:snapToGrid w:val="0"/>
              <w:spacing w:line="240" w:lineRule="auto"/>
              <w:ind w:firstLine="0" w:firstLineChars="0"/>
              <w:rPr>
                <w:kern w:val="2"/>
                <w:sz w:val="21"/>
                <w:szCs w:val="21"/>
              </w:rPr>
            </w:pPr>
            <w:r>
              <w:rPr>
                <w:kern w:val="2"/>
                <w:sz w:val="21"/>
                <w:szCs w:val="21"/>
              </w:rPr>
              <w:fldChar w:fldCharType="begin"/>
            </w:r>
            <w:r>
              <w:rPr>
                <w:kern w:val="2"/>
                <w:sz w:val="21"/>
                <w:szCs w:val="21"/>
              </w:rPr>
              <w:instrText xml:space="preserve"> </w:instrText>
            </w:r>
            <w:r>
              <w:rPr>
                <w:rFonts w:hint="eastAsia"/>
                <w:kern w:val="2"/>
                <w:sz w:val="21"/>
                <w:szCs w:val="21"/>
              </w:rPr>
              <w:instrText xml:space="preserve">= 1 \* GB3</w:instrText>
            </w:r>
            <w:r>
              <w:rPr>
                <w:kern w:val="2"/>
                <w:sz w:val="21"/>
                <w:szCs w:val="21"/>
              </w:rPr>
              <w:instrText xml:space="preserve"> </w:instrText>
            </w:r>
            <w:r>
              <w:rPr>
                <w:kern w:val="2"/>
                <w:sz w:val="21"/>
                <w:szCs w:val="21"/>
              </w:rPr>
              <w:fldChar w:fldCharType="separate"/>
            </w:r>
            <w:r>
              <w:rPr>
                <w:rFonts w:hint="eastAsia"/>
                <w:kern w:val="2"/>
                <w:sz w:val="21"/>
                <w:szCs w:val="21"/>
              </w:rPr>
              <w:t>①</w:t>
            </w:r>
            <w:r>
              <w:rPr>
                <w:kern w:val="2"/>
                <w:sz w:val="21"/>
                <w:szCs w:val="21"/>
              </w:rPr>
              <w:fldChar w:fldCharType="end"/>
            </w:r>
            <w:r>
              <w:rPr>
                <w:kern w:val="2"/>
                <w:sz w:val="21"/>
                <w:szCs w:val="21"/>
              </w:rPr>
              <w:t>粪便</w:t>
            </w:r>
            <w:r>
              <w:rPr>
                <w:rFonts w:hint="eastAsia"/>
                <w:kern w:val="2"/>
                <w:sz w:val="21"/>
                <w:szCs w:val="21"/>
              </w:rPr>
              <w:t>清运至堆肥场，处理后作为有机肥外售</w:t>
            </w:r>
            <w:r>
              <w:rPr>
                <w:kern w:val="2"/>
                <w:sz w:val="21"/>
                <w:szCs w:val="21"/>
              </w:rPr>
              <w:t>；</w:t>
            </w:r>
          </w:p>
          <w:p w14:paraId="65BF7165">
            <w:pPr>
              <w:snapToGrid w:val="0"/>
              <w:spacing w:line="240" w:lineRule="auto"/>
              <w:ind w:firstLine="0" w:firstLineChars="0"/>
              <w:rPr>
                <w:kern w:val="2"/>
                <w:sz w:val="21"/>
                <w:szCs w:val="21"/>
              </w:rPr>
            </w:pPr>
            <w:r>
              <w:rPr>
                <w:kern w:val="2"/>
                <w:sz w:val="21"/>
                <w:szCs w:val="21"/>
              </w:rPr>
              <w:fldChar w:fldCharType="begin"/>
            </w:r>
            <w:r>
              <w:rPr>
                <w:kern w:val="2"/>
                <w:sz w:val="21"/>
                <w:szCs w:val="21"/>
              </w:rPr>
              <w:instrText xml:space="preserve"> </w:instrText>
            </w:r>
            <w:r>
              <w:rPr>
                <w:rFonts w:hint="eastAsia"/>
                <w:kern w:val="2"/>
                <w:sz w:val="21"/>
                <w:szCs w:val="21"/>
              </w:rPr>
              <w:instrText xml:space="preserve">= 2 \* GB3</w:instrText>
            </w:r>
            <w:r>
              <w:rPr>
                <w:kern w:val="2"/>
                <w:sz w:val="21"/>
                <w:szCs w:val="21"/>
              </w:rPr>
              <w:instrText xml:space="preserve"> </w:instrText>
            </w:r>
            <w:r>
              <w:rPr>
                <w:kern w:val="2"/>
                <w:sz w:val="21"/>
                <w:szCs w:val="21"/>
              </w:rPr>
              <w:fldChar w:fldCharType="separate"/>
            </w:r>
            <w:r>
              <w:rPr>
                <w:rFonts w:hint="eastAsia"/>
                <w:kern w:val="2"/>
                <w:sz w:val="21"/>
                <w:szCs w:val="21"/>
              </w:rPr>
              <w:t>②</w:t>
            </w:r>
            <w:r>
              <w:rPr>
                <w:kern w:val="2"/>
                <w:sz w:val="21"/>
                <w:szCs w:val="21"/>
              </w:rPr>
              <w:fldChar w:fldCharType="end"/>
            </w:r>
            <w:r>
              <w:rPr>
                <w:kern w:val="2"/>
                <w:sz w:val="21"/>
                <w:szCs w:val="21"/>
              </w:rPr>
              <w:t>医疗废物</w:t>
            </w:r>
            <w:r>
              <w:rPr>
                <w:rFonts w:hint="eastAsia"/>
                <w:kern w:val="2"/>
                <w:sz w:val="21"/>
                <w:szCs w:val="21"/>
              </w:rPr>
              <w:t>由兽医站带走，不在场区暂存</w:t>
            </w:r>
            <w:r>
              <w:rPr>
                <w:kern w:val="2"/>
                <w:sz w:val="21"/>
                <w:szCs w:val="21"/>
              </w:rPr>
              <w:t>；</w:t>
            </w:r>
          </w:p>
          <w:p w14:paraId="7C6E1A29">
            <w:pPr>
              <w:snapToGrid w:val="0"/>
              <w:spacing w:line="240" w:lineRule="auto"/>
              <w:ind w:firstLine="0" w:firstLineChars="0"/>
              <w:rPr>
                <w:kern w:val="2"/>
                <w:sz w:val="21"/>
                <w:szCs w:val="21"/>
              </w:rPr>
            </w:pPr>
            <w:r>
              <w:rPr>
                <w:kern w:val="2"/>
                <w:sz w:val="21"/>
                <w:szCs w:val="21"/>
              </w:rPr>
              <w:fldChar w:fldCharType="begin"/>
            </w:r>
            <w:r>
              <w:rPr>
                <w:kern w:val="2"/>
                <w:sz w:val="21"/>
                <w:szCs w:val="21"/>
              </w:rPr>
              <w:instrText xml:space="preserve"> </w:instrText>
            </w:r>
            <w:r>
              <w:rPr>
                <w:rFonts w:hint="eastAsia"/>
                <w:kern w:val="2"/>
                <w:sz w:val="21"/>
                <w:szCs w:val="21"/>
              </w:rPr>
              <w:instrText xml:space="preserve">= 3 \* GB3</w:instrText>
            </w:r>
            <w:r>
              <w:rPr>
                <w:kern w:val="2"/>
                <w:sz w:val="21"/>
                <w:szCs w:val="21"/>
              </w:rPr>
              <w:instrText xml:space="preserve"> </w:instrText>
            </w:r>
            <w:r>
              <w:rPr>
                <w:kern w:val="2"/>
                <w:sz w:val="21"/>
                <w:szCs w:val="21"/>
              </w:rPr>
              <w:fldChar w:fldCharType="separate"/>
            </w:r>
            <w:r>
              <w:rPr>
                <w:rFonts w:hint="eastAsia"/>
                <w:kern w:val="2"/>
                <w:sz w:val="21"/>
                <w:szCs w:val="21"/>
              </w:rPr>
              <w:t>③</w:t>
            </w:r>
            <w:r>
              <w:rPr>
                <w:kern w:val="2"/>
                <w:sz w:val="21"/>
                <w:szCs w:val="21"/>
              </w:rPr>
              <w:fldChar w:fldCharType="end"/>
            </w:r>
            <w:r>
              <w:rPr>
                <w:rFonts w:hint="eastAsia"/>
                <w:kern w:val="2"/>
                <w:sz w:val="21"/>
                <w:szCs w:val="21"/>
              </w:rPr>
              <w:t>病死骆驼尸体外委第三方处置</w:t>
            </w:r>
            <w:r>
              <w:rPr>
                <w:kern w:val="2"/>
                <w:sz w:val="21"/>
                <w:szCs w:val="21"/>
              </w:rPr>
              <w:t>；</w:t>
            </w:r>
          </w:p>
          <w:p w14:paraId="26EE9B5F">
            <w:pPr>
              <w:snapToGrid w:val="0"/>
              <w:spacing w:line="240" w:lineRule="auto"/>
              <w:ind w:firstLine="0" w:firstLineChars="0"/>
              <w:rPr>
                <w:kern w:val="2"/>
                <w:sz w:val="21"/>
                <w:szCs w:val="21"/>
              </w:rPr>
            </w:pPr>
            <w:r>
              <w:rPr>
                <w:kern w:val="2"/>
                <w:sz w:val="21"/>
                <w:szCs w:val="21"/>
              </w:rPr>
              <w:fldChar w:fldCharType="begin"/>
            </w:r>
            <w:r>
              <w:rPr>
                <w:kern w:val="2"/>
                <w:sz w:val="21"/>
                <w:szCs w:val="21"/>
              </w:rPr>
              <w:instrText xml:space="preserve"> </w:instrText>
            </w:r>
            <w:r>
              <w:rPr>
                <w:rFonts w:hint="eastAsia"/>
                <w:kern w:val="2"/>
                <w:sz w:val="21"/>
                <w:szCs w:val="21"/>
              </w:rPr>
              <w:instrText xml:space="preserve">= 4 \* GB3</w:instrText>
            </w:r>
            <w:r>
              <w:rPr>
                <w:kern w:val="2"/>
                <w:sz w:val="21"/>
                <w:szCs w:val="21"/>
              </w:rPr>
              <w:instrText xml:space="preserve"> </w:instrText>
            </w:r>
            <w:r>
              <w:rPr>
                <w:kern w:val="2"/>
                <w:sz w:val="21"/>
                <w:szCs w:val="21"/>
              </w:rPr>
              <w:fldChar w:fldCharType="separate"/>
            </w:r>
            <w:r>
              <w:rPr>
                <w:rFonts w:hint="eastAsia"/>
                <w:kern w:val="2"/>
                <w:sz w:val="21"/>
                <w:szCs w:val="21"/>
              </w:rPr>
              <w:t>④</w:t>
            </w:r>
            <w:r>
              <w:rPr>
                <w:kern w:val="2"/>
                <w:sz w:val="21"/>
                <w:szCs w:val="21"/>
              </w:rPr>
              <w:fldChar w:fldCharType="end"/>
            </w:r>
            <w:r>
              <w:rPr>
                <w:kern w:val="2"/>
                <w:sz w:val="21"/>
                <w:szCs w:val="21"/>
              </w:rPr>
              <w:t>生活垃圾委托环卫部门定期统一清运</w:t>
            </w:r>
            <w:r>
              <w:rPr>
                <w:rFonts w:hint="eastAsia"/>
                <w:kern w:val="2"/>
                <w:sz w:val="21"/>
                <w:szCs w:val="21"/>
              </w:rPr>
              <w:t>。</w:t>
            </w:r>
          </w:p>
        </w:tc>
        <w:tc>
          <w:tcPr>
            <w:tcW w:w="632" w:type="pct"/>
            <w:vAlign w:val="center"/>
          </w:tcPr>
          <w:p w14:paraId="2ACB4462">
            <w:pPr>
              <w:snapToGrid w:val="0"/>
              <w:spacing w:line="240" w:lineRule="auto"/>
              <w:ind w:firstLine="0" w:firstLineChars="0"/>
              <w:jc w:val="center"/>
              <w:rPr>
                <w:kern w:val="2"/>
                <w:sz w:val="21"/>
                <w:szCs w:val="21"/>
              </w:rPr>
            </w:pPr>
            <w:r>
              <w:rPr>
                <w:rFonts w:hint="eastAsia"/>
                <w:kern w:val="2"/>
                <w:sz w:val="21"/>
                <w:szCs w:val="21"/>
              </w:rPr>
              <w:t>建设单位</w:t>
            </w:r>
          </w:p>
        </w:tc>
        <w:tc>
          <w:tcPr>
            <w:tcW w:w="640" w:type="pct"/>
            <w:vMerge w:val="continue"/>
            <w:vAlign w:val="center"/>
          </w:tcPr>
          <w:p w14:paraId="530B3845">
            <w:pPr>
              <w:snapToGrid w:val="0"/>
              <w:spacing w:line="240" w:lineRule="auto"/>
              <w:ind w:firstLine="0" w:firstLineChars="0"/>
              <w:jc w:val="center"/>
              <w:rPr>
                <w:kern w:val="2"/>
                <w:sz w:val="21"/>
                <w:szCs w:val="21"/>
              </w:rPr>
            </w:pPr>
          </w:p>
        </w:tc>
      </w:tr>
      <w:tr w14:paraId="3818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2958AD24">
            <w:pPr>
              <w:snapToGrid w:val="0"/>
              <w:spacing w:line="240" w:lineRule="auto"/>
              <w:ind w:firstLine="0" w:firstLineChars="0"/>
              <w:jc w:val="center"/>
              <w:rPr>
                <w:kern w:val="2"/>
                <w:sz w:val="21"/>
                <w:szCs w:val="21"/>
              </w:rPr>
            </w:pPr>
          </w:p>
        </w:tc>
        <w:tc>
          <w:tcPr>
            <w:tcW w:w="3080" w:type="pct"/>
            <w:vAlign w:val="center"/>
          </w:tcPr>
          <w:p w14:paraId="49F718D1">
            <w:pPr>
              <w:snapToGrid w:val="0"/>
              <w:spacing w:line="240" w:lineRule="auto"/>
              <w:ind w:firstLine="0" w:firstLineChars="0"/>
              <w:rPr>
                <w:kern w:val="2"/>
                <w:sz w:val="21"/>
                <w:szCs w:val="21"/>
              </w:rPr>
            </w:pPr>
            <w:r>
              <w:rPr>
                <w:kern w:val="2"/>
                <w:sz w:val="21"/>
                <w:szCs w:val="21"/>
              </w:rPr>
              <w:t>（5）生态保护</w:t>
            </w:r>
          </w:p>
          <w:p w14:paraId="277FE27E">
            <w:pPr>
              <w:snapToGrid w:val="0"/>
              <w:spacing w:line="240" w:lineRule="auto"/>
              <w:ind w:firstLine="0" w:firstLineChars="0"/>
              <w:rPr>
                <w:kern w:val="2"/>
                <w:sz w:val="21"/>
                <w:szCs w:val="21"/>
              </w:rPr>
            </w:pPr>
            <w:r>
              <w:rPr>
                <w:kern w:val="2"/>
                <w:sz w:val="21"/>
                <w:szCs w:val="21"/>
              </w:rPr>
              <w:t>加强厂区及外围绿化，厂区绿化系数达到</w:t>
            </w:r>
            <w:r>
              <w:rPr>
                <w:rFonts w:hint="eastAsia"/>
                <w:kern w:val="2"/>
                <w:sz w:val="21"/>
                <w:szCs w:val="21"/>
              </w:rPr>
              <w:t>1</w:t>
            </w:r>
            <w:r>
              <w:rPr>
                <w:kern w:val="2"/>
                <w:sz w:val="21"/>
                <w:szCs w:val="21"/>
              </w:rPr>
              <w:t>%的要求</w:t>
            </w:r>
            <w:r>
              <w:rPr>
                <w:rFonts w:hint="eastAsia"/>
                <w:kern w:val="2"/>
                <w:sz w:val="21"/>
                <w:szCs w:val="21"/>
              </w:rPr>
              <w:t>。</w:t>
            </w:r>
          </w:p>
        </w:tc>
        <w:tc>
          <w:tcPr>
            <w:tcW w:w="632" w:type="pct"/>
            <w:vAlign w:val="center"/>
          </w:tcPr>
          <w:p w14:paraId="7020CA12">
            <w:pPr>
              <w:snapToGrid w:val="0"/>
              <w:spacing w:line="240" w:lineRule="auto"/>
              <w:ind w:firstLine="0" w:firstLineChars="0"/>
              <w:jc w:val="center"/>
              <w:rPr>
                <w:kern w:val="2"/>
                <w:sz w:val="21"/>
                <w:szCs w:val="21"/>
              </w:rPr>
            </w:pPr>
            <w:r>
              <w:rPr>
                <w:rFonts w:hint="eastAsia"/>
                <w:kern w:val="2"/>
                <w:sz w:val="21"/>
                <w:szCs w:val="21"/>
              </w:rPr>
              <w:t>建设单位</w:t>
            </w:r>
          </w:p>
        </w:tc>
        <w:tc>
          <w:tcPr>
            <w:tcW w:w="640" w:type="pct"/>
            <w:vMerge w:val="continue"/>
            <w:vAlign w:val="center"/>
          </w:tcPr>
          <w:p w14:paraId="34F50DA0">
            <w:pPr>
              <w:snapToGrid w:val="0"/>
              <w:spacing w:line="240" w:lineRule="auto"/>
              <w:ind w:firstLine="0" w:firstLineChars="0"/>
              <w:jc w:val="center"/>
              <w:rPr>
                <w:kern w:val="2"/>
                <w:sz w:val="21"/>
                <w:szCs w:val="21"/>
              </w:rPr>
            </w:pPr>
          </w:p>
        </w:tc>
      </w:tr>
      <w:tr w14:paraId="45A0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1E32D071">
            <w:pPr>
              <w:snapToGrid w:val="0"/>
              <w:spacing w:line="240" w:lineRule="auto"/>
              <w:ind w:firstLine="0" w:firstLineChars="0"/>
              <w:jc w:val="center"/>
              <w:rPr>
                <w:kern w:val="2"/>
                <w:sz w:val="21"/>
                <w:szCs w:val="21"/>
              </w:rPr>
            </w:pPr>
          </w:p>
        </w:tc>
        <w:tc>
          <w:tcPr>
            <w:tcW w:w="3080" w:type="pct"/>
            <w:vAlign w:val="center"/>
          </w:tcPr>
          <w:p w14:paraId="1E73500D">
            <w:pPr>
              <w:snapToGrid w:val="0"/>
              <w:spacing w:line="240" w:lineRule="auto"/>
              <w:ind w:firstLine="0" w:firstLineChars="0"/>
              <w:rPr>
                <w:kern w:val="2"/>
                <w:sz w:val="21"/>
                <w:szCs w:val="21"/>
              </w:rPr>
            </w:pPr>
            <w:r>
              <w:rPr>
                <w:kern w:val="2"/>
                <w:sz w:val="21"/>
                <w:szCs w:val="21"/>
              </w:rPr>
              <w:t>（6）环境管理</w:t>
            </w:r>
          </w:p>
          <w:p w14:paraId="48D2C3C3">
            <w:pPr>
              <w:snapToGrid w:val="0"/>
              <w:spacing w:line="240" w:lineRule="auto"/>
              <w:ind w:firstLine="0" w:firstLineChars="0"/>
              <w:rPr>
                <w:kern w:val="2"/>
                <w:sz w:val="21"/>
                <w:szCs w:val="21"/>
              </w:rPr>
            </w:pPr>
            <w:r>
              <w:rPr>
                <w:kern w:val="2"/>
                <w:sz w:val="21"/>
                <w:szCs w:val="21"/>
              </w:rPr>
              <w:t>建立经常性环境监测制度，完善厂、工段、班组环保机构及环境目标管理</w:t>
            </w:r>
            <w:r>
              <w:rPr>
                <w:rFonts w:hint="eastAsia"/>
                <w:kern w:val="2"/>
                <w:sz w:val="21"/>
                <w:szCs w:val="21"/>
              </w:rPr>
              <w:t>。</w:t>
            </w:r>
          </w:p>
        </w:tc>
        <w:tc>
          <w:tcPr>
            <w:tcW w:w="632" w:type="pct"/>
            <w:vAlign w:val="center"/>
          </w:tcPr>
          <w:p w14:paraId="58ACDCCA">
            <w:pPr>
              <w:snapToGrid w:val="0"/>
              <w:spacing w:line="240" w:lineRule="auto"/>
              <w:ind w:firstLine="0" w:firstLineChars="0"/>
              <w:jc w:val="center"/>
              <w:rPr>
                <w:kern w:val="2"/>
                <w:sz w:val="21"/>
                <w:szCs w:val="21"/>
              </w:rPr>
            </w:pPr>
            <w:r>
              <w:rPr>
                <w:rFonts w:hint="eastAsia"/>
                <w:kern w:val="2"/>
                <w:sz w:val="21"/>
                <w:szCs w:val="21"/>
              </w:rPr>
              <w:t>建设单位</w:t>
            </w:r>
          </w:p>
        </w:tc>
        <w:tc>
          <w:tcPr>
            <w:tcW w:w="640" w:type="pct"/>
            <w:vMerge w:val="continue"/>
            <w:vAlign w:val="center"/>
          </w:tcPr>
          <w:p w14:paraId="7A9F2020">
            <w:pPr>
              <w:snapToGrid w:val="0"/>
              <w:spacing w:line="240" w:lineRule="auto"/>
              <w:ind w:firstLine="0" w:firstLineChars="0"/>
              <w:jc w:val="center"/>
              <w:rPr>
                <w:kern w:val="2"/>
                <w:sz w:val="21"/>
                <w:szCs w:val="21"/>
              </w:rPr>
            </w:pPr>
          </w:p>
        </w:tc>
      </w:tr>
    </w:tbl>
    <w:p w14:paraId="3341D933">
      <w:pPr>
        <w:pStyle w:val="5"/>
      </w:pPr>
      <w:bookmarkStart w:id="274" w:name="_Toc106663550"/>
      <w:r>
        <w:t>8.1.4排污</w:t>
      </w:r>
      <w:r>
        <w:rPr>
          <w:rFonts w:hint="eastAsia"/>
        </w:rPr>
        <w:t>口规范化设置</w:t>
      </w:r>
      <w:bookmarkEnd w:id="274"/>
    </w:p>
    <w:p w14:paraId="00364429">
      <w:pPr>
        <w:ind w:firstLine="480"/>
      </w:pPr>
      <w:r>
        <w:t>根据《排污许可管理办法（试行）》（环境保护部令第48号），排污单位应当依法持有排污许可证，并按照排污许可证的规定排放污染物</w:t>
      </w:r>
      <w:r>
        <w:rPr>
          <w:rFonts w:hint="eastAsia"/>
        </w:rPr>
        <w:t>。</w:t>
      </w:r>
      <w:r>
        <w:t>应当取得排污许可证而未取得的，不得排放污染物</w:t>
      </w:r>
      <w:r>
        <w:rPr>
          <w:rFonts w:hint="eastAsia"/>
        </w:rPr>
        <w:t>。</w:t>
      </w:r>
      <w:r>
        <w:t>固定噪声源、固体废物贮存和排气筒必须按照国家和自治区的有关规定进行建设，应符合</w:t>
      </w:r>
      <w:r>
        <w:rPr>
          <w:rFonts w:hint="eastAsia"/>
        </w:rPr>
        <w:t>”</w:t>
      </w:r>
      <w:r>
        <w:t>一明显、二合理、三便于</w:t>
      </w:r>
      <w:r>
        <w:rPr>
          <w:rFonts w:hint="eastAsia"/>
        </w:rPr>
        <w:t>”</w:t>
      </w:r>
      <w:r>
        <w:t>的要求，即环保标志明显，排污口设置合理，便于采集样品、便于监测计量、便于公众参与和监督管理</w:t>
      </w:r>
      <w:r>
        <w:rPr>
          <w:rFonts w:hint="eastAsia"/>
        </w:rPr>
        <w:t>。</w:t>
      </w:r>
      <w:r>
        <w:t>同时要求按照国家环保总局制定的《环境保护图形标志实施细则（试行）》的规定，设置与排污口相应的图形标志牌</w:t>
      </w:r>
      <w:r>
        <w:rPr>
          <w:rFonts w:hint="eastAsia"/>
        </w:rPr>
        <w:t>。</w:t>
      </w:r>
    </w:p>
    <w:p w14:paraId="3CE18913">
      <w:pPr>
        <w:ind w:firstLine="480"/>
      </w:pPr>
      <w:r>
        <w:t>本项目应按《环境保护图形标志—排放口（源）》（GB15562.1-1995）</w:t>
      </w:r>
      <w:r>
        <w:rPr>
          <w:rFonts w:hint="eastAsia"/>
        </w:rPr>
        <w:t>和《危险废物识别标志设置技术规范》（HJ1276-2022）</w:t>
      </w:r>
      <w:r>
        <w:t>规定的图形，在各气、水、声排污口（源）挂牌标识，做到各排污口（源）的环保标志明显，便于企业管理和公众监督</w:t>
      </w:r>
      <w:r>
        <w:rPr>
          <w:rFonts w:hint="eastAsia"/>
        </w:rPr>
        <w:t>。</w:t>
      </w:r>
      <w:r>
        <w:t>污染物排放口的环保图形标志牌应设置在靠近采样点的醒目位置处，标志牌设置高度为其上缘距地面约2m</w:t>
      </w:r>
      <w:r>
        <w:rPr>
          <w:rFonts w:hint="eastAsia"/>
        </w:rPr>
        <w:t>。</w:t>
      </w:r>
    </w:p>
    <w:p w14:paraId="33546FE0">
      <w:pPr>
        <w:ind w:firstLine="480"/>
      </w:pPr>
      <w:r>
        <w:rPr>
          <w:rFonts w:hint="eastAsia"/>
        </w:rPr>
        <w:t>本项目环境保护图形标志具体设置图形见图8.1-1。</w:t>
      </w:r>
    </w:p>
    <w:p w14:paraId="4954C1A9">
      <w:pPr>
        <w:pStyle w:val="11"/>
      </w:pPr>
      <w:r>
        <w:rPr>
          <w:rFonts w:hint="eastAsia"/>
        </w:rPr>
        <w:t>图8.1-1环境保护图形标志</w:t>
      </w:r>
      <w:r>
        <w:drawing>
          <wp:inline distT="0" distB="0" distL="114300" distR="114300">
            <wp:extent cx="5276215" cy="1837690"/>
            <wp:effectExtent l="0" t="0" r="635" b="1016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91"/>
                    <a:srcRect t="1025"/>
                    <a:stretch>
                      <a:fillRect/>
                    </a:stretch>
                  </pic:blipFill>
                  <pic:spPr>
                    <a:xfrm>
                      <a:off x="0" y="0"/>
                      <a:ext cx="5276215" cy="1837690"/>
                    </a:xfrm>
                    <a:prstGeom prst="rect">
                      <a:avLst/>
                    </a:prstGeom>
                    <a:noFill/>
                    <a:ln>
                      <a:noFill/>
                    </a:ln>
                  </pic:spPr>
                </pic:pic>
              </a:graphicData>
            </a:graphic>
          </wp:inline>
        </w:drawing>
      </w:r>
    </w:p>
    <w:p w14:paraId="53964FB4">
      <w:pPr>
        <w:pStyle w:val="5"/>
      </w:pPr>
      <w:bookmarkStart w:id="275" w:name="_Toc106663551"/>
      <w:r>
        <w:rPr>
          <w:rFonts w:hint="eastAsia"/>
        </w:rPr>
        <w:t>8.1.5</w:t>
      </w:r>
      <w:r>
        <w:t>环境影响评价制度与排污许可制衔接分析</w:t>
      </w:r>
      <w:bookmarkEnd w:id="275"/>
    </w:p>
    <w:p w14:paraId="487C8807">
      <w:pPr>
        <w:ind w:firstLine="480"/>
      </w:pPr>
      <w:r>
        <w:t>根据环办环评[2017]84号《关于做好环境影响评价制度与排污许可制衔接相关工作的通知》，为贯彻落实《国务院办公厅关于印发控制污染物排放许可制实施方案的通知》（国办发〔2016〕81号），推进环境质量改善，现就做好建设项目环境影响评价制度与排污许可制有机衔接相关工作通知</w:t>
      </w:r>
      <w:r>
        <w:rPr>
          <w:rFonts w:hint="eastAsia"/>
        </w:rPr>
        <w:t>。</w:t>
      </w:r>
    </w:p>
    <w:p w14:paraId="6C7B5400">
      <w:pPr>
        <w:ind w:firstLine="480"/>
      </w:pPr>
      <w:r>
        <w:t>建设项目发生实际排污行为之前，排污单位应当按照国家环境保护相关法律法规以及《排污许可证申请与核发技术规范畜禽养殖行业》（HJ1029-2019）中相关规定申请排污许可证，不得无证排污或不按证排污</w:t>
      </w:r>
      <w:r>
        <w:rPr>
          <w:rFonts w:hint="eastAsia"/>
        </w:rPr>
        <w:t>。</w:t>
      </w:r>
      <w:r>
        <w:t>污染物排放相关的主要内容应当纳入排污许可证</w:t>
      </w:r>
      <w:r>
        <w:rPr>
          <w:rFonts w:hint="eastAsia"/>
        </w:rPr>
        <w:t>。</w:t>
      </w:r>
    </w:p>
    <w:p w14:paraId="52526D93">
      <w:pPr>
        <w:pStyle w:val="5"/>
      </w:pPr>
      <w:bookmarkStart w:id="276" w:name="_Toc106663552"/>
      <w:r>
        <w:rPr>
          <w:rFonts w:hint="eastAsia"/>
        </w:rPr>
        <w:t>8.1.6</w:t>
      </w:r>
      <w:r>
        <w:t>企业环境信息公开</w:t>
      </w:r>
      <w:bookmarkEnd w:id="276"/>
    </w:p>
    <w:p w14:paraId="3F4277B2">
      <w:pPr>
        <w:ind w:firstLine="480"/>
      </w:pPr>
      <w:r>
        <w:t>根据《企业事业单位环境信息公开办法》（环境保护部第31号）相关规定，企业事业单位应当建立健全本单位环境信息公开制度，制定机构负责本单位环境信息公开日常工作</w:t>
      </w:r>
      <w:r>
        <w:rPr>
          <w:rFonts w:hint="eastAsia"/>
        </w:rPr>
        <w:t>。</w:t>
      </w:r>
      <w:r>
        <w:t>根据企业特点，新疆国瑞牧升科技有限公司网站或本单位的资料索取点、信息公开栏、信息亭、电子屏幕或其他便于公众及时、准确获得信息的场所和方式公开下列信息：</w:t>
      </w:r>
    </w:p>
    <w:p w14:paraId="73F6B297">
      <w:pPr>
        <w:ind w:firstLine="480"/>
      </w:pPr>
      <w:r>
        <w:t>1、项目基础信息：包括单位名称、组织机构代码、法定代表人、生产地址、联系方式，以及生产经营和管理服务的主要内容、产品及规模</w:t>
      </w:r>
      <w:r>
        <w:rPr>
          <w:rFonts w:hint="eastAsia"/>
        </w:rPr>
        <w:t>。</w:t>
      </w:r>
    </w:p>
    <w:p w14:paraId="5A2E3D45">
      <w:pPr>
        <w:ind w:firstLine="480"/>
      </w:pPr>
      <w:r>
        <w:t>2、排污信息：包括主要污染物及特征污染物的名称、排放方式、排放口数量和分布情况、排放浓度和总量、超标情况，及执行的污染物排放标准、核定的排放总量</w:t>
      </w:r>
      <w:r>
        <w:rPr>
          <w:rFonts w:hint="eastAsia"/>
        </w:rPr>
        <w:t>。</w:t>
      </w:r>
    </w:p>
    <w:p w14:paraId="3AF167FE">
      <w:pPr>
        <w:ind w:firstLine="480"/>
      </w:pPr>
      <w:r>
        <w:t>3、防治污染设施的建设和运行情况</w:t>
      </w:r>
      <w:r>
        <w:rPr>
          <w:rFonts w:hint="eastAsia"/>
        </w:rPr>
        <w:t>。</w:t>
      </w:r>
    </w:p>
    <w:p w14:paraId="5A2F52A3">
      <w:pPr>
        <w:ind w:firstLine="480"/>
      </w:pPr>
      <w:r>
        <w:t>4、建设项目环境影响评价及其他环境保护行政许可情况</w:t>
      </w:r>
      <w:r>
        <w:rPr>
          <w:rFonts w:hint="eastAsia"/>
        </w:rPr>
        <w:t>。</w:t>
      </w:r>
    </w:p>
    <w:p w14:paraId="64822F79">
      <w:pPr>
        <w:ind w:firstLine="480"/>
      </w:pPr>
      <w:r>
        <w:t>5、突发环境事件应急预案</w:t>
      </w:r>
      <w:r>
        <w:rPr>
          <w:rFonts w:hint="eastAsia"/>
        </w:rPr>
        <w:t>。</w:t>
      </w:r>
    </w:p>
    <w:p w14:paraId="71642340">
      <w:pPr>
        <w:ind w:firstLine="480"/>
      </w:pPr>
      <w:r>
        <w:t>6、其他应当公开的环境信息</w:t>
      </w:r>
      <w:r>
        <w:rPr>
          <w:rFonts w:hint="eastAsia"/>
        </w:rPr>
        <w:t>。</w:t>
      </w:r>
    </w:p>
    <w:p w14:paraId="29A9367A">
      <w:pPr>
        <w:ind w:firstLine="480"/>
      </w:pPr>
      <w:r>
        <w:t>如若公司的环境信息发生变更或有新生成时，应在环境信息生成或者变更之日起三十日内予以公开</w:t>
      </w:r>
      <w:r>
        <w:rPr>
          <w:rFonts w:hint="eastAsia"/>
        </w:rPr>
        <w:t>。</w:t>
      </w:r>
      <w:r>
        <w:t>环境保护主管部门应当宣传和引导公众监督企业事业单位环境信息公开工作</w:t>
      </w:r>
      <w:r>
        <w:rPr>
          <w:rFonts w:hint="eastAsia"/>
        </w:rPr>
        <w:t>。</w:t>
      </w:r>
    </w:p>
    <w:p w14:paraId="5B9BB345">
      <w:pPr>
        <w:pStyle w:val="4"/>
      </w:pPr>
      <w:bookmarkStart w:id="277" w:name="_Toc116777512"/>
      <w:bookmarkStart w:id="278" w:name="_Toc304234030"/>
      <w:bookmarkStart w:id="279" w:name="_Toc265225834"/>
      <w:bookmarkStart w:id="280" w:name="_Toc269723053"/>
      <w:bookmarkStart w:id="281" w:name="_Toc112970953"/>
      <w:bookmarkStart w:id="282" w:name="_Toc370052949"/>
      <w:bookmarkStart w:id="283" w:name="_Toc79578680"/>
      <w:bookmarkStart w:id="284" w:name="_Toc113254183"/>
      <w:bookmarkStart w:id="285" w:name="_Toc273384092"/>
      <w:bookmarkStart w:id="286" w:name="_Toc113254453"/>
      <w:bookmarkStart w:id="287" w:name="_Toc24182"/>
      <w:bookmarkStart w:id="288" w:name="_Toc75019041"/>
      <w:bookmarkStart w:id="289" w:name="_Toc112971017"/>
      <w:bookmarkStart w:id="290" w:name="_Toc113278854"/>
      <w:bookmarkStart w:id="291" w:name="_Toc94001017"/>
      <w:bookmarkStart w:id="292" w:name="_Toc265225646"/>
      <w:bookmarkStart w:id="293" w:name="_Toc4338"/>
      <w:bookmarkStart w:id="294" w:name="_Toc89619358"/>
      <w:r>
        <w:rPr>
          <w:rFonts w:hint="eastAsia"/>
        </w:rPr>
        <w:t>8.2</w:t>
      </w:r>
      <w:r>
        <w:t>环境监测</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Pr>
          <w:rFonts w:hint="eastAsia"/>
        </w:rPr>
        <w:t>计划</w:t>
      </w:r>
      <w:bookmarkEnd w:id="293"/>
      <w:bookmarkEnd w:id="294"/>
    </w:p>
    <w:p w14:paraId="7F394CCF">
      <w:pPr>
        <w:ind w:firstLine="480"/>
      </w:pPr>
      <w:r>
        <w:rPr>
          <w:rFonts w:hint="eastAsia"/>
        </w:rPr>
        <w:t>根据本项目污染源和厂址区域环境特点，按照《排污单位自行监测技术指南总则》（HJ819）、《排污许可证申请与核发技术规范畜禽养殖行业》（HJ1029-2019）制定环境监测方案。</w:t>
      </w:r>
    </w:p>
    <w:p w14:paraId="54448CDF">
      <w:pPr>
        <w:ind w:firstLine="480"/>
      </w:pPr>
      <w:r>
        <w:t>针对本项目所排污染物情况，制定详细监测计划见表</w:t>
      </w:r>
      <w:r>
        <w:rPr>
          <w:rFonts w:hint="eastAsia"/>
        </w:rPr>
        <w:t>8.2-1。</w:t>
      </w:r>
    </w:p>
    <w:p w14:paraId="64DD2199">
      <w:pPr>
        <w:pStyle w:val="11"/>
      </w:pPr>
      <w:r>
        <w:t>表</w:t>
      </w:r>
      <w:r>
        <w:rPr>
          <w:rFonts w:hint="eastAsia"/>
        </w:rPr>
        <w:t>8.2-1</w:t>
      </w:r>
      <w:r>
        <w:t>建设项目环境</w:t>
      </w:r>
      <w:r>
        <w:rPr>
          <w:rFonts w:hint="eastAsia"/>
        </w:rPr>
        <w:t>监测</w:t>
      </w:r>
      <w:r>
        <w:t>计划一览表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0" w:type="dxa"/>
          <w:bottom w:w="0" w:type="dxa"/>
          <w:right w:w="0" w:type="dxa"/>
        </w:tblCellMar>
      </w:tblPr>
      <w:tblGrid>
        <w:gridCol w:w="1326"/>
        <w:gridCol w:w="3321"/>
        <w:gridCol w:w="2457"/>
        <w:gridCol w:w="1209"/>
      </w:tblGrid>
      <w:tr w14:paraId="245E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97" w:hRule="atLeast"/>
          <w:jc w:val="center"/>
        </w:trPr>
        <w:tc>
          <w:tcPr>
            <w:tcW w:w="797" w:type="pct"/>
            <w:tcBorders>
              <w:tl2br w:val="nil"/>
              <w:tr2bl w:val="nil"/>
            </w:tcBorders>
            <w:shd w:val="clear" w:color="000000" w:fill="auto"/>
            <w:vAlign w:val="center"/>
          </w:tcPr>
          <w:p w14:paraId="125EDB94">
            <w:pPr>
              <w:snapToGrid w:val="0"/>
              <w:spacing w:line="240" w:lineRule="auto"/>
              <w:ind w:firstLine="0" w:firstLineChars="0"/>
              <w:jc w:val="center"/>
              <w:rPr>
                <w:sz w:val="21"/>
                <w:szCs w:val="24"/>
              </w:rPr>
            </w:pPr>
            <w:r>
              <w:rPr>
                <w:rFonts w:hint="eastAsia"/>
                <w:sz w:val="21"/>
                <w:szCs w:val="24"/>
              </w:rPr>
              <w:t>要素</w:t>
            </w:r>
          </w:p>
        </w:tc>
        <w:tc>
          <w:tcPr>
            <w:tcW w:w="1997" w:type="pct"/>
            <w:tcBorders>
              <w:tl2br w:val="nil"/>
              <w:tr2bl w:val="nil"/>
            </w:tcBorders>
            <w:shd w:val="clear" w:color="000000" w:fill="auto"/>
            <w:vAlign w:val="center"/>
          </w:tcPr>
          <w:p w14:paraId="5C1A6CF1">
            <w:pPr>
              <w:snapToGrid w:val="0"/>
              <w:spacing w:line="240" w:lineRule="auto"/>
              <w:ind w:firstLine="0" w:firstLineChars="0"/>
              <w:jc w:val="center"/>
              <w:rPr>
                <w:sz w:val="21"/>
                <w:szCs w:val="24"/>
              </w:rPr>
            </w:pPr>
            <w:r>
              <w:rPr>
                <w:rFonts w:hint="eastAsia"/>
                <w:sz w:val="21"/>
                <w:szCs w:val="24"/>
              </w:rPr>
              <w:t>监测点位</w:t>
            </w:r>
          </w:p>
        </w:tc>
        <w:tc>
          <w:tcPr>
            <w:tcW w:w="1477" w:type="pct"/>
            <w:tcBorders>
              <w:tl2br w:val="nil"/>
              <w:tr2bl w:val="nil"/>
            </w:tcBorders>
            <w:shd w:val="clear" w:color="000000" w:fill="auto"/>
            <w:vAlign w:val="center"/>
          </w:tcPr>
          <w:p w14:paraId="7CD251E2">
            <w:pPr>
              <w:snapToGrid w:val="0"/>
              <w:spacing w:line="240" w:lineRule="auto"/>
              <w:ind w:firstLine="0" w:firstLineChars="0"/>
              <w:jc w:val="center"/>
              <w:rPr>
                <w:sz w:val="21"/>
                <w:szCs w:val="24"/>
              </w:rPr>
            </w:pPr>
            <w:r>
              <w:rPr>
                <w:sz w:val="21"/>
                <w:szCs w:val="24"/>
              </w:rPr>
              <w:t>监测项目</w:t>
            </w:r>
          </w:p>
        </w:tc>
        <w:tc>
          <w:tcPr>
            <w:tcW w:w="727" w:type="pct"/>
            <w:tcBorders>
              <w:tl2br w:val="nil"/>
              <w:tr2bl w:val="nil"/>
            </w:tcBorders>
            <w:shd w:val="clear" w:color="000000" w:fill="auto"/>
            <w:vAlign w:val="center"/>
          </w:tcPr>
          <w:p w14:paraId="2B9C405E">
            <w:pPr>
              <w:snapToGrid w:val="0"/>
              <w:spacing w:line="240" w:lineRule="auto"/>
              <w:ind w:firstLine="0" w:firstLineChars="0"/>
              <w:jc w:val="center"/>
              <w:rPr>
                <w:sz w:val="21"/>
                <w:szCs w:val="24"/>
              </w:rPr>
            </w:pPr>
            <w:r>
              <w:rPr>
                <w:sz w:val="21"/>
                <w:szCs w:val="24"/>
              </w:rPr>
              <w:t>监测频次</w:t>
            </w:r>
          </w:p>
        </w:tc>
      </w:tr>
      <w:tr w14:paraId="495C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90" w:hRule="atLeast"/>
          <w:jc w:val="center"/>
        </w:trPr>
        <w:tc>
          <w:tcPr>
            <w:tcW w:w="797" w:type="pct"/>
            <w:tcBorders>
              <w:tl2br w:val="nil"/>
              <w:tr2bl w:val="nil"/>
            </w:tcBorders>
            <w:shd w:val="clear" w:color="000000" w:fill="auto"/>
            <w:vAlign w:val="center"/>
          </w:tcPr>
          <w:p w14:paraId="4830BEF3">
            <w:pPr>
              <w:snapToGrid w:val="0"/>
              <w:spacing w:line="240" w:lineRule="auto"/>
              <w:ind w:firstLine="0" w:firstLineChars="0"/>
              <w:jc w:val="center"/>
              <w:rPr>
                <w:sz w:val="21"/>
                <w:szCs w:val="24"/>
              </w:rPr>
            </w:pPr>
            <w:r>
              <w:rPr>
                <w:rFonts w:hint="eastAsia"/>
                <w:sz w:val="21"/>
                <w:szCs w:val="24"/>
              </w:rPr>
              <w:t>废气</w:t>
            </w:r>
          </w:p>
        </w:tc>
        <w:tc>
          <w:tcPr>
            <w:tcW w:w="1997" w:type="pct"/>
            <w:tcBorders>
              <w:tl2br w:val="nil"/>
              <w:tr2bl w:val="nil"/>
            </w:tcBorders>
            <w:shd w:val="clear" w:color="000000" w:fill="auto"/>
            <w:vAlign w:val="center"/>
          </w:tcPr>
          <w:p w14:paraId="111A506A">
            <w:pPr>
              <w:snapToGrid w:val="0"/>
              <w:spacing w:line="240" w:lineRule="auto"/>
              <w:ind w:firstLine="0" w:firstLineChars="0"/>
              <w:jc w:val="center"/>
              <w:rPr>
                <w:sz w:val="21"/>
                <w:szCs w:val="24"/>
              </w:rPr>
            </w:pPr>
            <w:r>
              <w:rPr>
                <w:rFonts w:hint="eastAsia"/>
                <w:sz w:val="21"/>
                <w:szCs w:val="24"/>
              </w:rPr>
              <w:t>厂界</w:t>
            </w:r>
          </w:p>
        </w:tc>
        <w:tc>
          <w:tcPr>
            <w:tcW w:w="1477" w:type="pct"/>
            <w:tcBorders>
              <w:tl2br w:val="nil"/>
              <w:tr2bl w:val="nil"/>
            </w:tcBorders>
            <w:shd w:val="clear" w:color="000000" w:fill="auto"/>
            <w:vAlign w:val="center"/>
          </w:tcPr>
          <w:p w14:paraId="398BA7B5">
            <w:pPr>
              <w:snapToGrid w:val="0"/>
              <w:spacing w:line="240" w:lineRule="auto"/>
              <w:ind w:firstLine="0" w:firstLineChars="0"/>
              <w:jc w:val="center"/>
              <w:rPr>
                <w:sz w:val="21"/>
                <w:szCs w:val="24"/>
              </w:rPr>
            </w:pPr>
            <w:r>
              <w:rPr>
                <w:rFonts w:hint="eastAsia"/>
                <w:sz w:val="21"/>
                <w:szCs w:val="24"/>
              </w:rPr>
              <w:t>NH</w:t>
            </w:r>
            <w:r>
              <w:rPr>
                <w:rFonts w:hint="eastAsia"/>
                <w:sz w:val="21"/>
                <w:szCs w:val="24"/>
                <w:vertAlign w:val="subscript"/>
              </w:rPr>
              <w:t>3</w:t>
            </w:r>
            <w:r>
              <w:rPr>
                <w:rFonts w:hint="eastAsia"/>
                <w:sz w:val="21"/>
                <w:szCs w:val="24"/>
              </w:rPr>
              <w:t>、H</w:t>
            </w:r>
            <w:r>
              <w:rPr>
                <w:rFonts w:hint="eastAsia"/>
                <w:sz w:val="21"/>
                <w:szCs w:val="24"/>
                <w:vertAlign w:val="subscript"/>
              </w:rPr>
              <w:t>2</w:t>
            </w:r>
            <w:r>
              <w:rPr>
                <w:rFonts w:hint="eastAsia"/>
                <w:sz w:val="21"/>
                <w:szCs w:val="24"/>
              </w:rPr>
              <w:t>S、臭气浓度</w:t>
            </w:r>
          </w:p>
        </w:tc>
        <w:tc>
          <w:tcPr>
            <w:tcW w:w="727" w:type="pct"/>
            <w:tcBorders>
              <w:tl2br w:val="nil"/>
              <w:tr2bl w:val="nil"/>
            </w:tcBorders>
            <w:shd w:val="clear" w:color="000000" w:fill="auto"/>
            <w:vAlign w:val="center"/>
          </w:tcPr>
          <w:p w14:paraId="3DADA33F">
            <w:pPr>
              <w:snapToGrid w:val="0"/>
              <w:spacing w:line="240" w:lineRule="auto"/>
              <w:ind w:firstLine="0" w:firstLineChars="0"/>
              <w:jc w:val="center"/>
              <w:rPr>
                <w:sz w:val="21"/>
                <w:szCs w:val="24"/>
              </w:rPr>
            </w:pPr>
            <w:r>
              <w:rPr>
                <w:sz w:val="21"/>
                <w:szCs w:val="24"/>
              </w:rPr>
              <w:t>1次/</w:t>
            </w:r>
            <w:r>
              <w:rPr>
                <w:rFonts w:hint="eastAsia"/>
                <w:sz w:val="21"/>
                <w:szCs w:val="24"/>
              </w:rPr>
              <w:t>年</w:t>
            </w:r>
          </w:p>
        </w:tc>
      </w:tr>
      <w:tr w14:paraId="1F92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7" w:type="pct"/>
            <w:tcBorders>
              <w:tl2br w:val="nil"/>
              <w:tr2bl w:val="nil"/>
            </w:tcBorders>
            <w:shd w:val="clear" w:color="000000" w:fill="auto"/>
            <w:vAlign w:val="center"/>
          </w:tcPr>
          <w:p w14:paraId="7A238E2F">
            <w:pPr>
              <w:snapToGrid w:val="0"/>
              <w:spacing w:line="240" w:lineRule="auto"/>
              <w:ind w:firstLine="0" w:firstLineChars="0"/>
              <w:jc w:val="center"/>
              <w:rPr>
                <w:sz w:val="21"/>
                <w:szCs w:val="24"/>
              </w:rPr>
            </w:pPr>
            <w:r>
              <w:rPr>
                <w:rFonts w:hint="eastAsia"/>
                <w:sz w:val="21"/>
                <w:szCs w:val="24"/>
              </w:rPr>
              <w:t>噪声</w:t>
            </w:r>
          </w:p>
        </w:tc>
        <w:tc>
          <w:tcPr>
            <w:tcW w:w="1997" w:type="pct"/>
            <w:tcBorders>
              <w:tl2br w:val="nil"/>
              <w:tr2bl w:val="nil"/>
            </w:tcBorders>
            <w:shd w:val="clear" w:color="000000" w:fill="auto"/>
            <w:vAlign w:val="center"/>
          </w:tcPr>
          <w:p w14:paraId="41128EEB">
            <w:pPr>
              <w:snapToGrid w:val="0"/>
              <w:spacing w:line="240" w:lineRule="auto"/>
              <w:ind w:firstLine="0" w:firstLineChars="0"/>
              <w:jc w:val="center"/>
              <w:rPr>
                <w:sz w:val="21"/>
                <w:szCs w:val="24"/>
              </w:rPr>
            </w:pPr>
            <w:r>
              <w:rPr>
                <w:rFonts w:hint="eastAsia"/>
                <w:sz w:val="21"/>
                <w:szCs w:val="24"/>
              </w:rPr>
              <w:t>厂界四周外1m</w:t>
            </w:r>
          </w:p>
        </w:tc>
        <w:tc>
          <w:tcPr>
            <w:tcW w:w="1477" w:type="pct"/>
            <w:tcBorders>
              <w:tl2br w:val="nil"/>
              <w:tr2bl w:val="nil"/>
            </w:tcBorders>
            <w:shd w:val="clear" w:color="000000" w:fill="auto"/>
            <w:vAlign w:val="center"/>
          </w:tcPr>
          <w:p w14:paraId="0001B24E">
            <w:pPr>
              <w:snapToGrid w:val="0"/>
              <w:spacing w:line="240" w:lineRule="auto"/>
              <w:ind w:firstLine="0" w:firstLineChars="0"/>
              <w:jc w:val="center"/>
              <w:rPr>
                <w:sz w:val="21"/>
                <w:szCs w:val="24"/>
              </w:rPr>
            </w:pPr>
            <w:r>
              <w:rPr>
                <w:sz w:val="21"/>
                <w:szCs w:val="24"/>
              </w:rPr>
              <w:t>等效A声级</w:t>
            </w:r>
          </w:p>
        </w:tc>
        <w:tc>
          <w:tcPr>
            <w:tcW w:w="727" w:type="pct"/>
            <w:tcBorders>
              <w:tl2br w:val="nil"/>
              <w:tr2bl w:val="nil"/>
            </w:tcBorders>
            <w:shd w:val="clear" w:color="000000" w:fill="auto"/>
            <w:vAlign w:val="center"/>
          </w:tcPr>
          <w:p w14:paraId="5C220126">
            <w:pPr>
              <w:snapToGrid w:val="0"/>
              <w:spacing w:line="240" w:lineRule="auto"/>
              <w:ind w:firstLine="0" w:firstLineChars="0"/>
              <w:jc w:val="center"/>
              <w:rPr>
                <w:sz w:val="21"/>
                <w:szCs w:val="24"/>
              </w:rPr>
            </w:pPr>
            <w:r>
              <w:rPr>
                <w:sz w:val="21"/>
                <w:szCs w:val="24"/>
              </w:rPr>
              <w:t>1次/</w:t>
            </w:r>
            <w:r>
              <w:rPr>
                <w:rFonts w:hint="eastAsia"/>
                <w:sz w:val="21"/>
                <w:szCs w:val="24"/>
              </w:rPr>
              <w:t>季度</w:t>
            </w:r>
          </w:p>
        </w:tc>
      </w:tr>
      <w:tr w14:paraId="4CF8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797" w:type="pct"/>
            <w:tcBorders>
              <w:tl2br w:val="nil"/>
              <w:tr2bl w:val="nil"/>
            </w:tcBorders>
            <w:shd w:val="clear" w:color="000000" w:fill="auto"/>
            <w:vAlign w:val="center"/>
          </w:tcPr>
          <w:p w14:paraId="62781B86">
            <w:pPr>
              <w:snapToGrid w:val="0"/>
              <w:spacing w:line="240" w:lineRule="auto"/>
              <w:ind w:firstLine="0" w:firstLineChars="0"/>
              <w:jc w:val="center"/>
              <w:rPr>
                <w:sz w:val="21"/>
                <w:szCs w:val="24"/>
              </w:rPr>
            </w:pPr>
            <w:r>
              <w:rPr>
                <w:rFonts w:hint="eastAsia"/>
                <w:sz w:val="21"/>
                <w:szCs w:val="24"/>
              </w:rPr>
              <w:t>地下水</w:t>
            </w:r>
          </w:p>
        </w:tc>
        <w:tc>
          <w:tcPr>
            <w:tcW w:w="1997" w:type="pct"/>
            <w:tcBorders>
              <w:tl2br w:val="nil"/>
              <w:tr2bl w:val="nil"/>
            </w:tcBorders>
            <w:shd w:val="clear" w:color="000000" w:fill="auto"/>
            <w:vAlign w:val="center"/>
          </w:tcPr>
          <w:p w14:paraId="34C4D679">
            <w:pPr>
              <w:snapToGrid w:val="0"/>
              <w:spacing w:line="240" w:lineRule="auto"/>
              <w:ind w:firstLine="0" w:firstLineChars="0"/>
              <w:jc w:val="center"/>
              <w:rPr>
                <w:sz w:val="21"/>
                <w:szCs w:val="24"/>
              </w:rPr>
            </w:pPr>
            <w:r>
              <w:rPr>
                <w:rFonts w:hint="eastAsia"/>
                <w:sz w:val="21"/>
                <w:szCs w:val="24"/>
              </w:rPr>
              <w:t>建设项目场地下游500m范围内</w:t>
            </w:r>
          </w:p>
        </w:tc>
        <w:tc>
          <w:tcPr>
            <w:tcW w:w="1477" w:type="pct"/>
            <w:tcBorders>
              <w:tl2br w:val="nil"/>
              <w:tr2bl w:val="nil"/>
            </w:tcBorders>
            <w:shd w:val="clear" w:color="000000" w:fill="auto"/>
            <w:vAlign w:val="center"/>
          </w:tcPr>
          <w:p w14:paraId="7E649DEB">
            <w:pPr>
              <w:snapToGrid w:val="0"/>
              <w:spacing w:line="240" w:lineRule="auto"/>
              <w:ind w:firstLine="0" w:firstLineChars="0"/>
              <w:jc w:val="center"/>
              <w:rPr>
                <w:sz w:val="21"/>
                <w:szCs w:val="24"/>
              </w:rPr>
            </w:pPr>
            <w:r>
              <w:rPr>
                <w:rFonts w:hint="eastAsia"/>
                <w:sz w:val="21"/>
                <w:szCs w:val="24"/>
              </w:rPr>
              <w:t>pH、总硬度、溶解性总固体、耗氧量、硝酸盐、亚硝酸盐、氨氮、六价铬、硫酸盐、氯化物、氟化物、挥发酚、汞、砷、镉、铅、锰、氰化物、总大肠菌群</w:t>
            </w:r>
          </w:p>
        </w:tc>
        <w:tc>
          <w:tcPr>
            <w:tcW w:w="727" w:type="pct"/>
            <w:tcBorders>
              <w:tl2br w:val="nil"/>
              <w:tr2bl w:val="nil"/>
            </w:tcBorders>
            <w:shd w:val="clear" w:color="000000" w:fill="auto"/>
            <w:vAlign w:val="center"/>
          </w:tcPr>
          <w:p w14:paraId="750B48E3">
            <w:pPr>
              <w:snapToGrid w:val="0"/>
              <w:spacing w:line="240" w:lineRule="auto"/>
              <w:ind w:firstLine="0" w:firstLineChars="0"/>
              <w:jc w:val="center"/>
              <w:rPr>
                <w:sz w:val="21"/>
                <w:szCs w:val="24"/>
              </w:rPr>
            </w:pPr>
            <w:r>
              <w:rPr>
                <w:sz w:val="21"/>
                <w:szCs w:val="24"/>
              </w:rPr>
              <w:t>1次/</w:t>
            </w:r>
            <w:r>
              <w:rPr>
                <w:rFonts w:hint="eastAsia"/>
                <w:sz w:val="21"/>
                <w:szCs w:val="24"/>
              </w:rPr>
              <w:t>1年</w:t>
            </w:r>
          </w:p>
        </w:tc>
      </w:tr>
      <w:tr w14:paraId="642F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797" w:type="pct"/>
            <w:tcBorders>
              <w:tl2br w:val="nil"/>
              <w:tr2bl w:val="nil"/>
            </w:tcBorders>
            <w:shd w:val="clear" w:color="000000" w:fill="auto"/>
            <w:vAlign w:val="center"/>
          </w:tcPr>
          <w:p w14:paraId="679170F8">
            <w:pPr>
              <w:snapToGrid w:val="0"/>
              <w:spacing w:line="240" w:lineRule="auto"/>
              <w:ind w:firstLine="0" w:firstLineChars="0"/>
              <w:jc w:val="center"/>
              <w:rPr>
                <w:sz w:val="21"/>
                <w:szCs w:val="24"/>
              </w:rPr>
            </w:pPr>
            <w:r>
              <w:rPr>
                <w:rFonts w:hint="eastAsia"/>
                <w:sz w:val="21"/>
                <w:szCs w:val="24"/>
              </w:rPr>
              <w:t>土壤</w:t>
            </w:r>
          </w:p>
        </w:tc>
        <w:tc>
          <w:tcPr>
            <w:tcW w:w="1997" w:type="pct"/>
            <w:tcBorders>
              <w:tl2br w:val="nil"/>
              <w:tr2bl w:val="nil"/>
            </w:tcBorders>
            <w:shd w:val="clear" w:color="000000" w:fill="auto"/>
            <w:vAlign w:val="center"/>
          </w:tcPr>
          <w:p w14:paraId="51A7D0A1">
            <w:pPr>
              <w:snapToGrid w:val="0"/>
              <w:spacing w:line="240" w:lineRule="auto"/>
              <w:ind w:firstLine="0" w:firstLineChars="0"/>
              <w:jc w:val="center"/>
              <w:rPr>
                <w:sz w:val="21"/>
                <w:szCs w:val="24"/>
              </w:rPr>
            </w:pPr>
            <w:r>
              <w:rPr>
                <w:rFonts w:hint="eastAsia"/>
                <w:sz w:val="21"/>
                <w:szCs w:val="24"/>
              </w:rPr>
              <w:t>项目区内（表土层）</w:t>
            </w:r>
          </w:p>
        </w:tc>
        <w:tc>
          <w:tcPr>
            <w:tcW w:w="1477" w:type="pct"/>
            <w:tcBorders>
              <w:tl2br w:val="nil"/>
              <w:tr2bl w:val="nil"/>
            </w:tcBorders>
            <w:shd w:val="clear" w:color="000000" w:fill="auto"/>
            <w:vAlign w:val="center"/>
          </w:tcPr>
          <w:p w14:paraId="2DFB97F7">
            <w:pPr>
              <w:snapToGrid w:val="0"/>
              <w:spacing w:line="240" w:lineRule="auto"/>
              <w:ind w:firstLine="0" w:firstLineChars="0"/>
              <w:jc w:val="center"/>
              <w:rPr>
                <w:sz w:val="21"/>
                <w:szCs w:val="24"/>
              </w:rPr>
            </w:pPr>
            <w:r>
              <w:rPr>
                <w:sz w:val="21"/>
                <w:szCs w:val="24"/>
              </w:rPr>
              <w:t>pH</w:t>
            </w:r>
            <w:r>
              <w:rPr>
                <w:rFonts w:hint="eastAsia"/>
                <w:sz w:val="21"/>
                <w:szCs w:val="24"/>
              </w:rPr>
              <w:t>值、含盐量</w:t>
            </w:r>
          </w:p>
        </w:tc>
        <w:tc>
          <w:tcPr>
            <w:tcW w:w="727" w:type="pct"/>
            <w:tcBorders>
              <w:tl2br w:val="nil"/>
              <w:tr2bl w:val="nil"/>
            </w:tcBorders>
            <w:shd w:val="clear" w:color="000000" w:fill="auto"/>
            <w:vAlign w:val="center"/>
          </w:tcPr>
          <w:p w14:paraId="2801B2A7">
            <w:pPr>
              <w:snapToGrid w:val="0"/>
              <w:spacing w:line="240" w:lineRule="auto"/>
              <w:ind w:firstLine="0" w:firstLineChars="0"/>
              <w:jc w:val="center"/>
              <w:rPr>
                <w:sz w:val="21"/>
                <w:szCs w:val="24"/>
              </w:rPr>
            </w:pPr>
            <w:r>
              <w:rPr>
                <w:rFonts w:hint="eastAsia"/>
                <w:sz w:val="21"/>
                <w:szCs w:val="24"/>
              </w:rPr>
              <w:t>1次/年</w:t>
            </w:r>
          </w:p>
        </w:tc>
      </w:tr>
      <w:tr w14:paraId="3A67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797" w:type="pct"/>
            <w:tcBorders>
              <w:tl2br w:val="nil"/>
              <w:tr2bl w:val="nil"/>
            </w:tcBorders>
            <w:shd w:val="clear" w:color="000000" w:fill="auto"/>
            <w:vAlign w:val="center"/>
          </w:tcPr>
          <w:p w14:paraId="0BA59426">
            <w:pPr>
              <w:snapToGrid w:val="0"/>
              <w:spacing w:line="240" w:lineRule="auto"/>
              <w:ind w:firstLine="0" w:firstLineChars="0"/>
              <w:jc w:val="center"/>
              <w:rPr>
                <w:sz w:val="21"/>
                <w:szCs w:val="24"/>
              </w:rPr>
            </w:pPr>
            <w:r>
              <w:rPr>
                <w:rFonts w:hint="eastAsia"/>
                <w:sz w:val="21"/>
                <w:szCs w:val="24"/>
              </w:rPr>
              <w:t>噪声</w:t>
            </w:r>
          </w:p>
        </w:tc>
        <w:tc>
          <w:tcPr>
            <w:tcW w:w="1997" w:type="pct"/>
            <w:tcBorders>
              <w:tl2br w:val="nil"/>
              <w:tr2bl w:val="nil"/>
            </w:tcBorders>
            <w:shd w:val="clear" w:color="000000" w:fill="auto"/>
            <w:vAlign w:val="center"/>
          </w:tcPr>
          <w:p w14:paraId="6A31266E">
            <w:pPr>
              <w:snapToGrid w:val="0"/>
              <w:spacing w:line="240" w:lineRule="auto"/>
              <w:ind w:firstLine="0" w:firstLineChars="0"/>
              <w:jc w:val="center"/>
              <w:rPr>
                <w:sz w:val="21"/>
                <w:szCs w:val="24"/>
              </w:rPr>
            </w:pPr>
            <w:r>
              <w:rPr>
                <w:rFonts w:hint="eastAsia"/>
                <w:sz w:val="21"/>
                <w:szCs w:val="24"/>
              </w:rPr>
              <w:t>厂界四周</w:t>
            </w:r>
          </w:p>
        </w:tc>
        <w:tc>
          <w:tcPr>
            <w:tcW w:w="1477" w:type="pct"/>
            <w:tcBorders>
              <w:tl2br w:val="nil"/>
              <w:tr2bl w:val="nil"/>
            </w:tcBorders>
            <w:shd w:val="clear" w:color="000000" w:fill="auto"/>
            <w:vAlign w:val="center"/>
          </w:tcPr>
          <w:p w14:paraId="7A9C45BD">
            <w:pPr>
              <w:snapToGrid w:val="0"/>
              <w:spacing w:line="240" w:lineRule="auto"/>
              <w:ind w:firstLine="0" w:firstLineChars="0"/>
              <w:jc w:val="center"/>
              <w:rPr>
                <w:sz w:val="21"/>
                <w:szCs w:val="24"/>
              </w:rPr>
            </w:pPr>
            <w:r>
              <w:rPr>
                <w:rFonts w:hint="eastAsia"/>
                <w:sz w:val="21"/>
                <w:szCs w:val="24"/>
              </w:rPr>
              <w:t>等效A声级</w:t>
            </w:r>
          </w:p>
        </w:tc>
        <w:tc>
          <w:tcPr>
            <w:tcW w:w="727" w:type="pct"/>
            <w:tcBorders>
              <w:tl2br w:val="nil"/>
              <w:tr2bl w:val="nil"/>
            </w:tcBorders>
            <w:shd w:val="clear" w:color="000000" w:fill="auto"/>
            <w:vAlign w:val="center"/>
          </w:tcPr>
          <w:p w14:paraId="582C668F">
            <w:pPr>
              <w:snapToGrid w:val="0"/>
              <w:spacing w:line="240" w:lineRule="auto"/>
              <w:ind w:firstLine="0" w:firstLineChars="0"/>
              <w:jc w:val="center"/>
              <w:rPr>
                <w:sz w:val="21"/>
                <w:szCs w:val="24"/>
              </w:rPr>
            </w:pPr>
            <w:r>
              <w:rPr>
                <w:sz w:val="21"/>
                <w:szCs w:val="24"/>
              </w:rPr>
              <w:t>1次/</w:t>
            </w:r>
            <w:r>
              <w:rPr>
                <w:rFonts w:hint="eastAsia"/>
                <w:sz w:val="21"/>
                <w:szCs w:val="24"/>
              </w:rPr>
              <w:t>季度</w:t>
            </w:r>
          </w:p>
        </w:tc>
      </w:tr>
    </w:tbl>
    <w:p w14:paraId="2B35E254">
      <w:pPr>
        <w:ind w:firstLine="480"/>
      </w:pPr>
      <w:r>
        <w:rPr>
          <w:rFonts w:hint="eastAsia"/>
        </w:rPr>
        <w:t>关于监测点的选取、监测项目及监测周期的确定应根据国家规定的环境监测技术规范进行。</w:t>
      </w:r>
    </w:p>
    <w:p w14:paraId="4D38881B">
      <w:pPr>
        <w:ind w:firstLine="480"/>
      </w:pPr>
      <w:r>
        <w:rPr>
          <w:rFonts w:hint="eastAsia"/>
        </w:rPr>
        <w:t>非正常工况根据实际情况随时进行监测，如发生异常或对环境产生不利影响需立即采取相应措施进行处理。</w:t>
      </w:r>
    </w:p>
    <w:p w14:paraId="0CCA5A9D">
      <w:pPr>
        <w:pStyle w:val="4"/>
      </w:pPr>
      <w:bookmarkStart w:id="295" w:name="_Toc18212"/>
      <w:bookmarkStart w:id="296" w:name="_Toc89619359"/>
      <w:bookmarkStart w:id="297" w:name="_Toc15438"/>
      <w:r>
        <w:rPr>
          <w:rFonts w:hint="eastAsia"/>
        </w:rPr>
        <w:t>8.3</w:t>
      </w:r>
      <w:r>
        <w:t>竣工验收管理</w:t>
      </w:r>
      <w:bookmarkEnd w:id="295"/>
      <w:bookmarkEnd w:id="296"/>
      <w:bookmarkEnd w:id="297"/>
    </w:p>
    <w:p w14:paraId="4A02F49A">
      <w:pPr>
        <w:pStyle w:val="5"/>
      </w:pPr>
      <w:bookmarkStart w:id="298" w:name="_Toc106663555"/>
      <w:r>
        <w:rPr>
          <w:rFonts w:hint="eastAsia"/>
        </w:rPr>
        <w:t>8.3.1竣工验收管理及要求</w:t>
      </w:r>
      <w:bookmarkEnd w:id="298"/>
    </w:p>
    <w:p w14:paraId="6E6EA14B">
      <w:pPr>
        <w:ind w:firstLine="480"/>
      </w:pPr>
      <w:r>
        <w:rPr>
          <w:rFonts w:hint="eastAsia"/>
        </w:rPr>
        <w:t>根据《建设项目竣工环境保护验收暂行办法》，建设项目竣工后建设单位自主开展环境保护验收及相关监督管理。项目建设中应配套建设气、水、噪声或者固体废物污染防治设施，正式投入生产或使用之前自主开展环境保护验收。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验收报告分为验收监测（调查）报告、验收意见和其他需要说明的事项等三项内容。</w:t>
      </w:r>
    </w:p>
    <w:p w14:paraId="252EA2EC">
      <w:pPr>
        <w:ind w:firstLine="480"/>
      </w:pPr>
      <w:r>
        <w:rPr>
          <w:rFonts w:hint="eastAsia"/>
        </w:rPr>
        <w:t>（1）建设项目竣工环境保护验收的主要依据包括：</w:t>
      </w:r>
    </w:p>
    <w:p w14:paraId="092D0823">
      <w:pPr>
        <w:ind w:firstLine="480"/>
      </w:pPr>
      <w:r>
        <w:rPr>
          <w:rFonts w:hint="eastAsia"/>
        </w:rPr>
        <w:t>①建设项目环境保护相关法律、法规、规章、标准和规范性文件；</w:t>
      </w:r>
    </w:p>
    <w:p w14:paraId="1F9DD65F">
      <w:pPr>
        <w:ind w:firstLine="480"/>
      </w:pPr>
      <w:r>
        <w:rPr>
          <w:rFonts w:hint="eastAsia"/>
        </w:rPr>
        <w:t>②建设项目竣工环境保护验收技术规范；</w:t>
      </w:r>
    </w:p>
    <w:p w14:paraId="0535C212">
      <w:pPr>
        <w:ind w:firstLine="480"/>
      </w:pPr>
      <w:r>
        <w:rPr>
          <w:rFonts w:hint="eastAsia"/>
        </w:rPr>
        <w:t>③建设项目环境影响报告书及审批部门审批决定。</w:t>
      </w:r>
    </w:p>
    <w:p w14:paraId="7A62F1EB">
      <w:pPr>
        <w:ind w:firstLine="480"/>
      </w:pPr>
      <w:r>
        <w:rPr>
          <w:rFonts w:hint="eastAsia"/>
        </w:rPr>
        <w:t>（2）验收的程序和内容</w:t>
      </w:r>
    </w:p>
    <w:p w14:paraId="40E7CC37">
      <w:pPr>
        <w:ind w:firstLine="480"/>
      </w:pPr>
      <w:r>
        <w:rPr>
          <w:rFonts w:hint="eastAsia"/>
        </w:rPr>
        <w:t>建设项目竣工后，建设单位应当如实查验、监测、记载建设项目环境保护设施的建设和调试情况，编制验收监测（调查）报告。以排放污染物为主的建设项目，参照《建设项目竣工环境保护验收技术指南污染影响类》编制验收监测报告。</w:t>
      </w:r>
    </w:p>
    <w:p w14:paraId="17923FF6">
      <w:pPr>
        <w:ind w:firstLine="480"/>
      </w:pPr>
      <w:r>
        <w:rPr>
          <w:rFonts w:hint="eastAsia"/>
        </w:rPr>
        <w:t>建设单位应当确保调试期间污染物排放符合国家和地方有关污染物排放标准和排污许可等相关管理规定。</w:t>
      </w:r>
    </w:p>
    <w:p w14:paraId="60AC7C02">
      <w:pPr>
        <w:ind w:firstLine="480"/>
      </w:pPr>
      <w:r>
        <w:rPr>
          <w:rFonts w:hint="eastAsia"/>
        </w:rPr>
        <w:t>环境保护设施未与主体工程同时建成的，或者应当取得排污许可证但未取得的，建设单位不得对该建设项目环境保护设施进行调试。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工况和生产负荷另有规定的，按其规定执行。建设单位开展验收监测活动，可根据自身条件和能力，利用自有人员、场所和设备自行监测；也可以委托其他有能力的监测机构开展监测。</w:t>
      </w:r>
    </w:p>
    <w:p w14:paraId="541E490B">
      <w:pPr>
        <w:ind w:firstLine="480"/>
      </w:pPr>
      <w:r>
        <w:rPr>
          <w:rFonts w:hint="eastAsia"/>
        </w:rPr>
        <w:t>验收监测（调查）报告编制完成后，建设单位应当根据验收监测（调查）报告结论，逐一检查是否存在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14:paraId="28E50F8D">
      <w:pPr>
        <w:pStyle w:val="5"/>
      </w:pPr>
      <w:bookmarkStart w:id="299" w:name="_Toc106663556"/>
      <w:r>
        <w:rPr>
          <w:rFonts w:hint="eastAsia"/>
        </w:rPr>
        <w:t>8.3.2环境保护“三同时”验收</w:t>
      </w:r>
      <w:bookmarkEnd w:id="299"/>
    </w:p>
    <w:p w14:paraId="769264EB">
      <w:pPr>
        <w:ind w:firstLine="480"/>
      </w:pPr>
      <w:r>
        <w:rPr>
          <w:rFonts w:hint="eastAsia"/>
        </w:rPr>
        <w:t>根据《中华人民共和国环境保护法》规定，项目建成后，应全面检查项目对周围环境的改变及环保设施“三同时”情况。项目试运行一段时间，达到生产正常、稳定后，由建设单位成立验收组进行自主验收。项目环保设施“三同时”竣工验收内容见表8.3-1。</w:t>
      </w:r>
    </w:p>
    <w:p w14:paraId="69367D43">
      <w:pPr>
        <w:pStyle w:val="11"/>
      </w:pPr>
      <w:r>
        <w:rPr>
          <w:rFonts w:hint="eastAsia"/>
        </w:rPr>
        <w:t>表8.3-1本项目环保设施“三同时”验收一览表</w:t>
      </w:r>
    </w:p>
    <w:tbl>
      <w:tblPr>
        <w:tblStyle w:val="183"/>
        <w:tblW w:w="501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1"/>
        <w:gridCol w:w="661"/>
        <w:gridCol w:w="925"/>
        <w:gridCol w:w="3110"/>
        <w:gridCol w:w="3097"/>
      </w:tblGrid>
      <w:tr w14:paraId="04BB0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tcBorders>
              <w:tl2br w:val="nil"/>
              <w:tr2bl w:val="nil"/>
            </w:tcBorders>
            <w:vAlign w:val="center"/>
          </w:tcPr>
          <w:p w14:paraId="6A7050C6">
            <w:pPr>
              <w:ind w:firstLine="0" w:firstLineChars="0"/>
              <w:jc w:val="center"/>
              <w:rPr>
                <w:rFonts w:cs="宋体"/>
                <w:sz w:val="21"/>
                <w:szCs w:val="21"/>
              </w:rPr>
            </w:pPr>
            <w:r>
              <w:rPr>
                <w:rFonts w:cs="宋体"/>
                <w:sz w:val="21"/>
                <w:szCs w:val="21"/>
              </w:rPr>
              <w:t>污染类</w:t>
            </w:r>
            <w:r>
              <w:rPr>
                <w:rFonts w:hint="eastAsia" w:cs="宋体"/>
                <w:sz w:val="21"/>
                <w:szCs w:val="21"/>
              </w:rPr>
              <w:t>别</w:t>
            </w:r>
          </w:p>
        </w:tc>
        <w:tc>
          <w:tcPr>
            <w:tcW w:w="396" w:type="pct"/>
            <w:tcBorders>
              <w:tl2br w:val="nil"/>
              <w:tr2bl w:val="nil"/>
            </w:tcBorders>
            <w:vAlign w:val="center"/>
          </w:tcPr>
          <w:p w14:paraId="71D7A92C">
            <w:pPr>
              <w:ind w:firstLine="0" w:firstLineChars="0"/>
              <w:jc w:val="center"/>
              <w:rPr>
                <w:rFonts w:cs="宋体"/>
                <w:sz w:val="21"/>
                <w:szCs w:val="21"/>
              </w:rPr>
            </w:pPr>
            <w:r>
              <w:rPr>
                <w:rFonts w:cs="宋体"/>
                <w:sz w:val="21"/>
                <w:szCs w:val="21"/>
              </w:rPr>
              <w:t>污染源</w:t>
            </w:r>
          </w:p>
        </w:tc>
        <w:tc>
          <w:tcPr>
            <w:tcW w:w="554" w:type="pct"/>
            <w:tcBorders>
              <w:tl2br w:val="nil"/>
              <w:tr2bl w:val="nil"/>
            </w:tcBorders>
            <w:vAlign w:val="center"/>
          </w:tcPr>
          <w:p w14:paraId="7981F6BD">
            <w:pPr>
              <w:ind w:firstLine="0" w:firstLineChars="0"/>
              <w:jc w:val="center"/>
              <w:rPr>
                <w:rFonts w:cs="宋体"/>
                <w:sz w:val="21"/>
                <w:szCs w:val="21"/>
              </w:rPr>
            </w:pPr>
            <w:r>
              <w:rPr>
                <w:rFonts w:cs="宋体"/>
                <w:sz w:val="21"/>
                <w:szCs w:val="21"/>
              </w:rPr>
              <w:t>污染物</w:t>
            </w:r>
          </w:p>
        </w:tc>
        <w:tc>
          <w:tcPr>
            <w:tcW w:w="1862" w:type="pct"/>
            <w:tcBorders>
              <w:tl2br w:val="nil"/>
              <w:tr2bl w:val="nil"/>
            </w:tcBorders>
            <w:vAlign w:val="center"/>
          </w:tcPr>
          <w:p w14:paraId="09E3B74F">
            <w:pPr>
              <w:ind w:firstLine="0" w:firstLineChars="0"/>
              <w:jc w:val="center"/>
              <w:rPr>
                <w:rFonts w:cs="宋体"/>
                <w:sz w:val="21"/>
                <w:szCs w:val="21"/>
              </w:rPr>
            </w:pPr>
            <w:r>
              <w:rPr>
                <w:rFonts w:cs="宋体"/>
                <w:sz w:val="21"/>
                <w:szCs w:val="21"/>
              </w:rPr>
              <w:t>环保措施</w:t>
            </w:r>
          </w:p>
        </w:tc>
        <w:tc>
          <w:tcPr>
            <w:tcW w:w="1855" w:type="pct"/>
            <w:tcBorders>
              <w:tl2br w:val="nil"/>
              <w:tr2bl w:val="nil"/>
            </w:tcBorders>
            <w:vAlign w:val="center"/>
          </w:tcPr>
          <w:p w14:paraId="7FFC14E8">
            <w:pPr>
              <w:ind w:firstLine="0" w:firstLineChars="0"/>
              <w:jc w:val="center"/>
              <w:rPr>
                <w:rFonts w:cs="宋体"/>
                <w:sz w:val="21"/>
                <w:szCs w:val="21"/>
              </w:rPr>
            </w:pPr>
            <w:r>
              <w:rPr>
                <w:rFonts w:cs="宋体"/>
                <w:sz w:val="21"/>
                <w:szCs w:val="21"/>
              </w:rPr>
              <w:t>验收标准</w:t>
            </w:r>
          </w:p>
        </w:tc>
      </w:tr>
      <w:tr w14:paraId="7D915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vMerge w:val="restart"/>
            <w:tcBorders>
              <w:tl2br w:val="nil"/>
              <w:tr2bl w:val="nil"/>
            </w:tcBorders>
            <w:textDirection w:val="tbRlV"/>
            <w:vAlign w:val="center"/>
          </w:tcPr>
          <w:p w14:paraId="15DCB33F">
            <w:pPr>
              <w:ind w:firstLine="0" w:firstLineChars="0"/>
              <w:jc w:val="center"/>
              <w:rPr>
                <w:rFonts w:cs="宋体"/>
                <w:sz w:val="21"/>
                <w:szCs w:val="21"/>
              </w:rPr>
            </w:pPr>
            <w:r>
              <w:rPr>
                <w:rFonts w:cs="宋体"/>
                <w:sz w:val="21"/>
                <w:szCs w:val="21"/>
              </w:rPr>
              <w:t>废气</w:t>
            </w:r>
          </w:p>
        </w:tc>
        <w:tc>
          <w:tcPr>
            <w:tcW w:w="396" w:type="pct"/>
            <w:tcBorders>
              <w:tl2br w:val="nil"/>
              <w:tr2bl w:val="nil"/>
            </w:tcBorders>
            <w:vAlign w:val="center"/>
          </w:tcPr>
          <w:p w14:paraId="4ED5480F">
            <w:pPr>
              <w:ind w:firstLine="0" w:firstLineChars="0"/>
              <w:jc w:val="center"/>
              <w:rPr>
                <w:rFonts w:cs="宋体"/>
                <w:sz w:val="21"/>
                <w:szCs w:val="21"/>
              </w:rPr>
            </w:pPr>
            <w:r>
              <w:rPr>
                <w:rFonts w:hint="eastAsia" w:cs="宋体"/>
                <w:sz w:val="21"/>
                <w:szCs w:val="21"/>
              </w:rPr>
              <w:t>骆驼圈舍</w:t>
            </w:r>
          </w:p>
        </w:tc>
        <w:tc>
          <w:tcPr>
            <w:tcW w:w="554" w:type="pct"/>
            <w:vMerge w:val="restart"/>
            <w:tcBorders>
              <w:tl2br w:val="nil"/>
              <w:tr2bl w:val="nil"/>
            </w:tcBorders>
            <w:vAlign w:val="center"/>
          </w:tcPr>
          <w:p w14:paraId="673A4EEC">
            <w:pPr>
              <w:ind w:firstLine="0" w:firstLineChars="0"/>
              <w:jc w:val="center"/>
              <w:rPr>
                <w:sz w:val="21"/>
                <w:szCs w:val="14"/>
              </w:rPr>
            </w:pPr>
            <w:r>
              <w:rPr>
                <w:rFonts w:cs="宋体"/>
                <w:sz w:val="21"/>
                <w:szCs w:val="21"/>
              </w:rPr>
              <w:t>臭气浓度、</w:t>
            </w:r>
            <w:r>
              <w:rPr>
                <w:sz w:val="21"/>
                <w:szCs w:val="21"/>
              </w:rPr>
              <w:t>H</w:t>
            </w:r>
            <w:r>
              <w:rPr>
                <w:sz w:val="21"/>
                <w:szCs w:val="14"/>
                <w:vertAlign w:val="subscript"/>
              </w:rPr>
              <w:t>2</w:t>
            </w:r>
            <w:r>
              <w:rPr>
                <w:sz w:val="21"/>
                <w:szCs w:val="21"/>
              </w:rPr>
              <w:t>S</w:t>
            </w:r>
            <w:r>
              <w:rPr>
                <w:rFonts w:cs="宋体"/>
                <w:sz w:val="21"/>
                <w:szCs w:val="21"/>
              </w:rPr>
              <w:t>、</w:t>
            </w:r>
            <w:r>
              <w:rPr>
                <w:sz w:val="21"/>
                <w:szCs w:val="21"/>
              </w:rPr>
              <w:t>NH</w:t>
            </w:r>
            <w:r>
              <w:rPr>
                <w:sz w:val="21"/>
                <w:szCs w:val="14"/>
                <w:vertAlign w:val="subscript"/>
              </w:rPr>
              <w:t>3</w:t>
            </w:r>
          </w:p>
        </w:tc>
        <w:tc>
          <w:tcPr>
            <w:tcW w:w="1862" w:type="pct"/>
            <w:tcBorders>
              <w:tl2br w:val="nil"/>
              <w:tr2bl w:val="nil"/>
            </w:tcBorders>
            <w:vAlign w:val="center"/>
          </w:tcPr>
          <w:p w14:paraId="42F2AE04">
            <w:pPr>
              <w:ind w:firstLine="0" w:firstLineChars="0"/>
              <w:jc w:val="center"/>
              <w:rPr>
                <w:rFonts w:cs="宋体"/>
                <w:sz w:val="21"/>
                <w:szCs w:val="21"/>
              </w:rPr>
            </w:pPr>
            <w:r>
              <w:rPr>
                <w:rFonts w:hint="eastAsia" w:cs="宋体"/>
                <w:sz w:val="21"/>
                <w:szCs w:val="21"/>
              </w:rPr>
              <w:t>每天定时清理骆驼粪，加强驼舍通风，并科学合理调控饲粮，合理配置饲料成分，对驼舍定期喷洒除臭剂</w:t>
            </w:r>
          </w:p>
        </w:tc>
        <w:tc>
          <w:tcPr>
            <w:tcW w:w="1855" w:type="pct"/>
            <w:vMerge w:val="restart"/>
            <w:tcBorders>
              <w:tl2br w:val="nil"/>
              <w:tr2bl w:val="nil"/>
            </w:tcBorders>
            <w:vAlign w:val="center"/>
          </w:tcPr>
          <w:p w14:paraId="730ABA13">
            <w:pPr>
              <w:ind w:firstLine="0" w:firstLineChars="0"/>
              <w:jc w:val="center"/>
              <w:rPr>
                <w:rFonts w:cs="宋体"/>
                <w:sz w:val="21"/>
                <w:szCs w:val="21"/>
              </w:rPr>
            </w:pPr>
            <w:r>
              <w:rPr>
                <w:rFonts w:cs="宋体"/>
                <w:sz w:val="21"/>
                <w:szCs w:val="21"/>
              </w:rPr>
              <w:t>臭气浓度排放执行《畜禽养殖业污染物排放标准》</w:t>
            </w:r>
            <w:r>
              <w:rPr>
                <w:rFonts w:hint="eastAsia" w:cs="宋体"/>
                <w:sz w:val="21"/>
                <w:szCs w:val="21"/>
              </w:rPr>
              <w:t>（</w:t>
            </w:r>
            <w:r>
              <w:rPr>
                <w:sz w:val="21"/>
                <w:szCs w:val="21"/>
              </w:rPr>
              <w:t>GB18596-2001</w:t>
            </w:r>
            <w:r>
              <w:rPr>
                <w:rFonts w:hint="eastAsia" w:cs="宋体"/>
                <w:sz w:val="21"/>
                <w:szCs w:val="21"/>
              </w:rPr>
              <w:t>）</w:t>
            </w:r>
            <w:r>
              <w:rPr>
                <w:rFonts w:cs="宋体"/>
                <w:sz w:val="21"/>
                <w:szCs w:val="21"/>
              </w:rPr>
              <w:t>中集约化畜禽养殖业恶臭污染物排放标准，</w:t>
            </w:r>
            <w:r>
              <w:rPr>
                <w:sz w:val="21"/>
                <w:szCs w:val="21"/>
              </w:rPr>
              <w:t>H</w:t>
            </w:r>
            <w:r>
              <w:rPr>
                <w:sz w:val="21"/>
                <w:szCs w:val="14"/>
                <w:vertAlign w:val="subscript"/>
              </w:rPr>
              <w:t>2</w:t>
            </w:r>
            <w:r>
              <w:rPr>
                <w:sz w:val="21"/>
                <w:szCs w:val="21"/>
              </w:rPr>
              <w:t>S</w:t>
            </w:r>
            <w:r>
              <w:rPr>
                <w:rFonts w:cs="宋体"/>
                <w:sz w:val="21"/>
                <w:szCs w:val="21"/>
              </w:rPr>
              <w:t>、</w:t>
            </w:r>
            <w:r>
              <w:rPr>
                <w:sz w:val="21"/>
                <w:szCs w:val="21"/>
              </w:rPr>
              <w:t>NH</w:t>
            </w:r>
            <w:r>
              <w:rPr>
                <w:sz w:val="21"/>
                <w:szCs w:val="14"/>
                <w:vertAlign w:val="subscript"/>
              </w:rPr>
              <w:t>3</w:t>
            </w:r>
            <w:r>
              <w:rPr>
                <w:rFonts w:cs="宋体"/>
                <w:sz w:val="21"/>
                <w:szCs w:val="21"/>
              </w:rPr>
              <w:t>厂界排放浓度执行《恶臭污染物排放标准》</w:t>
            </w:r>
            <w:r>
              <w:rPr>
                <w:rFonts w:hint="eastAsia" w:cs="宋体"/>
                <w:sz w:val="21"/>
                <w:szCs w:val="21"/>
              </w:rPr>
              <w:t>（</w:t>
            </w:r>
            <w:r>
              <w:rPr>
                <w:sz w:val="21"/>
                <w:szCs w:val="21"/>
              </w:rPr>
              <w:t>GB14554-93</w:t>
            </w:r>
            <w:r>
              <w:rPr>
                <w:rFonts w:hint="eastAsia" w:cs="宋体"/>
                <w:sz w:val="21"/>
                <w:szCs w:val="21"/>
              </w:rPr>
              <w:t>）</w:t>
            </w:r>
            <w:r>
              <w:rPr>
                <w:rFonts w:cs="宋体"/>
                <w:sz w:val="21"/>
                <w:szCs w:val="21"/>
              </w:rPr>
              <w:t>中表</w:t>
            </w:r>
            <w:r>
              <w:rPr>
                <w:sz w:val="21"/>
                <w:szCs w:val="21"/>
              </w:rPr>
              <w:t>1</w:t>
            </w:r>
            <w:r>
              <w:rPr>
                <w:rFonts w:cs="宋体"/>
                <w:sz w:val="21"/>
                <w:szCs w:val="21"/>
              </w:rPr>
              <w:t>新污染源二级标准</w:t>
            </w:r>
          </w:p>
        </w:tc>
      </w:tr>
      <w:tr w14:paraId="01B2E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vMerge w:val="continue"/>
            <w:tcBorders>
              <w:tl2br w:val="nil"/>
              <w:tr2bl w:val="nil"/>
            </w:tcBorders>
            <w:textDirection w:val="tbRlV"/>
            <w:vAlign w:val="center"/>
          </w:tcPr>
          <w:p w14:paraId="4BC17F6B">
            <w:pPr>
              <w:ind w:firstLine="0" w:firstLineChars="0"/>
              <w:jc w:val="center"/>
              <w:rPr>
                <w:rFonts w:cs="宋体"/>
                <w:sz w:val="21"/>
                <w:szCs w:val="21"/>
              </w:rPr>
            </w:pPr>
          </w:p>
        </w:tc>
        <w:tc>
          <w:tcPr>
            <w:tcW w:w="396" w:type="pct"/>
            <w:tcBorders>
              <w:tl2br w:val="nil"/>
              <w:tr2bl w:val="nil"/>
            </w:tcBorders>
            <w:vAlign w:val="center"/>
          </w:tcPr>
          <w:p w14:paraId="59420F4D">
            <w:pPr>
              <w:ind w:firstLine="0" w:firstLineChars="0"/>
              <w:jc w:val="center"/>
              <w:rPr>
                <w:rFonts w:cs="宋体"/>
                <w:sz w:val="21"/>
                <w:szCs w:val="21"/>
              </w:rPr>
            </w:pPr>
            <w:r>
              <w:rPr>
                <w:rFonts w:hint="eastAsia" w:cs="宋体"/>
                <w:sz w:val="21"/>
                <w:szCs w:val="21"/>
              </w:rPr>
              <w:t>堆肥场</w:t>
            </w:r>
          </w:p>
        </w:tc>
        <w:tc>
          <w:tcPr>
            <w:tcW w:w="554" w:type="pct"/>
            <w:vMerge w:val="continue"/>
            <w:tcBorders>
              <w:tl2br w:val="nil"/>
              <w:tr2bl w:val="nil"/>
            </w:tcBorders>
            <w:vAlign w:val="center"/>
          </w:tcPr>
          <w:p w14:paraId="5651D83C">
            <w:pPr>
              <w:ind w:firstLine="0" w:firstLineChars="0"/>
              <w:jc w:val="center"/>
              <w:rPr>
                <w:rFonts w:cs="宋体"/>
                <w:sz w:val="21"/>
                <w:szCs w:val="21"/>
              </w:rPr>
            </w:pPr>
          </w:p>
        </w:tc>
        <w:tc>
          <w:tcPr>
            <w:tcW w:w="1862" w:type="pct"/>
            <w:tcBorders>
              <w:tl2br w:val="nil"/>
              <w:tr2bl w:val="nil"/>
            </w:tcBorders>
            <w:vAlign w:val="center"/>
          </w:tcPr>
          <w:p w14:paraId="1CE158C8">
            <w:pPr>
              <w:ind w:firstLine="0" w:firstLineChars="0"/>
              <w:jc w:val="center"/>
              <w:rPr>
                <w:rFonts w:cs="宋体"/>
                <w:sz w:val="21"/>
                <w:szCs w:val="21"/>
              </w:rPr>
            </w:pPr>
            <w:r>
              <w:rPr>
                <w:rFonts w:hint="eastAsia" w:cs="宋体"/>
                <w:sz w:val="21"/>
                <w:szCs w:val="21"/>
              </w:rPr>
              <w:t>在晾晒棚周边种植高大乔木，利用绿色植物对恶臭气体的吸收作用减少污染；另外要在晾晒棚周边喷洒除臭剂进行处理</w:t>
            </w:r>
          </w:p>
        </w:tc>
        <w:tc>
          <w:tcPr>
            <w:tcW w:w="1855" w:type="pct"/>
            <w:vMerge w:val="continue"/>
            <w:tcBorders>
              <w:tl2br w:val="nil"/>
              <w:tr2bl w:val="nil"/>
            </w:tcBorders>
            <w:vAlign w:val="center"/>
          </w:tcPr>
          <w:p w14:paraId="0C17A21D">
            <w:pPr>
              <w:ind w:firstLine="0" w:firstLineChars="0"/>
              <w:jc w:val="center"/>
              <w:rPr>
                <w:rFonts w:cs="宋体"/>
                <w:sz w:val="21"/>
                <w:szCs w:val="21"/>
              </w:rPr>
            </w:pPr>
          </w:p>
        </w:tc>
      </w:tr>
      <w:tr w14:paraId="30641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2" w:hRule="atLeast"/>
          <w:jc w:val="center"/>
        </w:trPr>
        <w:tc>
          <w:tcPr>
            <w:tcW w:w="330" w:type="pct"/>
            <w:vMerge w:val="restart"/>
            <w:tcBorders>
              <w:tl2br w:val="nil"/>
              <w:tr2bl w:val="nil"/>
            </w:tcBorders>
            <w:textDirection w:val="tbRlV"/>
            <w:vAlign w:val="center"/>
          </w:tcPr>
          <w:p w14:paraId="46825A85">
            <w:pPr>
              <w:ind w:firstLine="0" w:firstLineChars="0"/>
              <w:jc w:val="center"/>
              <w:rPr>
                <w:rFonts w:cs="宋体"/>
                <w:sz w:val="21"/>
                <w:szCs w:val="21"/>
              </w:rPr>
            </w:pPr>
            <w:r>
              <w:rPr>
                <w:rFonts w:cs="宋体"/>
                <w:sz w:val="21"/>
                <w:szCs w:val="21"/>
              </w:rPr>
              <w:t>废水</w:t>
            </w:r>
          </w:p>
        </w:tc>
        <w:tc>
          <w:tcPr>
            <w:tcW w:w="396" w:type="pct"/>
            <w:tcBorders>
              <w:tl2br w:val="nil"/>
              <w:tr2bl w:val="nil"/>
            </w:tcBorders>
            <w:vAlign w:val="center"/>
          </w:tcPr>
          <w:p w14:paraId="11D78ACC">
            <w:pPr>
              <w:ind w:firstLine="0" w:firstLineChars="0"/>
              <w:jc w:val="center"/>
              <w:rPr>
                <w:rFonts w:cs="宋体"/>
                <w:sz w:val="21"/>
                <w:szCs w:val="21"/>
              </w:rPr>
            </w:pPr>
            <w:r>
              <w:rPr>
                <w:rFonts w:hint="eastAsia" w:cs="宋体"/>
                <w:sz w:val="21"/>
                <w:szCs w:val="21"/>
              </w:rPr>
              <w:t>骆驼圈舍</w:t>
            </w:r>
            <w:r>
              <w:rPr>
                <w:rFonts w:cs="宋体"/>
                <w:sz w:val="21"/>
                <w:szCs w:val="21"/>
              </w:rPr>
              <w:t>和管理区</w:t>
            </w:r>
          </w:p>
        </w:tc>
        <w:tc>
          <w:tcPr>
            <w:tcW w:w="554" w:type="pct"/>
            <w:tcBorders>
              <w:tl2br w:val="nil"/>
              <w:tr2bl w:val="nil"/>
            </w:tcBorders>
            <w:vAlign w:val="center"/>
          </w:tcPr>
          <w:p w14:paraId="14F45C80">
            <w:pPr>
              <w:ind w:firstLine="0" w:firstLineChars="0"/>
              <w:jc w:val="center"/>
              <w:rPr>
                <w:rFonts w:cs="宋体"/>
                <w:sz w:val="21"/>
                <w:szCs w:val="21"/>
              </w:rPr>
            </w:pPr>
            <w:r>
              <w:rPr>
                <w:rFonts w:cs="宋体"/>
                <w:sz w:val="21"/>
                <w:szCs w:val="21"/>
              </w:rPr>
              <w:t>生活污水</w:t>
            </w:r>
          </w:p>
        </w:tc>
        <w:tc>
          <w:tcPr>
            <w:tcW w:w="1862" w:type="pct"/>
            <w:tcBorders>
              <w:tl2br w:val="nil"/>
              <w:tr2bl w:val="nil"/>
            </w:tcBorders>
            <w:vAlign w:val="center"/>
          </w:tcPr>
          <w:p w14:paraId="7D8D4A4D">
            <w:pPr>
              <w:ind w:firstLine="0" w:firstLineChars="0"/>
              <w:jc w:val="center"/>
              <w:rPr>
                <w:rFonts w:cs="宋体"/>
                <w:sz w:val="21"/>
                <w:szCs w:val="21"/>
              </w:rPr>
            </w:pPr>
            <w:r>
              <w:rPr>
                <w:rFonts w:cs="宋体"/>
                <w:sz w:val="21"/>
                <w:szCs w:val="21"/>
              </w:rPr>
              <w:t>生活污水</w:t>
            </w:r>
            <w:r>
              <w:rPr>
                <w:rFonts w:hint="eastAsia" w:cs="宋体"/>
                <w:sz w:val="21"/>
                <w:szCs w:val="21"/>
              </w:rPr>
              <w:t>经化粪池收集，定期拉运至木垒县污水处理厂</w:t>
            </w:r>
          </w:p>
        </w:tc>
        <w:tc>
          <w:tcPr>
            <w:tcW w:w="1855" w:type="pct"/>
            <w:tcBorders>
              <w:tl2br w:val="nil"/>
              <w:tr2bl w:val="nil"/>
            </w:tcBorders>
            <w:vAlign w:val="center"/>
          </w:tcPr>
          <w:p w14:paraId="306867D5">
            <w:pPr>
              <w:ind w:firstLine="0" w:firstLineChars="0"/>
              <w:jc w:val="center"/>
              <w:rPr>
                <w:rFonts w:cs="宋体"/>
                <w:sz w:val="21"/>
                <w:szCs w:val="21"/>
              </w:rPr>
            </w:pPr>
            <w:r>
              <w:rPr>
                <w:rFonts w:cs="宋体"/>
                <w:sz w:val="21"/>
                <w:szCs w:val="21"/>
              </w:rPr>
              <w:t>按照环评要求进行</w:t>
            </w:r>
          </w:p>
        </w:tc>
      </w:tr>
      <w:tr w14:paraId="5D8B5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2" w:hRule="atLeast"/>
          <w:jc w:val="center"/>
        </w:trPr>
        <w:tc>
          <w:tcPr>
            <w:tcW w:w="330" w:type="pct"/>
            <w:vMerge w:val="continue"/>
            <w:tcBorders>
              <w:tl2br w:val="nil"/>
              <w:tr2bl w:val="nil"/>
            </w:tcBorders>
            <w:textDirection w:val="tbRlV"/>
            <w:vAlign w:val="center"/>
          </w:tcPr>
          <w:p w14:paraId="1258E724">
            <w:pPr>
              <w:ind w:firstLine="0" w:firstLineChars="0"/>
              <w:jc w:val="center"/>
              <w:rPr>
                <w:rFonts w:cs="宋体"/>
                <w:sz w:val="21"/>
                <w:szCs w:val="21"/>
              </w:rPr>
            </w:pPr>
          </w:p>
        </w:tc>
        <w:tc>
          <w:tcPr>
            <w:tcW w:w="396" w:type="pct"/>
            <w:tcBorders>
              <w:tl2br w:val="nil"/>
              <w:tr2bl w:val="nil"/>
            </w:tcBorders>
            <w:vAlign w:val="center"/>
          </w:tcPr>
          <w:p w14:paraId="13671059">
            <w:pPr>
              <w:ind w:firstLine="0" w:firstLineChars="0"/>
              <w:jc w:val="center"/>
              <w:rPr>
                <w:rFonts w:hint="eastAsia" w:eastAsia="宋体" w:cs="宋体"/>
                <w:sz w:val="21"/>
                <w:szCs w:val="21"/>
                <w:lang w:val="en-US" w:eastAsia="zh-CN"/>
              </w:rPr>
            </w:pPr>
            <w:r>
              <w:rPr>
                <w:rFonts w:hint="eastAsia" w:cs="宋体"/>
                <w:sz w:val="21"/>
                <w:szCs w:val="21"/>
                <w:lang w:val="en-US" w:eastAsia="zh-CN"/>
              </w:rPr>
              <w:t>堆肥场</w:t>
            </w:r>
          </w:p>
        </w:tc>
        <w:tc>
          <w:tcPr>
            <w:tcW w:w="554" w:type="pct"/>
            <w:tcBorders>
              <w:tl2br w:val="nil"/>
              <w:tr2bl w:val="nil"/>
            </w:tcBorders>
            <w:vAlign w:val="center"/>
          </w:tcPr>
          <w:p w14:paraId="06E0B242">
            <w:pPr>
              <w:ind w:firstLine="0" w:firstLineChars="0"/>
              <w:jc w:val="center"/>
              <w:rPr>
                <w:rFonts w:hint="eastAsia" w:eastAsia="宋体" w:cs="宋体"/>
                <w:sz w:val="21"/>
                <w:szCs w:val="21"/>
                <w:lang w:val="en-US" w:eastAsia="zh-CN"/>
              </w:rPr>
            </w:pPr>
            <w:r>
              <w:rPr>
                <w:rFonts w:hint="eastAsia" w:cs="宋体"/>
                <w:sz w:val="21"/>
                <w:szCs w:val="21"/>
                <w:lang w:val="en-US" w:eastAsia="zh-CN"/>
              </w:rPr>
              <w:t>渗滤液</w:t>
            </w:r>
          </w:p>
        </w:tc>
        <w:tc>
          <w:tcPr>
            <w:tcW w:w="1862" w:type="pct"/>
            <w:tcBorders>
              <w:tl2br w:val="nil"/>
              <w:tr2bl w:val="nil"/>
            </w:tcBorders>
            <w:vAlign w:val="center"/>
          </w:tcPr>
          <w:p w14:paraId="667FC78B">
            <w:pPr>
              <w:ind w:firstLine="0" w:firstLineChars="0"/>
              <w:jc w:val="center"/>
              <w:rPr>
                <w:rFonts w:hint="default" w:eastAsia="宋体" w:cs="宋体"/>
                <w:sz w:val="21"/>
                <w:szCs w:val="21"/>
                <w:lang w:val="en-US" w:eastAsia="zh-CN"/>
              </w:rPr>
            </w:pPr>
            <w:r>
              <w:rPr>
                <w:rFonts w:hint="eastAsia" w:cs="宋体"/>
                <w:sz w:val="21"/>
                <w:szCs w:val="21"/>
                <w:lang w:val="en-US" w:eastAsia="zh-CN"/>
              </w:rPr>
              <w:t>同生活污水排入防渗化粪池，</w:t>
            </w:r>
            <w:r>
              <w:rPr>
                <w:rFonts w:hint="eastAsia" w:cs="宋体"/>
                <w:sz w:val="21"/>
                <w:szCs w:val="21"/>
              </w:rPr>
              <w:t>定期拉运至木垒县污水处理厂</w:t>
            </w:r>
          </w:p>
        </w:tc>
        <w:tc>
          <w:tcPr>
            <w:tcW w:w="1855" w:type="pct"/>
            <w:tcBorders>
              <w:tl2br w:val="nil"/>
              <w:tr2bl w:val="nil"/>
            </w:tcBorders>
            <w:vAlign w:val="center"/>
          </w:tcPr>
          <w:p w14:paraId="475FE3A2">
            <w:pPr>
              <w:ind w:firstLine="0" w:firstLineChars="0"/>
              <w:jc w:val="center"/>
              <w:rPr>
                <w:rFonts w:cs="宋体"/>
                <w:sz w:val="21"/>
                <w:szCs w:val="21"/>
              </w:rPr>
            </w:pPr>
            <w:r>
              <w:rPr>
                <w:rFonts w:cs="宋体"/>
                <w:sz w:val="21"/>
                <w:szCs w:val="21"/>
              </w:rPr>
              <w:t>按照环评要求进行</w:t>
            </w:r>
          </w:p>
        </w:tc>
      </w:tr>
      <w:tr w14:paraId="50EA9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tcBorders>
              <w:tl2br w:val="nil"/>
              <w:tr2bl w:val="nil"/>
            </w:tcBorders>
            <w:textDirection w:val="tbRlV"/>
            <w:vAlign w:val="center"/>
          </w:tcPr>
          <w:p w14:paraId="0A50976C">
            <w:pPr>
              <w:ind w:firstLine="0" w:firstLineChars="0"/>
              <w:jc w:val="center"/>
              <w:rPr>
                <w:rFonts w:cs="宋体"/>
                <w:sz w:val="21"/>
                <w:szCs w:val="21"/>
              </w:rPr>
            </w:pPr>
            <w:r>
              <w:rPr>
                <w:rFonts w:cs="宋体"/>
                <w:sz w:val="21"/>
                <w:szCs w:val="21"/>
              </w:rPr>
              <w:t>噪声</w:t>
            </w:r>
          </w:p>
        </w:tc>
        <w:tc>
          <w:tcPr>
            <w:tcW w:w="396" w:type="pct"/>
            <w:tcBorders>
              <w:tl2br w:val="nil"/>
              <w:tr2bl w:val="nil"/>
            </w:tcBorders>
            <w:vAlign w:val="center"/>
          </w:tcPr>
          <w:p w14:paraId="50CDBE9C">
            <w:pPr>
              <w:ind w:firstLine="0" w:firstLineChars="0"/>
              <w:jc w:val="center"/>
              <w:rPr>
                <w:rFonts w:cs="宋体"/>
                <w:sz w:val="21"/>
                <w:szCs w:val="21"/>
              </w:rPr>
            </w:pPr>
            <w:r>
              <w:rPr>
                <w:rFonts w:hint="eastAsia" w:cs="宋体"/>
                <w:sz w:val="21"/>
                <w:szCs w:val="21"/>
              </w:rPr>
              <w:t>骆驼圈舍</w:t>
            </w:r>
          </w:p>
        </w:tc>
        <w:tc>
          <w:tcPr>
            <w:tcW w:w="554" w:type="pct"/>
            <w:tcBorders>
              <w:tl2br w:val="nil"/>
              <w:tr2bl w:val="nil"/>
            </w:tcBorders>
            <w:vAlign w:val="center"/>
          </w:tcPr>
          <w:p w14:paraId="00163F3E">
            <w:pPr>
              <w:ind w:firstLine="0" w:firstLineChars="0"/>
              <w:jc w:val="center"/>
              <w:rPr>
                <w:rFonts w:cs="宋体"/>
                <w:sz w:val="21"/>
                <w:szCs w:val="21"/>
              </w:rPr>
            </w:pPr>
            <w:r>
              <w:rPr>
                <w:rFonts w:cs="宋体"/>
                <w:sz w:val="21"/>
                <w:szCs w:val="21"/>
              </w:rPr>
              <w:t>设备噪声</w:t>
            </w:r>
          </w:p>
        </w:tc>
        <w:tc>
          <w:tcPr>
            <w:tcW w:w="1862" w:type="pct"/>
            <w:tcBorders>
              <w:tl2br w:val="nil"/>
              <w:tr2bl w:val="nil"/>
            </w:tcBorders>
            <w:vAlign w:val="center"/>
          </w:tcPr>
          <w:p w14:paraId="7084D575">
            <w:pPr>
              <w:ind w:firstLine="0" w:firstLineChars="0"/>
              <w:jc w:val="center"/>
              <w:rPr>
                <w:rFonts w:cs="宋体"/>
                <w:sz w:val="21"/>
                <w:szCs w:val="21"/>
              </w:rPr>
            </w:pPr>
            <w:r>
              <w:rPr>
                <w:rFonts w:cs="宋体"/>
                <w:sz w:val="21"/>
                <w:szCs w:val="21"/>
              </w:rPr>
              <w:t>合理布置</w:t>
            </w:r>
            <w:r>
              <w:rPr>
                <w:rFonts w:hint="eastAsia" w:cs="宋体"/>
                <w:sz w:val="21"/>
                <w:szCs w:val="21"/>
              </w:rPr>
              <w:t>骆驼圈舍</w:t>
            </w:r>
            <w:r>
              <w:rPr>
                <w:rFonts w:cs="宋体"/>
                <w:sz w:val="21"/>
                <w:szCs w:val="21"/>
              </w:rPr>
              <w:t>间距，选用低噪声设备、厂房隔声减振等措施后</w:t>
            </w:r>
          </w:p>
        </w:tc>
        <w:tc>
          <w:tcPr>
            <w:tcW w:w="1855" w:type="pct"/>
            <w:tcBorders>
              <w:tl2br w:val="nil"/>
              <w:tr2bl w:val="nil"/>
            </w:tcBorders>
            <w:vAlign w:val="center"/>
          </w:tcPr>
          <w:p w14:paraId="32FDE297">
            <w:pPr>
              <w:ind w:firstLine="0" w:firstLineChars="0"/>
              <w:jc w:val="center"/>
              <w:rPr>
                <w:rFonts w:cs="宋体"/>
                <w:sz w:val="21"/>
                <w:szCs w:val="21"/>
              </w:rPr>
            </w:pPr>
            <w:r>
              <w:rPr>
                <w:rFonts w:cs="宋体"/>
                <w:sz w:val="21"/>
                <w:szCs w:val="21"/>
              </w:rPr>
              <w:t>厂界噪声执行《工业企业厂界环境噪声排放标准》</w:t>
            </w:r>
            <w:r>
              <w:rPr>
                <w:rFonts w:hint="eastAsia" w:cs="宋体"/>
                <w:sz w:val="21"/>
                <w:szCs w:val="21"/>
              </w:rPr>
              <w:t>（</w:t>
            </w:r>
            <w:r>
              <w:rPr>
                <w:sz w:val="21"/>
                <w:szCs w:val="21"/>
              </w:rPr>
              <w:t>GB12348-2008</w:t>
            </w:r>
            <w:r>
              <w:rPr>
                <w:rFonts w:hint="eastAsia" w:cs="宋体"/>
                <w:sz w:val="21"/>
                <w:szCs w:val="21"/>
              </w:rPr>
              <w:t>）</w:t>
            </w:r>
            <w:r>
              <w:rPr>
                <w:rFonts w:cs="宋体"/>
                <w:sz w:val="21"/>
                <w:szCs w:val="21"/>
              </w:rPr>
              <w:t>中</w:t>
            </w:r>
            <w:r>
              <w:rPr>
                <w:sz w:val="21"/>
                <w:szCs w:val="21"/>
              </w:rPr>
              <w:t>2</w:t>
            </w:r>
            <w:r>
              <w:rPr>
                <w:rFonts w:cs="宋体"/>
                <w:sz w:val="21"/>
                <w:szCs w:val="21"/>
              </w:rPr>
              <w:t>类标准限值</w:t>
            </w:r>
          </w:p>
        </w:tc>
      </w:tr>
      <w:tr w14:paraId="577C2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vMerge w:val="restart"/>
            <w:tcBorders>
              <w:tl2br w:val="nil"/>
              <w:tr2bl w:val="nil"/>
            </w:tcBorders>
            <w:textDirection w:val="tbRlV"/>
            <w:vAlign w:val="center"/>
          </w:tcPr>
          <w:p w14:paraId="51B64994">
            <w:pPr>
              <w:ind w:firstLine="0" w:firstLineChars="0"/>
              <w:jc w:val="center"/>
              <w:rPr>
                <w:rFonts w:cs="宋体"/>
                <w:sz w:val="21"/>
                <w:szCs w:val="21"/>
              </w:rPr>
            </w:pPr>
            <w:r>
              <w:rPr>
                <w:rFonts w:cs="宋体"/>
                <w:sz w:val="21"/>
                <w:szCs w:val="21"/>
              </w:rPr>
              <w:t>固废</w:t>
            </w:r>
          </w:p>
        </w:tc>
        <w:tc>
          <w:tcPr>
            <w:tcW w:w="396" w:type="pct"/>
            <w:tcBorders>
              <w:tl2br w:val="nil"/>
              <w:tr2bl w:val="nil"/>
            </w:tcBorders>
            <w:vAlign w:val="center"/>
          </w:tcPr>
          <w:p w14:paraId="59318CC1">
            <w:pPr>
              <w:ind w:firstLine="0" w:firstLineChars="0"/>
              <w:jc w:val="center"/>
              <w:rPr>
                <w:rFonts w:cs="宋体"/>
                <w:sz w:val="21"/>
                <w:szCs w:val="21"/>
              </w:rPr>
            </w:pPr>
            <w:r>
              <w:rPr>
                <w:rFonts w:cs="宋体"/>
                <w:sz w:val="21"/>
                <w:szCs w:val="21"/>
              </w:rPr>
              <w:t>管理区</w:t>
            </w:r>
          </w:p>
        </w:tc>
        <w:tc>
          <w:tcPr>
            <w:tcW w:w="554" w:type="pct"/>
            <w:tcBorders>
              <w:tl2br w:val="nil"/>
              <w:tr2bl w:val="nil"/>
            </w:tcBorders>
            <w:vAlign w:val="center"/>
          </w:tcPr>
          <w:p w14:paraId="5CF1A7B8">
            <w:pPr>
              <w:ind w:firstLine="0" w:firstLineChars="0"/>
              <w:jc w:val="center"/>
              <w:rPr>
                <w:rFonts w:cs="宋体"/>
                <w:sz w:val="21"/>
                <w:szCs w:val="21"/>
              </w:rPr>
            </w:pPr>
            <w:r>
              <w:rPr>
                <w:rFonts w:cs="宋体"/>
                <w:sz w:val="21"/>
                <w:szCs w:val="21"/>
              </w:rPr>
              <w:t>生活垃圾</w:t>
            </w:r>
          </w:p>
        </w:tc>
        <w:tc>
          <w:tcPr>
            <w:tcW w:w="1862" w:type="pct"/>
            <w:tcBorders>
              <w:tl2br w:val="nil"/>
              <w:tr2bl w:val="nil"/>
            </w:tcBorders>
            <w:vAlign w:val="center"/>
          </w:tcPr>
          <w:p w14:paraId="3DBC355B">
            <w:pPr>
              <w:ind w:firstLine="0" w:firstLineChars="0"/>
              <w:jc w:val="center"/>
              <w:rPr>
                <w:rFonts w:cs="宋体"/>
                <w:sz w:val="21"/>
                <w:szCs w:val="21"/>
              </w:rPr>
            </w:pPr>
            <w:r>
              <w:rPr>
                <w:rFonts w:cs="宋体"/>
                <w:sz w:val="21"/>
                <w:szCs w:val="21"/>
              </w:rPr>
              <w:t>生活垃圾集中收集合理处置</w:t>
            </w:r>
          </w:p>
        </w:tc>
        <w:tc>
          <w:tcPr>
            <w:tcW w:w="1855" w:type="pct"/>
            <w:tcBorders>
              <w:tl2br w:val="nil"/>
              <w:tr2bl w:val="nil"/>
            </w:tcBorders>
            <w:vAlign w:val="center"/>
          </w:tcPr>
          <w:p w14:paraId="7857B308">
            <w:pPr>
              <w:ind w:firstLine="0" w:firstLineChars="0"/>
              <w:jc w:val="center"/>
              <w:rPr>
                <w:rFonts w:cs="宋体"/>
                <w:sz w:val="21"/>
                <w:szCs w:val="21"/>
              </w:rPr>
            </w:pPr>
            <w:r>
              <w:rPr>
                <w:rFonts w:cs="宋体"/>
                <w:sz w:val="21"/>
                <w:szCs w:val="21"/>
              </w:rPr>
              <w:t>按照环评要求进行</w:t>
            </w:r>
          </w:p>
        </w:tc>
      </w:tr>
      <w:tr w14:paraId="5A420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vMerge w:val="continue"/>
            <w:tcBorders>
              <w:tl2br w:val="nil"/>
              <w:tr2bl w:val="nil"/>
            </w:tcBorders>
            <w:textDirection w:val="tbRlV"/>
            <w:vAlign w:val="center"/>
          </w:tcPr>
          <w:p w14:paraId="50A37A63">
            <w:pPr>
              <w:ind w:firstLine="0" w:firstLineChars="0"/>
              <w:jc w:val="center"/>
              <w:rPr>
                <w:sz w:val="21"/>
              </w:rPr>
            </w:pPr>
          </w:p>
        </w:tc>
        <w:tc>
          <w:tcPr>
            <w:tcW w:w="396" w:type="pct"/>
            <w:tcBorders>
              <w:tl2br w:val="nil"/>
              <w:tr2bl w:val="nil"/>
            </w:tcBorders>
            <w:vAlign w:val="center"/>
          </w:tcPr>
          <w:p w14:paraId="2A9B1390">
            <w:pPr>
              <w:ind w:firstLine="0" w:firstLineChars="0"/>
              <w:jc w:val="center"/>
              <w:rPr>
                <w:rFonts w:cs="宋体"/>
                <w:sz w:val="21"/>
                <w:szCs w:val="21"/>
              </w:rPr>
            </w:pPr>
            <w:r>
              <w:rPr>
                <w:rFonts w:hint="eastAsia" w:cs="宋体"/>
                <w:sz w:val="21"/>
                <w:szCs w:val="21"/>
              </w:rPr>
              <w:t>骆驼圈舍</w:t>
            </w:r>
          </w:p>
        </w:tc>
        <w:tc>
          <w:tcPr>
            <w:tcW w:w="554" w:type="pct"/>
            <w:tcBorders>
              <w:tl2br w:val="nil"/>
              <w:tr2bl w:val="nil"/>
            </w:tcBorders>
            <w:vAlign w:val="center"/>
          </w:tcPr>
          <w:p w14:paraId="1A4A4EDC">
            <w:pPr>
              <w:ind w:firstLine="0" w:firstLineChars="0"/>
              <w:jc w:val="center"/>
              <w:rPr>
                <w:rFonts w:cs="宋体"/>
                <w:sz w:val="21"/>
                <w:szCs w:val="21"/>
              </w:rPr>
            </w:pPr>
            <w:r>
              <w:rPr>
                <w:rFonts w:hint="eastAsia" w:cs="宋体"/>
                <w:sz w:val="21"/>
                <w:szCs w:val="21"/>
              </w:rPr>
              <w:t>骆驼粪便</w:t>
            </w:r>
          </w:p>
        </w:tc>
        <w:tc>
          <w:tcPr>
            <w:tcW w:w="1862" w:type="pct"/>
            <w:tcBorders>
              <w:tl2br w:val="nil"/>
              <w:tr2bl w:val="nil"/>
            </w:tcBorders>
            <w:vAlign w:val="center"/>
          </w:tcPr>
          <w:p w14:paraId="2FC015B4">
            <w:pPr>
              <w:ind w:firstLine="0" w:firstLineChars="0"/>
              <w:jc w:val="center"/>
              <w:rPr>
                <w:rFonts w:cs="宋体"/>
                <w:sz w:val="21"/>
                <w:szCs w:val="21"/>
              </w:rPr>
            </w:pPr>
            <w:r>
              <w:rPr>
                <w:rFonts w:hint="eastAsia" w:cs="宋体"/>
                <w:sz w:val="21"/>
                <w:szCs w:val="21"/>
              </w:rPr>
              <w:t>清运至堆肥场，处理后外售</w:t>
            </w:r>
          </w:p>
        </w:tc>
        <w:tc>
          <w:tcPr>
            <w:tcW w:w="1855" w:type="pct"/>
            <w:tcBorders>
              <w:tl2br w:val="nil"/>
              <w:tr2bl w:val="nil"/>
            </w:tcBorders>
            <w:vAlign w:val="center"/>
          </w:tcPr>
          <w:p w14:paraId="770D74AD">
            <w:pPr>
              <w:ind w:firstLine="0" w:firstLineChars="0"/>
              <w:jc w:val="center"/>
              <w:rPr>
                <w:rFonts w:cs="宋体"/>
                <w:sz w:val="21"/>
                <w:szCs w:val="21"/>
              </w:rPr>
            </w:pPr>
            <w:r>
              <w:rPr>
                <w:rFonts w:cs="宋体"/>
                <w:sz w:val="21"/>
                <w:szCs w:val="21"/>
              </w:rPr>
              <w:t>按照环评要求进行</w:t>
            </w:r>
          </w:p>
        </w:tc>
      </w:tr>
      <w:tr w14:paraId="17C6F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0" w:hRule="atLeast"/>
          <w:jc w:val="center"/>
        </w:trPr>
        <w:tc>
          <w:tcPr>
            <w:tcW w:w="330" w:type="pct"/>
            <w:vMerge w:val="continue"/>
            <w:tcBorders>
              <w:tl2br w:val="nil"/>
              <w:tr2bl w:val="nil"/>
            </w:tcBorders>
            <w:textDirection w:val="tbRlV"/>
            <w:vAlign w:val="center"/>
          </w:tcPr>
          <w:p w14:paraId="32DFD98B">
            <w:pPr>
              <w:ind w:firstLine="0" w:firstLineChars="0"/>
              <w:jc w:val="center"/>
              <w:rPr>
                <w:sz w:val="21"/>
              </w:rPr>
            </w:pPr>
          </w:p>
        </w:tc>
        <w:tc>
          <w:tcPr>
            <w:tcW w:w="396" w:type="pct"/>
            <w:tcBorders>
              <w:tl2br w:val="nil"/>
              <w:tr2bl w:val="nil"/>
            </w:tcBorders>
            <w:vAlign w:val="center"/>
          </w:tcPr>
          <w:p w14:paraId="50A979F8">
            <w:pPr>
              <w:ind w:firstLine="0" w:firstLineChars="0"/>
              <w:jc w:val="center"/>
              <w:rPr>
                <w:rFonts w:cs="宋体"/>
                <w:sz w:val="21"/>
                <w:szCs w:val="21"/>
              </w:rPr>
            </w:pPr>
            <w:r>
              <w:rPr>
                <w:rFonts w:hint="eastAsia" w:cs="宋体"/>
                <w:sz w:val="21"/>
                <w:szCs w:val="21"/>
              </w:rPr>
              <w:t>骆驼圈舍</w:t>
            </w:r>
          </w:p>
        </w:tc>
        <w:tc>
          <w:tcPr>
            <w:tcW w:w="554" w:type="pct"/>
            <w:tcBorders>
              <w:tl2br w:val="nil"/>
              <w:tr2bl w:val="nil"/>
            </w:tcBorders>
            <w:vAlign w:val="center"/>
          </w:tcPr>
          <w:p w14:paraId="10B8FC15">
            <w:pPr>
              <w:ind w:firstLine="0" w:firstLineChars="0"/>
              <w:jc w:val="center"/>
              <w:rPr>
                <w:rFonts w:cs="宋体"/>
                <w:sz w:val="21"/>
                <w:szCs w:val="21"/>
              </w:rPr>
            </w:pPr>
            <w:r>
              <w:rPr>
                <w:rFonts w:cs="宋体"/>
                <w:sz w:val="21"/>
                <w:szCs w:val="21"/>
              </w:rPr>
              <w:t>病死</w:t>
            </w:r>
            <w:r>
              <w:rPr>
                <w:rFonts w:hint="eastAsia" w:cs="宋体"/>
                <w:sz w:val="21"/>
                <w:szCs w:val="21"/>
              </w:rPr>
              <w:t>骆驼</w:t>
            </w:r>
          </w:p>
        </w:tc>
        <w:tc>
          <w:tcPr>
            <w:tcW w:w="1862" w:type="pct"/>
            <w:tcBorders>
              <w:tl2br w:val="nil"/>
              <w:tr2bl w:val="nil"/>
            </w:tcBorders>
            <w:vAlign w:val="center"/>
          </w:tcPr>
          <w:p w14:paraId="23AB7511">
            <w:pPr>
              <w:ind w:firstLine="0" w:firstLineChars="0"/>
              <w:jc w:val="center"/>
              <w:rPr>
                <w:rFonts w:cs="宋体"/>
                <w:sz w:val="21"/>
                <w:szCs w:val="21"/>
              </w:rPr>
            </w:pPr>
            <w:r>
              <w:rPr>
                <w:rFonts w:hint="eastAsia" w:cs="宋体"/>
                <w:sz w:val="21"/>
                <w:szCs w:val="21"/>
              </w:rPr>
              <w:t>外委第三方处置</w:t>
            </w:r>
          </w:p>
        </w:tc>
        <w:tc>
          <w:tcPr>
            <w:tcW w:w="1855" w:type="pct"/>
            <w:tcBorders>
              <w:tl2br w:val="nil"/>
              <w:tr2bl w:val="nil"/>
            </w:tcBorders>
            <w:vAlign w:val="center"/>
          </w:tcPr>
          <w:p w14:paraId="03B6D2F0">
            <w:pPr>
              <w:ind w:firstLine="0" w:firstLineChars="0"/>
              <w:jc w:val="center"/>
              <w:rPr>
                <w:rFonts w:cs="宋体"/>
                <w:sz w:val="21"/>
                <w:szCs w:val="21"/>
              </w:rPr>
            </w:pPr>
            <w:r>
              <w:rPr>
                <w:rFonts w:cs="宋体"/>
                <w:sz w:val="21"/>
                <w:szCs w:val="21"/>
              </w:rPr>
              <w:t>按照《畜禽养殖业污染防治技术规范》</w:t>
            </w:r>
            <w:r>
              <w:rPr>
                <w:rFonts w:hint="eastAsia" w:cs="宋体"/>
                <w:sz w:val="21"/>
                <w:szCs w:val="21"/>
              </w:rPr>
              <w:t>（</w:t>
            </w:r>
            <w:r>
              <w:rPr>
                <w:sz w:val="21"/>
                <w:szCs w:val="21"/>
              </w:rPr>
              <w:t>HJ/T81-2001</w:t>
            </w:r>
            <w:r>
              <w:rPr>
                <w:rFonts w:hint="eastAsia" w:cs="宋体"/>
                <w:sz w:val="21"/>
                <w:szCs w:val="21"/>
              </w:rPr>
              <w:t>）</w:t>
            </w:r>
            <w:r>
              <w:rPr>
                <w:rFonts w:cs="宋体"/>
                <w:sz w:val="21"/>
                <w:szCs w:val="21"/>
              </w:rPr>
              <w:t>要求</w:t>
            </w:r>
          </w:p>
        </w:tc>
      </w:tr>
      <w:tr w14:paraId="1918B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vMerge w:val="continue"/>
            <w:tcBorders>
              <w:tl2br w:val="nil"/>
              <w:tr2bl w:val="nil"/>
            </w:tcBorders>
            <w:vAlign w:val="center"/>
          </w:tcPr>
          <w:p w14:paraId="47430851">
            <w:pPr>
              <w:ind w:firstLine="0" w:firstLineChars="0"/>
              <w:jc w:val="center"/>
              <w:rPr>
                <w:sz w:val="21"/>
              </w:rPr>
            </w:pPr>
          </w:p>
        </w:tc>
        <w:tc>
          <w:tcPr>
            <w:tcW w:w="396" w:type="pct"/>
            <w:tcBorders>
              <w:tl2br w:val="nil"/>
              <w:tr2bl w:val="nil"/>
            </w:tcBorders>
            <w:vAlign w:val="center"/>
          </w:tcPr>
          <w:p w14:paraId="71A2E856">
            <w:pPr>
              <w:ind w:firstLine="0" w:firstLineChars="0"/>
              <w:jc w:val="center"/>
              <w:rPr>
                <w:rFonts w:cs="宋体"/>
                <w:sz w:val="21"/>
                <w:szCs w:val="21"/>
              </w:rPr>
            </w:pPr>
            <w:r>
              <w:rPr>
                <w:rFonts w:cs="宋体"/>
                <w:sz w:val="21"/>
                <w:szCs w:val="21"/>
              </w:rPr>
              <w:t>生产加工区</w:t>
            </w:r>
          </w:p>
        </w:tc>
        <w:tc>
          <w:tcPr>
            <w:tcW w:w="554" w:type="pct"/>
            <w:tcBorders>
              <w:tl2br w:val="nil"/>
              <w:tr2bl w:val="nil"/>
            </w:tcBorders>
            <w:vAlign w:val="center"/>
          </w:tcPr>
          <w:p w14:paraId="11B80E13">
            <w:pPr>
              <w:ind w:firstLine="0" w:firstLineChars="0"/>
              <w:jc w:val="center"/>
              <w:rPr>
                <w:rFonts w:cs="宋体"/>
                <w:sz w:val="21"/>
                <w:szCs w:val="21"/>
              </w:rPr>
            </w:pPr>
            <w:r>
              <w:rPr>
                <w:rFonts w:cs="宋体"/>
                <w:sz w:val="21"/>
                <w:szCs w:val="21"/>
              </w:rPr>
              <w:t>废弃包装袋</w:t>
            </w:r>
          </w:p>
        </w:tc>
        <w:tc>
          <w:tcPr>
            <w:tcW w:w="1862" w:type="pct"/>
            <w:tcBorders>
              <w:tl2br w:val="nil"/>
              <w:tr2bl w:val="nil"/>
            </w:tcBorders>
            <w:vAlign w:val="center"/>
          </w:tcPr>
          <w:p w14:paraId="5D00B8DB">
            <w:pPr>
              <w:ind w:firstLine="0" w:firstLineChars="0"/>
              <w:jc w:val="center"/>
              <w:rPr>
                <w:rFonts w:cs="宋体"/>
                <w:sz w:val="21"/>
                <w:szCs w:val="21"/>
              </w:rPr>
            </w:pPr>
            <w:r>
              <w:rPr>
                <w:rFonts w:cs="宋体"/>
                <w:sz w:val="21"/>
                <w:szCs w:val="21"/>
              </w:rPr>
              <w:t>饲料包装袋集中收集后外售</w:t>
            </w:r>
          </w:p>
        </w:tc>
        <w:tc>
          <w:tcPr>
            <w:tcW w:w="1855" w:type="pct"/>
            <w:tcBorders>
              <w:tl2br w:val="nil"/>
              <w:tr2bl w:val="nil"/>
            </w:tcBorders>
            <w:vAlign w:val="center"/>
          </w:tcPr>
          <w:p w14:paraId="7FC08E1C">
            <w:pPr>
              <w:ind w:firstLine="0" w:firstLineChars="0"/>
              <w:jc w:val="center"/>
              <w:rPr>
                <w:rFonts w:cs="宋体"/>
                <w:sz w:val="21"/>
                <w:szCs w:val="21"/>
              </w:rPr>
            </w:pPr>
            <w:r>
              <w:rPr>
                <w:rFonts w:cs="宋体"/>
                <w:sz w:val="21"/>
                <w:szCs w:val="21"/>
              </w:rPr>
              <w:t>合理处置</w:t>
            </w:r>
          </w:p>
        </w:tc>
      </w:tr>
      <w:tr w14:paraId="2CD43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0" w:type="pct"/>
            <w:tcBorders>
              <w:tl2br w:val="nil"/>
              <w:tr2bl w:val="nil"/>
            </w:tcBorders>
            <w:vAlign w:val="center"/>
          </w:tcPr>
          <w:p w14:paraId="656D2C66">
            <w:pPr>
              <w:ind w:firstLine="0" w:firstLineChars="0"/>
              <w:jc w:val="center"/>
              <w:rPr>
                <w:rFonts w:cs="宋体"/>
                <w:sz w:val="21"/>
                <w:szCs w:val="21"/>
              </w:rPr>
            </w:pPr>
            <w:r>
              <w:rPr>
                <w:rFonts w:cs="宋体"/>
                <w:sz w:val="21"/>
                <w:szCs w:val="21"/>
              </w:rPr>
              <w:t>绿化</w:t>
            </w:r>
          </w:p>
        </w:tc>
        <w:tc>
          <w:tcPr>
            <w:tcW w:w="2813" w:type="pct"/>
            <w:gridSpan w:val="3"/>
            <w:tcBorders>
              <w:tl2br w:val="nil"/>
              <w:tr2bl w:val="nil"/>
            </w:tcBorders>
            <w:vAlign w:val="center"/>
          </w:tcPr>
          <w:p w14:paraId="284D2976">
            <w:pPr>
              <w:ind w:firstLine="0" w:firstLineChars="0"/>
              <w:jc w:val="center"/>
              <w:rPr>
                <w:rFonts w:cs="宋体"/>
                <w:sz w:val="21"/>
                <w:szCs w:val="21"/>
              </w:rPr>
            </w:pPr>
            <w:r>
              <w:rPr>
                <w:rFonts w:cs="宋体"/>
                <w:sz w:val="21"/>
                <w:szCs w:val="21"/>
              </w:rPr>
              <w:t>种植草坪、树木，景观造型设计等</w:t>
            </w:r>
          </w:p>
        </w:tc>
        <w:tc>
          <w:tcPr>
            <w:tcW w:w="1855" w:type="pct"/>
            <w:tcBorders>
              <w:tl2br w:val="nil"/>
              <w:tr2bl w:val="nil"/>
            </w:tcBorders>
            <w:vAlign w:val="center"/>
          </w:tcPr>
          <w:p w14:paraId="333C56A1">
            <w:pPr>
              <w:ind w:firstLine="0" w:firstLineChars="0"/>
              <w:jc w:val="center"/>
              <w:rPr>
                <w:sz w:val="21"/>
                <w:szCs w:val="21"/>
              </w:rPr>
            </w:pPr>
            <w:r>
              <w:rPr>
                <w:rFonts w:cs="宋体"/>
                <w:sz w:val="21"/>
                <w:szCs w:val="21"/>
              </w:rPr>
              <w:t>绿化率达</w:t>
            </w:r>
            <w:r>
              <w:rPr>
                <w:sz w:val="21"/>
                <w:szCs w:val="21"/>
              </w:rPr>
              <w:t>10%</w:t>
            </w:r>
          </w:p>
        </w:tc>
      </w:tr>
    </w:tbl>
    <w:p w14:paraId="6398EAA9">
      <w:pPr>
        <w:pStyle w:val="4"/>
      </w:pPr>
      <w:bookmarkStart w:id="300" w:name="_Toc89619360"/>
      <w:r>
        <w:rPr>
          <w:rFonts w:hint="eastAsia"/>
        </w:rPr>
        <w:t>8.4污染源排放清单</w:t>
      </w:r>
      <w:bookmarkEnd w:id="300"/>
    </w:p>
    <w:p w14:paraId="7C6F49AE">
      <w:pPr>
        <w:ind w:firstLine="480"/>
      </w:pPr>
      <w:r>
        <w:rPr>
          <w:rFonts w:hint="eastAsia"/>
        </w:rPr>
        <w:t>本项目运营期间污染物排放清单见表8.4-1。</w:t>
      </w:r>
    </w:p>
    <w:p w14:paraId="546A94D1">
      <w:pPr>
        <w:pStyle w:val="11"/>
        <w:spacing w:after="0"/>
        <w:rPr>
          <w:sz w:val="24"/>
          <w:szCs w:val="22"/>
        </w:rPr>
      </w:pPr>
      <w:r>
        <w:rPr>
          <w:rFonts w:hint="eastAsia"/>
          <w:sz w:val="24"/>
          <w:szCs w:val="22"/>
        </w:rPr>
        <w:t>表8.4-1运营期污染源排放清单</w:t>
      </w:r>
    </w:p>
    <w:tbl>
      <w:tblPr>
        <w:tblStyle w:val="183"/>
        <w:tblW w:w="504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0"/>
        <w:gridCol w:w="954"/>
        <w:gridCol w:w="1279"/>
        <w:gridCol w:w="1495"/>
        <w:gridCol w:w="3102"/>
        <w:gridCol w:w="1128"/>
      </w:tblGrid>
      <w:tr w14:paraId="4FECA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20" w:type="pct"/>
            <w:gridSpan w:val="2"/>
            <w:tcBorders>
              <w:tl2br w:val="nil"/>
              <w:tr2bl w:val="nil"/>
            </w:tcBorders>
            <w:vAlign w:val="center"/>
          </w:tcPr>
          <w:p w14:paraId="17DBF277">
            <w:pPr>
              <w:spacing w:line="360" w:lineRule="exact"/>
              <w:ind w:firstLine="0" w:firstLineChars="0"/>
              <w:jc w:val="center"/>
              <w:rPr>
                <w:rFonts w:cs="宋体"/>
                <w:sz w:val="21"/>
                <w:szCs w:val="21"/>
              </w:rPr>
            </w:pPr>
            <w:r>
              <w:rPr>
                <w:rFonts w:cs="宋体"/>
                <w:sz w:val="21"/>
                <w:szCs w:val="21"/>
              </w:rPr>
              <w:t>污染源</w:t>
            </w:r>
          </w:p>
        </w:tc>
        <w:tc>
          <w:tcPr>
            <w:tcW w:w="763" w:type="pct"/>
            <w:tcBorders>
              <w:tl2br w:val="nil"/>
              <w:tr2bl w:val="nil"/>
            </w:tcBorders>
            <w:vAlign w:val="center"/>
          </w:tcPr>
          <w:p w14:paraId="6BF17F38">
            <w:pPr>
              <w:spacing w:line="360" w:lineRule="exact"/>
              <w:ind w:firstLine="0" w:firstLineChars="0"/>
              <w:jc w:val="center"/>
              <w:rPr>
                <w:rFonts w:cs="宋体"/>
                <w:sz w:val="21"/>
                <w:szCs w:val="21"/>
              </w:rPr>
            </w:pPr>
            <w:r>
              <w:rPr>
                <w:rFonts w:cs="宋体"/>
                <w:sz w:val="21"/>
                <w:szCs w:val="21"/>
              </w:rPr>
              <w:t>主要污染物</w:t>
            </w:r>
          </w:p>
        </w:tc>
        <w:tc>
          <w:tcPr>
            <w:tcW w:w="892" w:type="pct"/>
            <w:tcBorders>
              <w:tl2br w:val="nil"/>
              <w:tr2bl w:val="nil"/>
            </w:tcBorders>
            <w:vAlign w:val="center"/>
          </w:tcPr>
          <w:p w14:paraId="2AAA65D4">
            <w:pPr>
              <w:spacing w:line="360" w:lineRule="exact"/>
              <w:ind w:firstLine="0" w:firstLineChars="0"/>
              <w:jc w:val="center"/>
              <w:rPr>
                <w:rFonts w:cs="宋体"/>
                <w:sz w:val="21"/>
                <w:szCs w:val="21"/>
              </w:rPr>
            </w:pPr>
            <w:r>
              <w:rPr>
                <w:rFonts w:cs="宋体"/>
                <w:sz w:val="21"/>
                <w:szCs w:val="21"/>
              </w:rPr>
              <w:t>产生量</w:t>
            </w:r>
          </w:p>
        </w:tc>
        <w:tc>
          <w:tcPr>
            <w:tcW w:w="1851" w:type="pct"/>
            <w:tcBorders>
              <w:tl2br w:val="nil"/>
              <w:tr2bl w:val="nil"/>
            </w:tcBorders>
            <w:vAlign w:val="center"/>
          </w:tcPr>
          <w:p w14:paraId="661151CD">
            <w:pPr>
              <w:spacing w:line="360" w:lineRule="exact"/>
              <w:ind w:firstLine="0" w:firstLineChars="0"/>
              <w:jc w:val="center"/>
              <w:rPr>
                <w:rFonts w:cs="宋体"/>
                <w:sz w:val="21"/>
                <w:szCs w:val="21"/>
              </w:rPr>
            </w:pPr>
            <w:r>
              <w:rPr>
                <w:rFonts w:cs="宋体"/>
                <w:sz w:val="21"/>
                <w:szCs w:val="21"/>
              </w:rPr>
              <w:t>处置措施</w:t>
            </w:r>
          </w:p>
        </w:tc>
        <w:tc>
          <w:tcPr>
            <w:tcW w:w="672" w:type="pct"/>
            <w:tcBorders>
              <w:tl2br w:val="nil"/>
              <w:tr2bl w:val="nil"/>
            </w:tcBorders>
            <w:vAlign w:val="center"/>
          </w:tcPr>
          <w:p w14:paraId="417C12DE">
            <w:pPr>
              <w:spacing w:line="360" w:lineRule="exact"/>
              <w:ind w:firstLine="0" w:firstLineChars="0"/>
              <w:jc w:val="center"/>
              <w:rPr>
                <w:rFonts w:cs="宋体"/>
                <w:sz w:val="21"/>
                <w:szCs w:val="21"/>
              </w:rPr>
            </w:pPr>
            <w:r>
              <w:rPr>
                <w:rFonts w:cs="宋体"/>
                <w:sz w:val="21"/>
                <w:szCs w:val="21"/>
              </w:rPr>
              <w:t>排放量</w:t>
            </w:r>
          </w:p>
        </w:tc>
      </w:tr>
      <w:tr w14:paraId="05F81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1" w:type="pct"/>
            <w:vMerge w:val="restart"/>
            <w:tcBorders>
              <w:tl2br w:val="nil"/>
              <w:tr2bl w:val="nil"/>
            </w:tcBorders>
            <w:textDirection w:val="tbRlV"/>
            <w:vAlign w:val="center"/>
          </w:tcPr>
          <w:p w14:paraId="46280826">
            <w:pPr>
              <w:spacing w:line="360" w:lineRule="exact"/>
              <w:ind w:firstLine="0" w:firstLineChars="0"/>
              <w:jc w:val="center"/>
              <w:rPr>
                <w:rFonts w:cs="宋体"/>
                <w:sz w:val="21"/>
                <w:szCs w:val="21"/>
              </w:rPr>
            </w:pPr>
            <w:r>
              <w:rPr>
                <w:rFonts w:cs="宋体"/>
                <w:sz w:val="21"/>
                <w:szCs w:val="21"/>
              </w:rPr>
              <w:t>废气</w:t>
            </w:r>
          </w:p>
        </w:tc>
        <w:tc>
          <w:tcPr>
            <w:tcW w:w="954" w:type="dxa"/>
            <w:vMerge w:val="restart"/>
            <w:tcBorders>
              <w:tl2br w:val="nil"/>
              <w:tr2bl w:val="nil"/>
            </w:tcBorders>
            <w:vAlign w:val="center"/>
          </w:tcPr>
          <w:p w14:paraId="08CD7D17">
            <w:pPr>
              <w:spacing w:line="360" w:lineRule="exact"/>
              <w:ind w:firstLine="0" w:firstLineChars="0"/>
              <w:jc w:val="center"/>
              <w:rPr>
                <w:rFonts w:cs="宋体"/>
                <w:sz w:val="21"/>
                <w:szCs w:val="21"/>
              </w:rPr>
            </w:pPr>
            <w:r>
              <w:rPr>
                <w:rFonts w:cs="宋体"/>
                <w:sz w:val="21"/>
                <w:szCs w:val="21"/>
              </w:rPr>
              <w:t>圈舍无组织</w:t>
            </w:r>
          </w:p>
        </w:tc>
        <w:tc>
          <w:tcPr>
            <w:tcW w:w="763" w:type="pct"/>
            <w:tcBorders>
              <w:tl2br w:val="nil"/>
              <w:tr2bl w:val="nil"/>
            </w:tcBorders>
            <w:vAlign w:val="center"/>
          </w:tcPr>
          <w:p w14:paraId="4E448251">
            <w:pPr>
              <w:spacing w:line="360" w:lineRule="exact"/>
              <w:ind w:firstLine="0" w:firstLineChars="0"/>
              <w:jc w:val="center"/>
              <w:rPr>
                <w:sz w:val="21"/>
                <w:szCs w:val="14"/>
              </w:rPr>
            </w:pPr>
            <w:r>
              <w:rPr>
                <w:sz w:val="21"/>
                <w:szCs w:val="21"/>
              </w:rPr>
              <w:t>NH</w:t>
            </w:r>
            <w:r>
              <w:rPr>
                <w:position w:val="-1"/>
                <w:sz w:val="21"/>
                <w:szCs w:val="14"/>
                <w:vertAlign w:val="subscript"/>
              </w:rPr>
              <w:t>3</w:t>
            </w:r>
          </w:p>
        </w:tc>
        <w:tc>
          <w:tcPr>
            <w:tcW w:w="1495" w:type="dxa"/>
            <w:tcBorders>
              <w:tl2br w:val="nil"/>
              <w:tr2bl w:val="nil"/>
            </w:tcBorders>
            <w:vAlign w:val="center"/>
          </w:tcPr>
          <w:p w14:paraId="354848A6">
            <w:pPr>
              <w:spacing w:line="360" w:lineRule="exact"/>
              <w:ind w:firstLine="0" w:firstLineChars="0"/>
              <w:jc w:val="center"/>
              <w:rPr>
                <w:sz w:val="21"/>
                <w:szCs w:val="21"/>
              </w:rPr>
            </w:pPr>
            <w:r>
              <w:rPr>
                <w:rFonts w:hint="eastAsia"/>
                <w:sz w:val="21"/>
                <w:szCs w:val="21"/>
              </w:rPr>
              <w:t>2.43t</w:t>
            </w:r>
            <w:r>
              <w:rPr>
                <w:sz w:val="21"/>
                <w:szCs w:val="21"/>
              </w:rPr>
              <w:t>/a</w:t>
            </w:r>
          </w:p>
        </w:tc>
        <w:tc>
          <w:tcPr>
            <w:tcW w:w="1851" w:type="pct"/>
            <w:vMerge w:val="restart"/>
            <w:tcBorders>
              <w:tl2br w:val="nil"/>
              <w:tr2bl w:val="nil"/>
            </w:tcBorders>
            <w:vAlign w:val="center"/>
          </w:tcPr>
          <w:p w14:paraId="3117DF5F">
            <w:pPr>
              <w:spacing w:line="360" w:lineRule="exact"/>
              <w:ind w:firstLine="0" w:firstLineChars="0"/>
              <w:jc w:val="center"/>
              <w:rPr>
                <w:rFonts w:cs="宋体"/>
                <w:sz w:val="21"/>
                <w:szCs w:val="21"/>
              </w:rPr>
            </w:pPr>
            <w:r>
              <w:rPr>
                <w:rFonts w:hint="eastAsia" w:cs="宋体"/>
                <w:sz w:val="21"/>
                <w:szCs w:val="21"/>
              </w:rPr>
              <w:t>定期清运，加强通风。</w:t>
            </w:r>
            <w:r>
              <w:rPr>
                <w:rFonts w:cs="宋体"/>
                <w:sz w:val="21"/>
                <w:szCs w:val="21"/>
              </w:rPr>
              <w:t>圈舍四周绿化</w:t>
            </w:r>
          </w:p>
        </w:tc>
        <w:tc>
          <w:tcPr>
            <w:tcW w:w="1128" w:type="dxa"/>
            <w:tcBorders>
              <w:tl2br w:val="nil"/>
              <w:tr2bl w:val="nil"/>
            </w:tcBorders>
            <w:vAlign w:val="center"/>
          </w:tcPr>
          <w:p w14:paraId="7BE11BE5">
            <w:pPr>
              <w:spacing w:line="360" w:lineRule="exact"/>
              <w:ind w:firstLine="0" w:firstLineChars="0"/>
              <w:jc w:val="center"/>
              <w:rPr>
                <w:sz w:val="21"/>
                <w:szCs w:val="21"/>
              </w:rPr>
            </w:pPr>
            <w:r>
              <w:rPr>
                <w:rFonts w:hint="eastAsia"/>
                <w:sz w:val="21"/>
                <w:szCs w:val="21"/>
              </w:rPr>
              <w:t>0.122</w:t>
            </w:r>
            <w:r>
              <w:rPr>
                <w:sz w:val="21"/>
                <w:szCs w:val="21"/>
              </w:rPr>
              <w:t>t/a</w:t>
            </w:r>
          </w:p>
        </w:tc>
      </w:tr>
      <w:tr w14:paraId="36A02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1" w:type="pct"/>
            <w:vMerge w:val="continue"/>
            <w:tcBorders>
              <w:tl2br w:val="nil"/>
              <w:tr2bl w:val="nil"/>
            </w:tcBorders>
            <w:textDirection w:val="tbRlV"/>
            <w:vAlign w:val="center"/>
          </w:tcPr>
          <w:p w14:paraId="1AC8F6D3">
            <w:pPr>
              <w:spacing w:line="360" w:lineRule="exact"/>
              <w:ind w:firstLine="0" w:firstLineChars="0"/>
              <w:jc w:val="center"/>
              <w:rPr>
                <w:sz w:val="21"/>
              </w:rPr>
            </w:pPr>
          </w:p>
        </w:tc>
        <w:tc>
          <w:tcPr>
            <w:tcW w:w="568" w:type="pct"/>
            <w:vMerge w:val="continue"/>
            <w:tcBorders>
              <w:tl2br w:val="nil"/>
              <w:tr2bl w:val="nil"/>
            </w:tcBorders>
            <w:vAlign w:val="center"/>
          </w:tcPr>
          <w:p w14:paraId="2AB1B141">
            <w:pPr>
              <w:spacing w:line="360" w:lineRule="exact"/>
              <w:ind w:firstLine="0" w:firstLineChars="0"/>
              <w:jc w:val="center"/>
              <w:rPr>
                <w:sz w:val="21"/>
              </w:rPr>
            </w:pPr>
          </w:p>
        </w:tc>
        <w:tc>
          <w:tcPr>
            <w:tcW w:w="763" w:type="pct"/>
            <w:tcBorders>
              <w:tl2br w:val="nil"/>
              <w:tr2bl w:val="nil"/>
            </w:tcBorders>
            <w:vAlign w:val="center"/>
          </w:tcPr>
          <w:p w14:paraId="7DE9D1B7">
            <w:pPr>
              <w:spacing w:line="360" w:lineRule="exact"/>
              <w:ind w:firstLine="0" w:firstLineChars="0"/>
              <w:jc w:val="center"/>
              <w:rPr>
                <w:sz w:val="21"/>
                <w:szCs w:val="21"/>
              </w:rPr>
            </w:pPr>
            <w:r>
              <w:rPr>
                <w:sz w:val="21"/>
                <w:szCs w:val="21"/>
              </w:rPr>
              <w:t>H</w:t>
            </w:r>
            <w:r>
              <w:rPr>
                <w:position w:val="-1"/>
                <w:sz w:val="21"/>
                <w:szCs w:val="14"/>
                <w:vertAlign w:val="subscript"/>
              </w:rPr>
              <w:t>2</w:t>
            </w:r>
            <w:r>
              <w:rPr>
                <w:sz w:val="21"/>
                <w:szCs w:val="21"/>
              </w:rPr>
              <w:t>S</w:t>
            </w:r>
          </w:p>
        </w:tc>
        <w:tc>
          <w:tcPr>
            <w:tcW w:w="1495" w:type="dxa"/>
            <w:tcBorders>
              <w:tl2br w:val="nil"/>
              <w:tr2bl w:val="nil"/>
            </w:tcBorders>
            <w:vAlign w:val="center"/>
          </w:tcPr>
          <w:p w14:paraId="0E1F6826">
            <w:pPr>
              <w:spacing w:line="360" w:lineRule="exact"/>
              <w:ind w:firstLine="0" w:firstLineChars="0"/>
              <w:jc w:val="center"/>
              <w:rPr>
                <w:sz w:val="21"/>
                <w:szCs w:val="21"/>
              </w:rPr>
            </w:pPr>
            <w:r>
              <w:rPr>
                <w:rFonts w:hint="eastAsia"/>
                <w:sz w:val="21"/>
                <w:szCs w:val="21"/>
              </w:rPr>
              <w:t>0.243</w:t>
            </w:r>
            <w:r>
              <w:rPr>
                <w:sz w:val="21"/>
                <w:szCs w:val="21"/>
              </w:rPr>
              <w:t>t/a</w:t>
            </w:r>
          </w:p>
        </w:tc>
        <w:tc>
          <w:tcPr>
            <w:tcW w:w="1851" w:type="pct"/>
            <w:vMerge w:val="continue"/>
            <w:tcBorders>
              <w:tl2br w:val="nil"/>
              <w:tr2bl w:val="nil"/>
            </w:tcBorders>
            <w:vAlign w:val="center"/>
          </w:tcPr>
          <w:p w14:paraId="65EB2749">
            <w:pPr>
              <w:spacing w:line="360" w:lineRule="exact"/>
              <w:ind w:firstLine="0" w:firstLineChars="0"/>
              <w:jc w:val="center"/>
              <w:rPr>
                <w:sz w:val="21"/>
              </w:rPr>
            </w:pPr>
          </w:p>
        </w:tc>
        <w:tc>
          <w:tcPr>
            <w:tcW w:w="1128" w:type="dxa"/>
            <w:tcBorders>
              <w:tl2br w:val="nil"/>
              <w:tr2bl w:val="nil"/>
            </w:tcBorders>
            <w:vAlign w:val="center"/>
          </w:tcPr>
          <w:p w14:paraId="094EFF2E">
            <w:pPr>
              <w:spacing w:line="360" w:lineRule="exact"/>
              <w:ind w:firstLine="0" w:firstLineChars="0"/>
              <w:jc w:val="center"/>
              <w:rPr>
                <w:sz w:val="21"/>
                <w:szCs w:val="21"/>
              </w:rPr>
            </w:pPr>
            <w:r>
              <w:rPr>
                <w:rFonts w:hint="eastAsia"/>
                <w:sz w:val="21"/>
                <w:szCs w:val="21"/>
              </w:rPr>
              <w:t>0.012</w:t>
            </w:r>
            <w:r>
              <w:rPr>
                <w:sz w:val="21"/>
                <w:szCs w:val="21"/>
              </w:rPr>
              <w:t>t/a</w:t>
            </w:r>
          </w:p>
        </w:tc>
      </w:tr>
      <w:tr w14:paraId="56D6E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1" w:type="pct"/>
            <w:vMerge w:val="continue"/>
            <w:tcBorders>
              <w:tl2br w:val="nil"/>
              <w:tr2bl w:val="nil"/>
            </w:tcBorders>
            <w:textDirection w:val="tbRlV"/>
            <w:vAlign w:val="center"/>
          </w:tcPr>
          <w:p w14:paraId="39A44DC9">
            <w:pPr>
              <w:spacing w:line="360" w:lineRule="exact"/>
              <w:ind w:firstLine="0" w:firstLineChars="0"/>
              <w:jc w:val="center"/>
              <w:rPr>
                <w:sz w:val="21"/>
              </w:rPr>
            </w:pPr>
          </w:p>
        </w:tc>
        <w:tc>
          <w:tcPr>
            <w:tcW w:w="954" w:type="dxa"/>
            <w:vMerge w:val="restart"/>
            <w:tcBorders>
              <w:tl2br w:val="nil"/>
              <w:tr2bl w:val="nil"/>
            </w:tcBorders>
            <w:vAlign w:val="center"/>
          </w:tcPr>
          <w:p w14:paraId="6F48F0F5">
            <w:pPr>
              <w:spacing w:line="360" w:lineRule="exact"/>
              <w:ind w:firstLine="0" w:firstLineChars="0"/>
              <w:jc w:val="center"/>
              <w:rPr>
                <w:sz w:val="21"/>
              </w:rPr>
            </w:pPr>
            <w:r>
              <w:rPr>
                <w:rFonts w:hint="eastAsia"/>
                <w:sz w:val="21"/>
              </w:rPr>
              <w:t>堆肥场</w:t>
            </w:r>
          </w:p>
        </w:tc>
        <w:tc>
          <w:tcPr>
            <w:tcW w:w="763" w:type="pct"/>
            <w:tcBorders>
              <w:tl2br w:val="nil"/>
              <w:tr2bl w:val="nil"/>
            </w:tcBorders>
            <w:vAlign w:val="center"/>
          </w:tcPr>
          <w:p w14:paraId="5C50D825">
            <w:pPr>
              <w:spacing w:line="360" w:lineRule="exact"/>
              <w:ind w:firstLine="0" w:firstLineChars="0"/>
              <w:jc w:val="center"/>
              <w:rPr>
                <w:sz w:val="21"/>
                <w:szCs w:val="21"/>
              </w:rPr>
            </w:pPr>
            <w:r>
              <w:rPr>
                <w:sz w:val="21"/>
                <w:szCs w:val="21"/>
              </w:rPr>
              <w:t>NH</w:t>
            </w:r>
            <w:r>
              <w:rPr>
                <w:position w:val="-1"/>
                <w:sz w:val="21"/>
                <w:szCs w:val="14"/>
                <w:vertAlign w:val="subscript"/>
              </w:rPr>
              <w:t>3</w:t>
            </w:r>
          </w:p>
        </w:tc>
        <w:tc>
          <w:tcPr>
            <w:tcW w:w="1495" w:type="dxa"/>
            <w:tcBorders>
              <w:tl2br w:val="nil"/>
              <w:tr2bl w:val="nil"/>
            </w:tcBorders>
            <w:vAlign w:val="center"/>
          </w:tcPr>
          <w:p w14:paraId="2480E812">
            <w:pPr>
              <w:spacing w:line="360" w:lineRule="exact"/>
              <w:ind w:firstLine="0" w:firstLineChars="0"/>
              <w:jc w:val="center"/>
              <w:rPr>
                <w:sz w:val="21"/>
                <w:szCs w:val="21"/>
              </w:rPr>
            </w:pPr>
            <w:r>
              <w:rPr>
                <w:rFonts w:hint="eastAsia"/>
                <w:sz w:val="21"/>
                <w:szCs w:val="21"/>
              </w:rPr>
              <w:t>9kg/a</w:t>
            </w:r>
          </w:p>
        </w:tc>
        <w:tc>
          <w:tcPr>
            <w:tcW w:w="1851" w:type="pct"/>
            <w:vMerge w:val="restart"/>
            <w:tcBorders>
              <w:tl2br w:val="nil"/>
              <w:tr2bl w:val="nil"/>
            </w:tcBorders>
            <w:vAlign w:val="center"/>
          </w:tcPr>
          <w:p w14:paraId="0053D236">
            <w:pPr>
              <w:spacing w:line="360" w:lineRule="exact"/>
              <w:ind w:firstLine="0" w:firstLineChars="0"/>
              <w:jc w:val="center"/>
              <w:rPr>
                <w:sz w:val="21"/>
              </w:rPr>
            </w:pPr>
            <w:r>
              <w:rPr>
                <w:rFonts w:hint="eastAsia"/>
                <w:sz w:val="21"/>
              </w:rPr>
              <w:t>定期喷洒除臭剂，加强绿化</w:t>
            </w:r>
          </w:p>
        </w:tc>
        <w:tc>
          <w:tcPr>
            <w:tcW w:w="1128" w:type="dxa"/>
            <w:tcBorders>
              <w:tl2br w:val="nil"/>
              <w:tr2bl w:val="nil"/>
            </w:tcBorders>
            <w:vAlign w:val="center"/>
          </w:tcPr>
          <w:p w14:paraId="2AB402AA">
            <w:pPr>
              <w:spacing w:line="360" w:lineRule="exact"/>
              <w:ind w:firstLine="0" w:firstLineChars="0"/>
              <w:jc w:val="center"/>
              <w:rPr>
                <w:sz w:val="21"/>
                <w:szCs w:val="21"/>
              </w:rPr>
            </w:pPr>
            <w:r>
              <w:rPr>
                <w:rFonts w:hint="eastAsia"/>
                <w:sz w:val="21"/>
                <w:szCs w:val="21"/>
              </w:rPr>
              <w:t>3.6kg/a</w:t>
            </w:r>
          </w:p>
        </w:tc>
      </w:tr>
      <w:tr w14:paraId="5EBE7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1" w:type="pct"/>
            <w:vMerge w:val="continue"/>
            <w:tcBorders>
              <w:tl2br w:val="nil"/>
              <w:tr2bl w:val="nil"/>
            </w:tcBorders>
            <w:textDirection w:val="tbRlV"/>
            <w:vAlign w:val="center"/>
          </w:tcPr>
          <w:p w14:paraId="0E0A2201">
            <w:pPr>
              <w:spacing w:line="360" w:lineRule="exact"/>
              <w:ind w:firstLine="0" w:firstLineChars="0"/>
              <w:jc w:val="center"/>
              <w:rPr>
                <w:sz w:val="21"/>
              </w:rPr>
            </w:pPr>
          </w:p>
        </w:tc>
        <w:tc>
          <w:tcPr>
            <w:tcW w:w="568" w:type="pct"/>
            <w:vMerge w:val="continue"/>
            <w:tcBorders>
              <w:tl2br w:val="nil"/>
              <w:tr2bl w:val="nil"/>
            </w:tcBorders>
            <w:vAlign w:val="center"/>
          </w:tcPr>
          <w:p w14:paraId="35C73A5C">
            <w:pPr>
              <w:spacing w:line="360" w:lineRule="exact"/>
              <w:ind w:firstLine="0" w:firstLineChars="0"/>
              <w:jc w:val="center"/>
              <w:rPr>
                <w:sz w:val="21"/>
              </w:rPr>
            </w:pPr>
          </w:p>
        </w:tc>
        <w:tc>
          <w:tcPr>
            <w:tcW w:w="763" w:type="pct"/>
            <w:tcBorders>
              <w:tl2br w:val="nil"/>
              <w:tr2bl w:val="nil"/>
            </w:tcBorders>
            <w:vAlign w:val="center"/>
          </w:tcPr>
          <w:p w14:paraId="3716A587">
            <w:pPr>
              <w:spacing w:line="360" w:lineRule="exact"/>
              <w:ind w:firstLine="0" w:firstLineChars="0"/>
              <w:jc w:val="center"/>
              <w:rPr>
                <w:sz w:val="21"/>
                <w:szCs w:val="21"/>
              </w:rPr>
            </w:pPr>
            <w:r>
              <w:rPr>
                <w:sz w:val="21"/>
                <w:szCs w:val="21"/>
              </w:rPr>
              <w:t>H</w:t>
            </w:r>
            <w:r>
              <w:rPr>
                <w:position w:val="-1"/>
                <w:sz w:val="21"/>
                <w:szCs w:val="14"/>
                <w:vertAlign w:val="subscript"/>
              </w:rPr>
              <w:t>2</w:t>
            </w:r>
            <w:r>
              <w:rPr>
                <w:sz w:val="21"/>
                <w:szCs w:val="21"/>
              </w:rPr>
              <w:t>S</w:t>
            </w:r>
          </w:p>
        </w:tc>
        <w:tc>
          <w:tcPr>
            <w:tcW w:w="1495" w:type="dxa"/>
            <w:tcBorders>
              <w:tl2br w:val="nil"/>
              <w:tr2bl w:val="nil"/>
            </w:tcBorders>
            <w:vAlign w:val="center"/>
          </w:tcPr>
          <w:p w14:paraId="7AD8F82B">
            <w:pPr>
              <w:spacing w:line="360" w:lineRule="exact"/>
              <w:ind w:firstLine="0" w:firstLineChars="0"/>
              <w:jc w:val="center"/>
              <w:rPr>
                <w:sz w:val="21"/>
                <w:szCs w:val="21"/>
              </w:rPr>
            </w:pPr>
            <w:r>
              <w:rPr>
                <w:rFonts w:hint="eastAsia"/>
                <w:sz w:val="21"/>
                <w:szCs w:val="21"/>
              </w:rPr>
              <w:t>0.216kg/a</w:t>
            </w:r>
          </w:p>
        </w:tc>
        <w:tc>
          <w:tcPr>
            <w:tcW w:w="1851" w:type="pct"/>
            <w:vMerge w:val="continue"/>
            <w:tcBorders>
              <w:tl2br w:val="nil"/>
              <w:tr2bl w:val="nil"/>
            </w:tcBorders>
            <w:vAlign w:val="center"/>
          </w:tcPr>
          <w:p w14:paraId="70B57870">
            <w:pPr>
              <w:spacing w:line="360" w:lineRule="exact"/>
              <w:ind w:firstLine="0" w:firstLineChars="0"/>
              <w:jc w:val="center"/>
              <w:rPr>
                <w:sz w:val="21"/>
              </w:rPr>
            </w:pPr>
          </w:p>
        </w:tc>
        <w:tc>
          <w:tcPr>
            <w:tcW w:w="1128" w:type="dxa"/>
            <w:tcBorders>
              <w:tl2br w:val="nil"/>
              <w:tr2bl w:val="nil"/>
            </w:tcBorders>
            <w:vAlign w:val="center"/>
          </w:tcPr>
          <w:p w14:paraId="7CDA5366">
            <w:pPr>
              <w:spacing w:line="360" w:lineRule="exact"/>
              <w:ind w:firstLine="0" w:firstLineChars="0"/>
              <w:jc w:val="center"/>
              <w:rPr>
                <w:sz w:val="21"/>
                <w:szCs w:val="21"/>
              </w:rPr>
            </w:pPr>
            <w:r>
              <w:rPr>
                <w:rFonts w:hint="eastAsia"/>
                <w:sz w:val="21"/>
                <w:szCs w:val="21"/>
              </w:rPr>
              <w:t>0.086kg/a</w:t>
            </w:r>
          </w:p>
        </w:tc>
      </w:tr>
      <w:tr w14:paraId="2538E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251" w:type="pct"/>
            <w:vMerge w:val="restart"/>
            <w:tcBorders>
              <w:tl2br w:val="nil"/>
              <w:tr2bl w:val="nil"/>
            </w:tcBorders>
            <w:textDirection w:val="tbRlV"/>
            <w:vAlign w:val="center"/>
          </w:tcPr>
          <w:p w14:paraId="4B6F5F84">
            <w:pPr>
              <w:spacing w:line="360" w:lineRule="exact"/>
              <w:ind w:firstLine="0" w:firstLineChars="0"/>
              <w:jc w:val="center"/>
              <w:rPr>
                <w:rFonts w:cs="宋体"/>
                <w:sz w:val="21"/>
                <w:szCs w:val="21"/>
              </w:rPr>
            </w:pPr>
            <w:r>
              <w:rPr>
                <w:rFonts w:cs="宋体"/>
                <w:sz w:val="21"/>
                <w:szCs w:val="21"/>
              </w:rPr>
              <w:t>废水</w:t>
            </w:r>
          </w:p>
        </w:tc>
        <w:tc>
          <w:tcPr>
            <w:tcW w:w="568" w:type="pct"/>
            <w:tcBorders>
              <w:tl2br w:val="nil"/>
              <w:tr2bl w:val="nil"/>
            </w:tcBorders>
            <w:vAlign w:val="center"/>
          </w:tcPr>
          <w:p w14:paraId="0AB02552">
            <w:pPr>
              <w:spacing w:line="360" w:lineRule="exact"/>
              <w:ind w:firstLine="0" w:firstLineChars="0"/>
              <w:jc w:val="center"/>
              <w:rPr>
                <w:rFonts w:cs="宋体"/>
                <w:sz w:val="21"/>
                <w:szCs w:val="21"/>
              </w:rPr>
            </w:pPr>
            <w:r>
              <w:rPr>
                <w:rFonts w:cs="宋体"/>
                <w:sz w:val="21"/>
                <w:szCs w:val="21"/>
              </w:rPr>
              <w:t>生活办公区</w:t>
            </w:r>
          </w:p>
        </w:tc>
        <w:tc>
          <w:tcPr>
            <w:tcW w:w="763" w:type="pct"/>
            <w:tcBorders>
              <w:tl2br w:val="nil"/>
              <w:tr2bl w:val="nil"/>
            </w:tcBorders>
            <w:vAlign w:val="center"/>
          </w:tcPr>
          <w:p w14:paraId="22947084">
            <w:pPr>
              <w:spacing w:line="360" w:lineRule="exact"/>
              <w:ind w:firstLine="0" w:firstLineChars="0"/>
              <w:jc w:val="center"/>
              <w:rPr>
                <w:rFonts w:cs="宋体"/>
                <w:sz w:val="21"/>
                <w:szCs w:val="21"/>
              </w:rPr>
            </w:pPr>
            <w:r>
              <w:rPr>
                <w:rFonts w:cs="宋体"/>
                <w:sz w:val="21"/>
                <w:szCs w:val="21"/>
              </w:rPr>
              <w:t>生活污水</w:t>
            </w:r>
          </w:p>
        </w:tc>
        <w:tc>
          <w:tcPr>
            <w:tcW w:w="892" w:type="pct"/>
            <w:tcBorders>
              <w:tl2br w:val="nil"/>
              <w:tr2bl w:val="nil"/>
            </w:tcBorders>
            <w:vAlign w:val="center"/>
          </w:tcPr>
          <w:p w14:paraId="33AD347F">
            <w:pPr>
              <w:spacing w:line="360" w:lineRule="exact"/>
              <w:ind w:firstLine="0" w:firstLineChars="0"/>
              <w:jc w:val="center"/>
              <w:rPr>
                <w:sz w:val="21"/>
                <w:szCs w:val="21"/>
              </w:rPr>
            </w:pPr>
            <w:r>
              <w:rPr>
                <w:sz w:val="21"/>
                <w:szCs w:val="21"/>
              </w:rPr>
              <w:t>467.2</w:t>
            </w:r>
            <w:r>
              <w:rPr>
                <w:rFonts w:hint="eastAsia"/>
                <w:sz w:val="21"/>
                <w:szCs w:val="21"/>
              </w:rPr>
              <w:t>m</w:t>
            </w:r>
            <w:r>
              <w:rPr>
                <w:rFonts w:hint="eastAsia"/>
                <w:sz w:val="21"/>
                <w:szCs w:val="21"/>
                <w:vertAlign w:val="superscript"/>
              </w:rPr>
              <w:t>3</w:t>
            </w:r>
            <w:r>
              <w:rPr>
                <w:sz w:val="21"/>
                <w:szCs w:val="21"/>
              </w:rPr>
              <w:t>/a</w:t>
            </w:r>
          </w:p>
        </w:tc>
        <w:tc>
          <w:tcPr>
            <w:tcW w:w="1851" w:type="pct"/>
            <w:vMerge w:val="restart"/>
            <w:tcBorders>
              <w:tl2br w:val="nil"/>
              <w:tr2bl w:val="nil"/>
            </w:tcBorders>
            <w:vAlign w:val="center"/>
          </w:tcPr>
          <w:p w14:paraId="16C3BCFD">
            <w:pPr>
              <w:spacing w:line="360" w:lineRule="exact"/>
              <w:ind w:firstLine="0" w:firstLineChars="0"/>
              <w:jc w:val="center"/>
              <w:rPr>
                <w:rFonts w:cs="宋体"/>
                <w:sz w:val="21"/>
                <w:szCs w:val="21"/>
              </w:rPr>
            </w:pPr>
            <w:r>
              <w:rPr>
                <w:rFonts w:hint="eastAsia" w:cs="宋体"/>
                <w:sz w:val="21"/>
                <w:szCs w:val="21"/>
              </w:rPr>
              <w:t>经化粪池收集，定期拉运至木垒县污水处理厂</w:t>
            </w:r>
          </w:p>
        </w:tc>
        <w:tc>
          <w:tcPr>
            <w:tcW w:w="672" w:type="pct"/>
            <w:tcBorders>
              <w:tl2br w:val="nil"/>
              <w:tr2bl w:val="nil"/>
            </w:tcBorders>
            <w:vAlign w:val="center"/>
          </w:tcPr>
          <w:p w14:paraId="6E35E902">
            <w:pPr>
              <w:spacing w:line="360" w:lineRule="exact"/>
              <w:ind w:firstLine="0" w:firstLineChars="0"/>
              <w:jc w:val="center"/>
              <w:rPr>
                <w:sz w:val="21"/>
                <w:szCs w:val="21"/>
              </w:rPr>
            </w:pPr>
            <w:r>
              <w:rPr>
                <w:sz w:val="21"/>
                <w:szCs w:val="21"/>
              </w:rPr>
              <w:t>467.2</w:t>
            </w:r>
            <w:r>
              <w:rPr>
                <w:rFonts w:hint="eastAsia"/>
                <w:sz w:val="21"/>
                <w:szCs w:val="21"/>
              </w:rPr>
              <w:t>m</w:t>
            </w:r>
            <w:r>
              <w:rPr>
                <w:rFonts w:hint="eastAsia"/>
                <w:sz w:val="21"/>
                <w:szCs w:val="21"/>
                <w:vertAlign w:val="superscript"/>
              </w:rPr>
              <w:t>3</w:t>
            </w:r>
            <w:r>
              <w:rPr>
                <w:sz w:val="21"/>
                <w:szCs w:val="21"/>
              </w:rPr>
              <w:t>/a</w:t>
            </w:r>
          </w:p>
        </w:tc>
      </w:tr>
      <w:tr w14:paraId="5047E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251" w:type="pct"/>
            <w:vMerge w:val="continue"/>
            <w:tcBorders>
              <w:tl2br w:val="nil"/>
              <w:tr2bl w:val="nil"/>
            </w:tcBorders>
            <w:textDirection w:val="tbRlV"/>
            <w:vAlign w:val="center"/>
          </w:tcPr>
          <w:p w14:paraId="753D7847">
            <w:pPr>
              <w:spacing w:line="360" w:lineRule="exact"/>
              <w:ind w:firstLine="0" w:firstLineChars="0"/>
              <w:jc w:val="center"/>
              <w:rPr>
                <w:rFonts w:cs="宋体"/>
                <w:sz w:val="21"/>
                <w:szCs w:val="21"/>
              </w:rPr>
            </w:pPr>
          </w:p>
        </w:tc>
        <w:tc>
          <w:tcPr>
            <w:tcW w:w="568" w:type="pct"/>
            <w:tcBorders>
              <w:tl2br w:val="nil"/>
              <w:tr2bl w:val="nil"/>
            </w:tcBorders>
            <w:vAlign w:val="center"/>
          </w:tcPr>
          <w:p w14:paraId="536EBBF0">
            <w:pPr>
              <w:spacing w:line="360" w:lineRule="exact"/>
              <w:ind w:firstLine="0" w:firstLineChars="0"/>
              <w:jc w:val="center"/>
              <w:rPr>
                <w:rFonts w:hint="default" w:eastAsia="宋体" w:cs="宋体"/>
                <w:sz w:val="21"/>
                <w:szCs w:val="21"/>
                <w:lang w:val="en-US" w:eastAsia="zh-CN"/>
              </w:rPr>
            </w:pPr>
            <w:r>
              <w:rPr>
                <w:rFonts w:hint="eastAsia" w:cs="宋体"/>
                <w:sz w:val="21"/>
                <w:szCs w:val="21"/>
                <w:lang w:val="en-US" w:eastAsia="zh-CN"/>
              </w:rPr>
              <w:t>堆肥场</w:t>
            </w:r>
          </w:p>
        </w:tc>
        <w:tc>
          <w:tcPr>
            <w:tcW w:w="763" w:type="pct"/>
            <w:tcBorders>
              <w:tl2br w:val="nil"/>
              <w:tr2bl w:val="nil"/>
            </w:tcBorders>
            <w:vAlign w:val="center"/>
          </w:tcPr>
          <w:p w14:paraId="55277D6B">
            <w:pPr>
              <w:spacing w:line="360" w:lineRule="exact"/>
              <w:ind w:firstLine="0" w:firstLineChars="0"/>
              <w:jc w:val="center"/>
              <w:rPr>
                <w:rFonts w:hint="eastAsia" w:eastAsia="宋体" w:cs="宋体"/>
                <w:sz w:val="21"/>
                <w:szCs w:val="21"/>
                <w:lang w:val="en-US" w:eastAsia="zh-CN"/>
              </w:rPr>
            </w:pPr>
            <w:r>
              <w:rPr>
                <w:rFonts w:hint="eastAsia" w:cs="宋体"/>
                <w:sz w:val="21"/>
                <w:szCs w:val="21"/>
                <w:lang w:val="en-US" w:eastAsia="zh-CN"/>
              </w:rPr>
              <w:t>渗滤液</w:t>
            </w:r>
          </w:p>
        </w:tc>
        <w:tc>
          <w:tcPr>
            <w:tcW w:w="892" w:type="pct"/>
            <w:tcBorders>
              <w:tl2br w:val="nil"/>
              <w:tr2bl w:val="nil"/>
            </w:tcBorders>
            <w:vAlign w:val="center"/>
          </w:tcPr>
          <w:p w14:paraId="6D8362EB">
            <w:pPr>
              <w:spacing w:line="360" w:lineRule="exact"/>
              <w:ind w:firstLine="0" w:firstLineChars="0"/>
              <w:jc w:val="center"/>
              <w:rPr>
                <w:rFonts w:hint="default" w:eastAsia="宋体"/>
                <w:sz w:val="21"/>
                <w:szCs w:val="21"/>
                <w:vertAlign w:val="baseline"/>
                <w:lang w:val="en-US" w:eastAsia="zh-CN"/>
              </w:rPr>
            </w:pPr>
            <w:r>
              <w:rPr>
                <w:rFonts w:hint="eastAsia"/>
                <w:sz w:val="21"/>
                <w:szCs w:val="21"/>
                <w:lang w:val="en-US" w:eastAsia="zh-CN"/>
              </w:rPr>
              <w:t>21.6m</w:t>
            </w:r>
            <w:r>
              <w:rPr>
                <w:rFonts w:hint="eastAsia"/>
                <w:sz w:val="21"/>
                <w:szCs w:val="21"/>
                <w:vertAlign w:val="superscript"/>
                <w:lang w:val="en-US" w:eastAsia="zh-CN"/>
              </w:rPr>
              <w:t>3</w:t>
            </w:r>
            <w:r>
              <w:rPr>
                <w:rFonts w:hint="eastAsia"/>
                <w:sz w:val="21"/>
                <w:szCs w:val="21"/>
                <w:vertAlign w:val="baseline"/>
                <w:lang w:val="en-US" w:eastAsia="zh-CN"/>
              </w:rPr>
              <w:t>/a</w:t>
            </w:r>
          </w:p>
        </w:tc>
        <w:tc>
          <w:tcPr>
            <w:tcW w:w="1851" w:type="pct"/>
            <w:vMerge w:val="continue"/>
            <w:tcBorders>
              <w:tl2br w:val="nil"/>
              <w:tr2bl w:val="nil"/>
            </w:tcBorders>
            <w:vAlign w:val="center"/>
          </w:tcPr>
          <w:p w14:paraId="4547D82E">
            <w:pPr>
              <w:spacing w:line="360" w:lineRule="exact"/>
              <w:ind w:firstLine="0" w:firstLineChars="0"/>
              <w:jc w:val="center"/>
              <w:rPr>
                <w:rFonts w:hint="eastAsia" w:cs="宋体"/>
                <w:sz w:val="21"/>
                <w:szCs w:val="21"/>
              </w:rPr>
            </w:pPr>
          </w:p>
        </w:tc>
        <w:tc>
          <w:tcPr>
            <w:tcW w:w="672" w:type="pct"/>
            <w:tcBorders>
              <w:tl2br w:val="nil"/>
              <w:tr2bl w:val="nil"/>
            </w:tcBorders>
            <w:vAlign w:val="center"/>
          </w:tcPr>
          <w:p w14:paraId="6E111617">
            <w:pPr>
              <w:spacing w:line="360" w:lineRule="exact"/>
              <w:ind w:firstLine="0" w:firstLineChars="0"/>
              <w:jc w:val="center"/>
              <w:rPr>
                <w:sz w:val="21"/>
                <w:szCs w:val="21"/>
              </w:rPr>
            </w:pPr>
            <w:r>
              <w:rPr>
                <w:rFonts w:hint="eastAsia"/>
                <w:sz w:val="21"/>
                <w:szCs w:val="21"/>
                <w:lang w:val="en-US" w:eastAsia="zh-CN"/>
              </w:rPr>
              <w:t>21.6m</w:t>
            </w:r>
            <w:r>
              <w:rPr>
                <w:rFonts w:hint="eastAsia"/>
                <w:sz w:val="21"/>
                <w:szCs w:val="21"/>
                <w:vertAlign w:val="superscript"/>
                <w:lang w:val="en-US" w:eastAsia="zh-CN"/>
              </w:rPr>
              <w:t>3</w:t>
            </w:r>
            <w:r>
              <w:rPr>
                <w:rFonts w:hint="eastAsia"/>
                <w:sz w:val="21"/>
                <w:szCs w:val="21"/>
                <w:vertAlign w:val="baseline"/>
                <w:lang w:val="en-US" w:eastAsia="zh-CN"/>
              </w:rPr>
              <w:t>/a</w:t>
            </w:r>
          </w:p>
        </w:tc>
      </w:tr>
      <w:tr w14:paraId="5C8D5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51" w:type="pct"/>
            <w:vMerge w:val="restart"/>
            <w:tcBorders>
              <w:tl2br w:val="nil"/>
              <w:tr2bl w:val="nil"/>
            </w:tcBorders>
            <w:vAlign w:val="center"/>
          </w:tcPr>
          <w:p w14:paraId="13F3D13B">
            <w:pPr>
              <w:spacing w:line="360" w:lineRule="exact"/>
              <w:ind w:firstLine="0" w:firstLineChars="0"/>
              <w:jc w:val="center"/>
              <w:rPr>
                <w:rFonts w:cs="宋体"/>
                <w:sz w:val="21"/>
                <w:szCs w:val="21"/>
              </w:rPr>
            </w:pPr>
            <w:r>
              <w:rPr>
                <w:rFonts w:cs="宋体"/>
                <w:sz w:val="21"/>
                <w:szCs w:val="21"/>
              </w:rPr>
              <w:t>固体废物</w:t>
            </w:r>
          </w:p>
        </w:tc>
        <w:tc>
          <w:tcPr>
            <w:tcW w:w="568" w:type="pct"/>
            <w:tcBorders>
              <w:tl2br w:val="nil"/>
              <w:tr2bl w:val="nil"/>
            </w:tcBorders>
            <w:vAlign w:val="center"/>
          </w:tcPr>
          <w:p w14:paraId="0BAE7165">
            <w:pPr>
              <w:spacing w:line="360" w:lineRule="exact"/>
              <w:ind w:firstLine="0" w:firstLineChars="0"/>
              <w:jc w:val="center"/>
              <w:rPr>
                <w:rFonts w:cs="宋体"/>
                <w:sz w:val="21"/>
                <w:szCs w:val="21"/>
              </w:rPr>
            </w:pPr>
            <w:r>
              <w:rPr>
                <w:rFonts w:cs="宋体"/>
                <w:sz w:val="21"/>
                <w:szCs w:val="21"/>
              </w:rPr>
              <w:t>圈舍</w:t>
            </w:r>
          </w:p>
        </w:tc>
        <w:tc>
          <w:tcPr>
            <w:tcW w:w="763" w:type="pct"/>
            <w:tcBorders>
              <w:tl2br w:val="nil"/>
              <w:tr2bl w:val="nil"/>
            </w:tcBorders>
            <w:vAlign w:val="center"/>
          </w:tcPr>
          <w:p w14:paraId="3E40E291">
            <w:pPr>
              <w:spacing w:line="360" w:lineRule="exact"/>
              <w:ind w:firstLine="0" w:firstLineChars="0"/>
              <w:jc w:val="center"/>
              <w:rPr>
                <w:rFonts w:cs="宋体"/>
                <w:sz w:val="21"/>
                <w:szCs w:val="21"/>
              </w:rPr>
            </w:pPr>
            <w:r>
              <w:rPr>
                <w:rFonts w:hint="eastAsia" w:cs="宋体"/>
                <w:sz w:val="21"/>
                <w:szCs w:val="21"/>
              </w:rPr>
              <w:t>骆驼粪便</w:t>
            </w:r>
          </w:p>
        </w:tc>
        <w:tc>
          <w:tcPr>
            <w:tcW w:w="892" w:type="pct"/>
            <w:tcBorders>
              <w:tl2br w:val="nil"/>
              <w:tr2bl w:val="nil"/>
            </w:tcBorders>
            <w:vAlign w:val="center"/>
          </w:tcPr>
          <w:p w14:paraId="5A40BB54">
            <w:pPr>
              <w:spacing w:line="360" w:lineRule="exact"/>
              <w:ind w:firstLine="0" w:firstLineChars="0"/>
              <w:jc w:val="center"/>
              <w:rPr>
                <w:sz w:val="21"/>
                <w:szCs w:val="21"/>
              </w:rPr>
            </w:pPr>
            <w:r>
              <w:rPr>
                <w:rFonts w:hint="eastAsia"/>
                <w:sz w:val="21"/>
                <w:szCs w:val="21"/>
              </w:rPr>
              <w:t>4.464</w:t>
            </w:r>
            <w:r>
              <w:rPr>
                <w:sz w:val="21"/>
                <w:szCs w:val="21"/>
              </w:rPr>
              <w:t>t/d</w:t>
            </w:r>
          </w:p>
        </w:tc>
        <w:tc>
          <w:tcPr>
            <w:tcW w:w="1851" w:type="pct"/>
            <w:tcBorders>
              <w:tl2br w:val="nil"/>
              <w:tr2bl w:val="nil"/>
            </w:tcBorders>
            <w:vAlign w:val="center"/>
          </w:tcPr>
          <w:p w14:paraId="005F5984">
            <w:pPr>
              <w:spacing w:line="360" w:lineRule="exact"/>
              <w:ind w:firstLine="0" w:firstLineChars="0"/>
              <w:jc w:val="center"/>
              <w:rPr>
                <w:rFonts w:cs="宋体"/>
                <w:sz w:val="21"/>
                <w:szCs w:val="21"/>
              </w:rPr>
            </w:pPr>
            <w:r>
              <w:rPr>
                <w:rFonts w:cs="宋体"/>
                <w:sz w:val="21"/>
                <w:szCs w:val="21"/>
              </w:rPr>
              <w:t>清理后外售作为有机肥使用</w:t>
            </w:r>
          </w:p>
        </w:tc>
        <w:tc>
          <w:tcPr>
            <w:tcW w:w="672" w:type="pct"/>
            <w:tcBorders>
              <w:tl2br w:val="nil"/>
              <w:tr2bl w:val="nil"/>
            </w:tcBorders>
            <w:vAlign w:val="center"/>
          </w:tcPr>
          <w:p w14:paraId="64F9C1D1">
            <w:pPr>
              <w:spacing w:line="360" w:lineRule="exact"/>
              <w:ind w:firstLine="0" w:firstLineChars="0"/>
              <w:jc w:val="center"/>
              <w:rPr>
                <w:sz w:val="21"/>
                <w:szCs w:val="21"/>
              </w:rPr>
            </w:pPr>
            <w:r>
              <w:rPr>
                <w:rFonts w:hint="eastAsia"/>
                <w:sz w:val="21"/>
                <w:szCs w:val="21"/>
              </w:rPr>
              <w:t>4.464</w:t>
            </w:r>
            <w:r>
              <w:rPr>
                <w:sz w:val="21"/>
                <w:szCs w:val="21"/>
              </w:rPr>
              <w:t>t/d</w:t>
            </w:r>
          </w:p>
        </w:tc>
      </w:tr>
      <w:tr w14:paraId="400EB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1" w:type="pct"/>
            <w:vMerge w:val="continue"/>
            <w:tcBorders>
              <w:tl2br w:val="nil"/>
              <w:tr2bl w:val="nil"/>
            </w:tcBorders>
            <w:textDirection w:val="tbRlV"/>
            <w:vAlign w:val="center"/>
          </w:tcPr>
          <w:p w14:paraId="3549CEF3">
            <w:pPr>
              <w:spacing w:line="360" w:lineRule="exact"/>
              <w:ind w:firstLine="0" w:firstLineChars="0"/>
              <w:jc w:val="center"/>
              <w:rPr>
                <w:sz w:val="21"/>
              </w:rPr>
            </w:pPr>
          </w:p>
        </w:tc>
        <w:tc>
          <w:tcPr>
            <w:tcW w:w="568" w:type="pct"/>
            <w:tcBorders>
              <w:tl2br w:val="nil"/>
              <w:tr2bl w:val="nil"/>
            </w:tcBorders>
            <w:vAlign w:val="center"/>
          </w:tcPr>
          <w:p w14:paraId="6B950D60">
            <w:pPr>
              <w:spacing w:line="360" w:lineRule="exact"/>
              <w:ind w:firstLine="0" w:firstLineChars="0"/>
              <w:jc w:val="center"/>
              <w:rPr>
                <w:rFonts w:cs="宋体"/>
                <w:sz w:val="21"/>
                <w:szCs w:val="21"/>
              </w:rPr>
            </w:pPr>
            <w:r>
              <w:rPr>
                <w:rFonts w:cs="宋体"/>
                <w:sz w:val="21"/>
                <w:szCs w:val="21"/>
              </w:rPr>
              <w:t>养殖区</w:t>
            </w:r>
          </w:p>
        </w:tc>
        <w:tc>
          <w:tcPr>
            <w:tcW w:w="763" w:type="pct"/>
            <w:tcBorders>
              <w:tl2br w:val="nil"/>
              <w:tr2bl w:val="nil"/>
            </w:tcBorders>
            <w:vAlign w:val="center"/>
          </w:tcPr>
          <w:p w14:paraId="502F188E">
            <w:pPr>
              <w:spacing w:line="360" w:lineRule="exact"/>
              <w:ind w:firstLine="0" w:firstLineChars="0"/>
              <w:jc w:val="center"/>
              <w:rPr>
                <w:rFonts w:cs="宋体"/>
                <w:sz w:val="21"/>
                <w:szCs w:val="21"/>
              </w:rPr>
            </w:pPr>
            <w:r>
              <w:rPr>
                <w:rFonts w:cs="宋体"/>
                <w:sz w:val="21"/>
                <w:szCs w:val="21"/>
              </w:rPr>
              <w:t>病死</w:t>
            </w:r>
            <w:r>
              <w:rPr>
                <w:rFonts w:hint="eastAsia" w:cs="宋体"/>
                <w:sz w:val="21"/>
                <w:szCs w:val="21"/>
              </w:rPr>
              <w:t>骆驼</w:t>
            </w:r>
          </w:p>
        </w:tc>
        <w:tc>
          <w:tcPr>
            <w:tcW w:w="892" w:type="pct"/>
            <w:tcBorders>
              <w:tl2br w:val="nil"/>
              <w:tr2bl w:val="nil"/>
            </w:tcBorders>
            <w:vAlign w:val="center"/>
          </w:tcPr>
          <w:p w14:paraId="39CDE304">
            <w:pPr>
              <w:spacing w:line="360" w:lineRule="exact"/>
              <w:ind w:firstLine="0" w:firstLineChars="0"/>
              <w:jc w:val="center"/>
              <w:rPr>
                <w:sz w:val="21"/>
                <w:szCs w:val="21"/>
              </w:rPr>
            </w:pPr>
            <w:r>
              <w:rPr>
                <w:rFonts w:hint="eastAsia"/>
                <w:sz w:val="21"/>
                <w:szCs w:val="21"/>
              </w:rPr>
              <w:t>2</w:t>
            </w:r>
            <w:r>
              <w:rPr>
                <w:sz w:val="21"/>
                <w:szCs w:val="21"/>
              </w:rPr>
              <w:t>t/a</w:t>
            </w:r>
          </w:p>
        </w:tc>
        <w:tc>
          <w:tcPr>
            <w:tcW w:w="1851" w:type="pct"/>
            <w:tcBorders>
              <w:tl2br w:val="nil"/>
              <w:tr2bl w:val="nil"/>
            </w:tcBorders>
            <w:vAlign w:val="center"/>
          </w:tcPr>
          <w:p w14:paraId="2A8AEBB8">
            <w:pPr>
              <w:spacing w:line="360" w:lineRule="exact"/>
              <w:ind w:firstLine="0" w:firstLineChars="0"/>
              <w:jc w:val="center"/>
              <w:rPr>
                <w:rFonts w:cs="宋体"/>
                <w:sz w:val="21"/>
                <w:szCs w:val="21"/>
              </w:rPr>
            </w:pPr>
            <w:r>
              <w:rPr>
                <w:rFonts w:hint="eastAsia" w:cs="宋体"/>
                <w:sz w:val="21"/>
                <w:szCs w:val="21"/>
              </w:rPr>
              <w:t>外委第三方处置</w:t>
            </w:r>
          </w:p>
        </w:tc>
        <w:tc>
          <w:tcPr>
            <w:tcW w:w="672" w:type="pct"/>
            <w:tcBorders>
              <w:tl2br w:val="nil"/>
              <w:tr2bl w:val="nil"/>
            </w:tcBorders>
            <w:vAlign w:val="center"/>
          </w:tcPr>
          <w:p w14:paraId="2E81AE76">
            <w:pPr>
              <w:spacing w:line="360" w:lineRule="exact"/>
              <w:ind w:firstLine="0" w:firstLineChars="0"/>
              <w:jc w:val="center"/>
              <w:rPr>
                <w:sz w:val="21"/>
                <w:szCs w:val="21"/>
              </w:rPr>
            </w:pPr>
            <w:r>
              <w:rPr>
                <w:rFonts w:hint="eastAsia"/>
                <w:sz w:val="21"/>
                <w:szCs w:val="21"/>
              </w:rPr>
              <w:t>2</w:t>
            </w:r>
            <w:r>
              <w:rPr>
                <w:sz w:val="21"/>
                <w:szCs w:val="21"/>
              </w:rPr>
              <w:t>t/a</w:t>
            </w:r>
          </w:p>
        </w:tc>
      </w:tr>
      <w:tr w14:paraId="14D87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251" w:type="pct"/>
            <w:vMerge w:val="continue"/>
            <w:tcBorders>
              <w:tl2br w:val="nil"/>
              <w:tr2bl w:val="nil"/>
            </w:tcBorders>
            <w:textDirection w:val="tbRlV"/>
            <w:vAlign w:val="center"/>
          </w:tcPr>
          <w:p w14:paraId="10695AEC">
            <w:pPr>
              <w:spacing w:line="360" w:lineRule="exact"/>
              <w:ind w:firstLine="0" w:firstLineChars="0"/>
              <w:jc w:val="center"/>
              <w:rPr>
                <w:rFonts w:cs="宋体"/>
                <w:sz w:val="21"/>
                <w:szCs w:val="21"/>
              </w:rPr>
            </w:pPr>
          </w:p>
        </w:tc>
        <w:tc>
          <w:tcPr>
            <w:tcW w:w="568" w:type="pct"/>
            <w:tcBorders>
              <w:tl2br w:val="nil"/>
              <w:tr2bl w:val="nil"/>
            </w:tcBorders>
            <w:vAlign w:val="center"/>
          </w:tcPr>
          <w:p w14:paraId="34D1BEF1">
            <w:pPr>
              <w:spacing w:line="360" w:lineRule="exact"/>
              <w:ind w:firstLine="0" w:firstLineChars="0"/>
              <w:jc w:val="center"/>
              <w:rPr>
                <w:rFonts w:cs="宋体"/>
                <w:sz w:val="21"/>
                <w:szCs w:val="21"/>
              </w:rPr>
            </w:pPr>
            <w:r>
              <w:rPr>
                <w:rFonts w:cs="宋体"/>
                <w:sz w:val="21"/>
                <w:szCs w:val="21"/>
              </w:rPr>
              <w:t>兽医站</w:t>
            </w:r>
          </w:p>
        </w:tc>
        <w:tc>
          <w:tcPr>
            <w:tcW w:w="763" w:type="pct"/>
            <w:tcBorders>
              <w:tl2br w:val="nil"/>
              <w:tr2bl w:val="nil"/>
            </w:tcBorders>
            <w:vAlign w:val="center"/>
          </w:tcPr>
          <w:p w14:paraId="6D96E7A8">
            <w:pPr>
              <w:spacing w:line="360" w:lineRule="exact"/>
              <w:ind w:firstLine="0" w:firstLineChars="0"/>
              <w:jc w:val="center"/>
              <w:rPr>
                <w:rFonts w:cs="宋体"/>
                <w:sz w:val="21"/>
                <w:szCs w:val="21"/>
              </w:rPr>
            </w:pPr>
            <w:r>
              <w:rPr>
                <w:rFonts w:cs="宋体"/>
                <w:sz w:val="21"/>
                <w:szCs w:val="21"/>
              </w:rPr>
              <w:t>医疗垃圾</w:t>
            </w:r>
          </w:p>
        </w:tc>
        <w:tc>
          <w:tcPr>
            <w:tcW w:w="892" w:type="pct"/>
            <w:tcBorders>
              <w:tl2br w:val="nil"/>
              <w:tr2bl w:val="nil"/>
            </w:tcBorders>
            <w:vAlign w:val="center"/>
          </w:tcPr>
          <w:p w14:paraId="51421C81">
            <w:pPr>
              <w:spacing w:line="360" w:lineRule="exact"/>
              <w:ind w:firstLine="0" w:firstLineChars="0"/>
              <w:jc w:val="center"/>
              <w:rPr>
                <w:sz w:val="21"/>
                <w:szCs w:val="21"/>
              </w:rPr>
            </w:pPr>
            <w:r>
              <w:rPr>
                <w:sz w:val="21"/>
                <w:szCs w:val="21"/>
              </w:rPr>
              <w:t>0.03t/a</w:t>
            </w:r>
          </w:p>
        </w:tc>
        <w:tc>
          <w:tcPr>
            <w:tcW w:w="1851" w:type="pct"/>
            <w:tcBorders>
              <w:tl2br w:val="nil"/>
              <w:tr2bl w:val="nil"/>
            </w:tcBorders>
            <w:vAlign w:val="center"/>
          </w:tcPr>
          <w:p w14:paraId="704C6018">
            <w:pPr>
              <w:spacing w:line="360" w:lineRule="exact"/>
              <w:ind w:firstLine="0" w:firstLineChars="0"/>
              <w:jc w:val="center"/>
              <w:rPr>
                <w:rFonts w:cs="宋体"/>
                <w:sz w:val="21"/>
                <w:szCs w:val="21"/>
              </w:rPr>
            </w:pPr>
            <w:r>
              <w:rPr>
                <w:rFonts w:hint="eastAsia" w:cs="宋体"/>
                <w:sz w:val="21"/>
                <w:szCs w:val="21"/>
              </w:rPr>
              <w:t>由兽医站带走，不在场区暂存</w:t>
            </w:r>
          </w:p>
        </w:tc>
        <w:tc>
          <w:tcPr>
            <w:tcW w:w="672" w:type="pct"/>
            <w:tcBorders>
              <w:tl2br w:val="nil"/>
              <w:tr2bl w:val="nil"/>
            </w:tcBorders>
            <w:vAlign w:val="center"/>
          </w:tcPr>
          <w:p w14:paraId="3D0F73C0">
            <w:pPr>
              <w:spacing w:line="360" w:lineRule="exact"/>
              <w:ind w:firstLine="0" w:firstLineChars="0"/>
              <w:jc w:val="center"/>
              <w:rPr>
                <w:sz w:val="21"/>
                <w:szCs w:val="21"/>
              </w:rPr>
            </w:pPr>
            <w:r>
              <w:rPr>
                <w:sz w:val="21"/>
                <w:szCs w:val="21"/>
              </w:rPr>
              <w:t>0.03t/a</w:t>
            </w:r>
          </w:p>
        </w:tc>
      </w:tr>
      <w:tr w14:paraId="05EE5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1" w:type="pct"/>
            <w:vMerge w:val="continue"/>
            <w:tcBorders>
              <w:tl2br w:val="nil"/>
              <w:tr2bl w:val="nil"/>
            </w:tcBorders>
            <w:textDirection w:val="tbRlV"/>
            <w:vAlign w:val="center"/>
          </w:tcPr>
          <w:p w14:paraId="4E5FEF75">
            <w:pPr>
              <w:spacing w:line="360" w:lineRule="exact"/>
              <w:ind w:firstLine="0" w:firstLineChars="0"/>
              <w:jc w:val="center"/>
              <w:rPr>
                <w:sz w:val="21"/>
              </w:rPr>
            </w:pPr>
          </w:p>
        </w:tc>
        <w:tc>
          <w:tcPr>
            <w:tcW w:w="568" w:type="pct"/>
            <w:tcBorders>
              <w:tl2br w:val="nil"/>
              <w:tr2bl w:val="nil"/>
            </w:tcBorders>
            <w:vAlign w:val="center"/>
          </w:tcPr>
          <w:p w14:paraId="51722E00">
            <w:pPr>
              <w:spacing w:line="360" w:lineRule="exact"/>
              <w:ind w:firstLine="0" w:firstLineChars="0"/>
              <w:jc w:val="center"/>
              <w:rPr>
                <w:rFonts w:cs="宋体"/>
                <w:sz w:val="21"/>
                <w:szCs w:val="21"/>
              </w:rPr>
            </w:pPr>
            <w:r>
              <w:rPr>
                <w:rFonts w:hint="eastAsia" w:cs="宋体"/>
                <w:sz w:val="21"/>
                <w:szCs w:val="21"/>
              </w:rPr>
              <w:t>骆驼圈舍</w:t>
            </w:r>
          </w:p>
        </w:tc>
        <w:tc>
          <w:tcPr>
            <w:tcW w:w="763" w:type="pct"/>
            <w:tcBorders>
              <w:tl2br w:val="nil"/>
              <w:tr2bl w:val="nil"/>
            </w:tcBorders>
            <w:vAlign w:val="center"/>
          </w:tcPr>
          <w:p w14:paraId="245B8F51">
            <w:pPr>
              <w:spacing w:line="360" w:lineRule="exact"/>
              <w:ind w:firstLine="0" w:firstLineChars="0"/>
              <w:jc w:val="center"/>
              <w:rPr>
                <w:rFonts w:cs="宋体"/>
                <w:sz w:val="21"/>
                <w:szCs w:val="21"/>
              </w:rPr>
            </w:pPr>
            <w:r>
              <w:rPr>
                <w:rFonts w:cs="宋体"/>
                <w:sz w:val="21"/>
                <w:szCs w:val="21"/>
              </w:rPr>
              <w:t>废包装材料</w:t>
            </w:r>
          </w:p>
        </w:tc>
        <w:tc>
          <w:tcPr>
            <w:tcW w:w="892" w:type="pct"/>
            <w:tcBorders>
              <w:tl2br w:val="nil"/>
              <w:tr2bl w:val="nil"/>
            </w:tcBorders>
            <w:vAlign w:val="center"/>
          </w:tcPr>
          <w:p w14:paraId="6795DDAE">
            <w:pPr>
              <w:spacing w:line="360" w:lineRule="exact"/>
              <w:ind w:firstLine="0" w:firstLineChars="0"/>
              <w:jc w:val="center"/>
              <w:rPr>
                <w:sz w:val="21"/>
                <w:szCs w:val="21"/>
              </w:rPr>
            </w:pPr>
            <w:r>
              <w:rPr>
                <w:sz w:val="21"/>
                <w:szCs w:val="21"/>
              </w:rPr>
              <w:t>1.2t/a</w:t>
            </w:r>
          </w:p>
        </w:tc>
        <w:tc>
          <w:tcPr>
            <w:tcW w:w="1851" w:type="pct"/>
            <w:tcBorders>
              <w:tl2br w:val="nil"/>
              <w:tr2bl w:val="nil"/>
            </w:tcBorders>
            <w:vAlign w:val="center"/>
          </w:tcPr>
          <w:p w14:paraId="7B665272">
            <w:pPr>
              <w:spacing w:line="360" w:lineRule="exact"/>
              <w:ind w:firstLine="0" w:firstLineChars="0"/>
              <w:jc w:val="center"/>
              <w:rPr>
                <w:rFonts w:cs="宋体"/>
                <w:sz w:val="21"/>
                <w:szCs w:val="21"/>
              </w:rPr>
            </w:pPr>
            <w:r>
              <w:rPr>
                <w:rFonts w:cs="宋体"/>
                <w:sz w:val="21"/>
                <w:szCs w:val="21"/>
              </w:rPr>
              <w:t>交由废物回收单位处置</w:t>
            </w:r>
          </w:p>
        </w:tc>
        <w:tc>
          <w:tcPr>
            <w:tcW w:w="672" w:type="pct"/>
            <w:tcBorders>
              <w:tl2br w:val="nil"/>
              <w:tr2bl w:val="nil"/>
            </w:tcBorders>
            <w:vAlign w:val="center"/>
          </w:tcPr>
          <w:p w14:paraId="1F75D162">
            <w:pPr>
              <w:spacing w:line="360" w:lineRule="exact"/>
              <w:ind w:firstLine="0" w:firstLineChars="0"/>
              <w:jc w:val="center"/>
              <w:rPr>
                <w:sz w:val="21"/>
                <w:szCs w:val="21"/>
              </w:rPr>
            </w:pPr>
            <w:r>
              <w:rPr>
                <w:sz w:val="21"/>
                <w:szCs w:val="21"/>
              </w:rPr>
              <w:t>1.2t/a</w:t>
            </w:r>
          </w:p>
        </w:tc>
      </w:tr>
      <w:tr w14:paraId="41E4D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251" w:type="pct"/>
            <w:vMerge w:val="continue"/>
            <w:tcBorders>
              <w:tl2br w:val="nil"/>
              <w:tr2bl w:val="nil"/>
            </w:tcBorders>
            <w:textDirection w:val="tbRlV"/>
            <w:vAlign w:val="center"/>
          </w:tcPr>
          <w:p w14:paraId="241B0E93">
            <w:pPr>
              <w:spacing w:line="360" w:lineRule="exact"/>
              <w:ind w:firstLine="0" w:firstLineChars="0"/>
              <w:jc w:val="center"/>
              <w:rPr>
                <w:sz w:val="21"/>
              </w:rPr>
            </w:pPr>
          </w:p>
        </w:tc>
        <w:tc>
          <w:tcPr>
            <w:tcW w:w="568" w:type="pct"/>
            <w:tcBorders>
              <w:tl2br w:val="nil"/>
              <w:tr2bl w:val="nil"/>
            </w:tcBorders>
            <w:vAlign w:val="center"/>
          </w:tcPr>
          <w:p w14:paraId="3D0AED0D">
            <w:pPr>
              <w:spacing w:line="360" w:lineRule="exact"/>
              <w:ind w:firstLine="0" w:firstLineChars="0"/>
              <w:jc w:val="center"/>
              <w:rPr>
                <w:rFonts w:cs="宋体"/>
                <w:sz w:val="21"/>
                <w:szCs w:val="21"/>
              </w:rPr>
            </w:pPr>
            <w:r>
              <w:rPr>
                <w:rFonts w:cs="宋体"/>
                <w:sz w:val="21"/>
                <w:szCs w:val="21"/>
              </w:rPr>
              <w:t>生活办公区</w:t>
            </w:r>
          </w:p>
        </w:tc>
        <w:tc>
          <w:tcPr>
            <w:tcW w:w="763" w:type="pct"/>
            <w:tcBorders>
              <w:tl2br w:val="nil"/>
              <w:tr2bl w:val="nil"/>
            </w:tcBorders>
            <w:vAlign w:val="center"/>
          </w:tcPr>
          <w:p w14:paraId="6734E8C8">
            <w:pPr>
              <w:spacing w:line="360" w:lineRule="exact"/>
              <w:ind w:firstLine="0" w:firstLineChars="0"/>
              <w:jc w:val="center"/>
              <w:rPr>
                <w:rFonts w:cs="宋体"/>
                <w:sz w:val="21"/>
                <w:szCs w:val="21"/>
              </w:rPr>
            </w:pPr>
            <w:r>
              <w:rPr>
                <w:rFonts w:cs="宋体"/>
                <w:sz w:val="21"/>
                <w:szCs w:val="21"/>
              </w:rPr>
              <w:t>生活垃圾</w:t>
            </w:r>
          </w:p>
        </w:tc>
        <w:tc>
          <w:tcPr>
            <w:tcW w:w="892" w:type="pct"/>
            <w:tcBorders>
              <w:tl2br w:val="nil"/>
              <w:tr2bl w:val="nil"/>
            </w:tcBorders>
            <w:vAlign w:val="center"/>
          </w:tcPr>
          <w:p w14:paraId="73D3316C">
            <w:pPr>
              <w:spacing w:line="360" w:lineRule="exact"/>
              <w:ind w:firstLine="0" w:firstLineChars="0"/>
              <w:jc w:val="center"/>
              <w:rPr>
                <w:sz w:val="21"/>
                <w:szCs w:val="21"/>
              </w:rPr>
            </w:pPr>
            <w:r>
              <w:rPr>
                <w:sz w:val="21"/>
                <w:szCs w:val="21"/>
              </w:rPr>
              <w:t>3.65t/a</w:t>
            </w:r>
          </w:p>
        </w:tc>
        <w:tc>
          <w:tcPr>
            <w:tcW w:w="1851" w:type="pct"/>
            <w:tcBorders>
              <w:tl2br w:val="nil"/>
              <w:tr2bl w:val="nil"/>
            </w:tcBorders>
            <w:vAlign w:val="center"/>
          </w:tcPr>
          <w:p w14:paraId="081BE43D">
            <w:pPr>
              <w:spacing w:line="360" w:lineRule="exact"/>
              <w:ind w:firstLine="0" w:firstLineChars="0"/>
              <w:jc w:val="center"/>
              <w:rPr>
                <w:rFonts w:cs="宋体"/>
                <w:sz w:val="21"/>
                <w:szCs w:val="21"/>
              </w:rPr>
            </w:pPr>
            <w:r>
              <w:rPr>
                <w:rFonts w:cs="宋体"/>
                <w:sz w:val="21"/>
                <w:szCs w:val="21"/>
              </w:rPr>
              <w:t>由环卫部门运至垃圾填埋场</w:t>
            </w:r>
          </w:p>
        </w:tc>
        <w:tc>
          <w:tcPr>
            <w:tcW w:w="672" w:type="pct"/>
            <w:tcBorders>
              <w:tl2br w:val="nil"/>
              <w:tr2bl w:val="nil"/>
            </w:tcBorders>
            <w:vAlign w:val="center"/>
          </w:tcPr>
          <w:p w14:paraId="310FB022">
            <w:pPr>
              <w:spacing w:line="360" w:lineRule="exact"/>
              <w:ind w:firstLine="0" w:firstLineChars="0"/>
              <w:jc w:val="center"/>
              <w:rPr>
                <w:sz w:val="21"/>
                <w:szCs w:val="21"/>
              </w:rPr>
            </w:pPr>
            <w:r>
              <w:rPr>
                <w:sz w:val="21"/>
                <w:szCs w:val="21"/>
              </w:rPr>
              <w:t>3.65t/a</w:t>
            </w:r>
          </w:p>
        </w:tc>
      </w:tr>
      <w:tr w14:paraId="1DCD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9" w:hRule="atLeast"/>
          <w:jc w:val="center"/>
        </w:trPr>
        <w:tc>
          <w:tcPr>
            <w:tcW w:w="251" w:type="pct"/>
            <w:tcBorders>
              <w:tl2br w:val="nil"/>
              <w:tr2bl w:val="nil"/>
            </w:tcBorders>
            <w:textDirection w:val="tbRlV"/>
            <w:vAlign w:val="center"/>
          </w:tcPr>
          <w:p w14:paraId="02F7784C">
            <w:pPr>
              <w:spacing w:line="360" w:lineRule="exact"/>
              <w:ind w:firstLine="0" w:firstLineChars="0"/>
              <w:jc w:val="center"/>
              <w:rPr>
                <w:rFonts w:cs="宋体"/>
                <w:sz w:val="21"/>
                <w:szCs w:val="21"/>
              </w:rPr>
            </w:pPr>
            <w:r>
              <w:rPr>
                <w:rFonts w:cs="宋体"/>
                <w:sz w:val="21"/>
                <w:szCs w:val="21"/>
              </w:rPr>
              <w:t>噪声</w:t>
            </w:r>
          </w:p>
        </w:tc>
        <w:tc>
          <w:tcPr>
            <w:tcW w:w="1331" w:type="pct"/>
            <w:gridSpan w:val="2"/>
            <w:tcBorders>
              <w:tl2br w:val="nil"/>
              <w:tr2bl w:val="nil"/>
            </w:tcBorders>
            <w:vAlign w:val="center"/>
          </w:tcPr>
          <w:p w14:paraId="6ACEB9F3">
            <w:pPr>
              <w:spacing w:line="360" w:lineRule="exact"/>
              <w:ind w:firstLine="0" w:firstLineChars="0"/>
              <w:jc w:val="center"/>
              <w:rPr>
                <w:sz w:val="21"/>
                <w:szCs w:val="21"/>
              </w:rPr>
            </w:pPr>
            <w:r>
              <w:rPr>
                <w:rFonts w:cs="宋体"/>
                <w:sz w:val="21"/>
                <w:szCs w:val="21"/>
              </w:rPr>
              <w:t>工艺设备运行噪声，声级在</w:t>
            </w:r>
            <w:r>
              <w:rPr>
                <w:sz w:val="21"/>
                <w:szCs w:val="21"/>
              </w:rPr>
              <w:t>75~95dB</w:t>
            </w:r>
          </w:p>
          <w:p w14:paraId="17C07DEB">
            <w:pPr>
              <w:spacing w:line="360" w:lineRule="exact"/>
              <w:ind w:firstLine="0" w:firstLineChars="0"/>
              <w:jc w:val="center"/>
              <w:rPr>
                <w:rFonts w:cs="宋体"/>
                <w:sz w:val="21"/>
                <w:szCs w:val="21"/>
              </w:rPr>
            </w:pPr>
            <w:r>
              <w:rPr>
                <w:rFonts w:hint="eastAsia" w:cs="宋体"/>
                <w:sz w:val="21"/>
                <w:szCs w:val="21"/>
              </w:rPr>
              <w:t>（</w:t>
            </w:r>
            <w:r>
              <w:rPr>
                <w:sz w:val="21"/>
                <w:szCs w:val="21"/>
              </w:rPr>
              <w:t>A</w:t>
            </w:r>
            <w:r>
              <w:rPr>
                <w:rFonts w:hint="eastAsia" w:cs="宋体"/>
                <w:sz w:val="21"/>
                <w:szCs w:val="21"/>
              </w:rPr>
              <w:t>）</w:t>
            </w:r>
            <w:r>
              <w:rPr>
                <w:rFonts w:cs="宋体"/>
                <w:sz w:val="21"/>
                <w:szCs w:val="21"/>
              </w:rPr>
              <w:t>之间</w:t>
            </w:r>
          </w:p>
        </w:tc>
        <w:tc>
          <w:tcPr>
            <w:tcW w:w="3416" w:type="pct"/>
            <w:gridSpan w:val="3"/>
            <w:tcBorders>
              <w:tl2br w:val="nil"/>
              <w:tr2bl w:val="nil"/>
            </w:tcBorders>
            <w:vAlign w:val="center"/>
          </w:tcPr>
          <w:p w14:paraId="4EAB544C">
            <w:pPr>
              <w:spacing w:line="360" w:lineRule="exact"/>
              <w:ind w:firstLine="0" w:firstLineChars="0"/>
              <w:jc w:val="center"/>
              <w:rPr>
                <w:rFonts w:cs="宋体"/>
                <w:sz w:val="21"/>
                <w:szCs w:val="21"/>
              </w:rPr>
            </w:pPr>
            <w:r>
              <w:rPr>
                <w:rFonts w:cs="宋体"/>
                <w:sz w:val="21"/>
                <w:szCs w:val="21"/>
              </w:rPr>
              <w:t>设备选用低噪声设备，在安装时采取降噪减震措施，全部安装于室内，使用时定期检修，做好设备保养，落实工作间防噪声劳动保护和管理，完善厂区绿化建设</w:t>
            </w:r>
          </w:p>
        </w:tc>
      </w:tr>
    </w:tbl>
    <w:p w14:paraId="698CACF8">
      <w:pPr>
        <w:ind w:firstLine="480"/>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14:paraId="14AC480F">
      <w:pPr>
        <w:pStyle w:val="3"/>
      </w:pPr>
      <w:bookmarkStart w:id="301" w:name="_Toc89619361"/>
      <w:r>
        <w:rPr>
          <w:rFonts w:hint="eastAsia"/>
        </w:rPr>
        <w:t>9、结论与建议</w:t>
      </w:r>
      <w:bookmarkEnd w:id="301"/>
    </w:p>
    <w:p w14:paraId="30551E39">
      <w:pPr>
        <w:pStyle w:val="4"/>
      </w:pPr>
      <w:bookmarkStart w:id="302" w:name="_Toc89619362"/>
      <w:r>
        <w:rPr>
          <w:rFonts w:hint="eastAsia"/>
        </w:rPr>
        <w:t>9.1建设项目概况</w:t>
      </w:r>
      <w:bookmarkEnd w:id="302"/>
    </w:p>
    <w:p w14:paraId="4C754214">
      <w:pPr>
        <w:ind w:firstLine="480"/>
      </w:pPr>
      <w:r>
        <w:rPr>
          <w:rFonts w:hint="eastAsia"/>
        </w:rPr>
        <w:t>（1）项目名称：木垒县雀仁乡正格勒得村2024年养殖小区建设项目</w:t>
      </w:r>
    </w:p>
    <w:p w14:paraId="4974DD25">
      <w:pPr>
        <w:ind w:firstLine="480"/>
      </w:pPr>
      <w:r>
        <w:rPr>
          <w:rFonts w:hint="eastAsia"/>
        </w:rPr>
        <w:t>（2）建设单位：木垒县雀仁乡人民政府</w:t>
      </w:r>
    </w:p>
    <w:p w14:paraId="2354B327">
      <w:pPr>
        <w:ind w:firstLine="480"/>
      </w:pPr>
      <w:r>
        <w:rPr>
          <w:rFonts w:hint="eastAsia"/>
        </w:rPr>
        <w:t>（3）项目性质：新建</w:t>
      </w:r>
    </w:p>
    <w:p w14:paraId="0369A96D">
      <w:pPr>
        <w:ind w:firstLine="480"/>
      </w:pPr>
      <w:r>
        <w:rPr>
          <w:rFonts w:hint="eastAsia"/>
        </w:rPr>
        <w:t>（4）建设地点：本项目位于昌吉木垒县雀仁乡正格勒得村，厂界四周均为农田（种植经济作物）。中心地理坐标：90°6′55.79986″</w:t>
      </w:r>
      <w:r>
        <w:t>E，</w:t>
      </w:r>
      <w:r>
        <w:rPr>
          <w:rFonts w:hint="eastAsia"/>
        </w:rPr>
        <w:t>44°9′50.11149″</w:t>
      </w:r>
      <w:r>
        <w:t>N</w:t>
      </w:r>
      <w:r>
        <w:rPr>
          <w:rFonts w:hint="eastAsia"/>
        </w:rPr>
        <w:t>。</w:t>
      </w:r>
    </w:p>
    <w:p w14:paraId="07956E4D">
      <w:pPr>
        <w:ind w:firstLine="480"/>
      </w:pPr>
      <w:r>
        <w:rPr>
          <w:rFonts w:hint="eastAsia"/>
        </w:rPr>
        <w:t>（5）项目投资：项目总投资450万元。</w:t>
      </w:r>
    </w:p>
    <w:p w14:paraId="0AB54031">
      <w:pPr>
        <w:ind w:firstLine="480"/>
      </w:pPr>
      <w:r>
        <w:rPr>
          <w:rFonts w:hint="eastAsia"/>
        </w:rPr>
        <w:t>（6）占地面积：本项目总占地面积为24757.78m</w:t>
      </w:r>
      <w:r>
        <w:rPr>
          <w:rFonts w:hint="eastAsia"/>
          <w:vertAlign w:val="superscript"/>
        </w:rPr>
        <w:t>2</w:t>
      </w:r>
      <w:r>
        <w:rPr>
          <w:rFonts w:hint="eastAsia"/>
        </w:rPr>
        <w:t>。</w:t>
      </w:r>
    </w:p>
    <w:p w14:paraId="666C3E76">
      <w:pPr>
        <w:ind w:firstLine="480"/>
      </w:pPr>
      <w:r>
        <w:rPr>
          <w:rFonts w:hint="eastAsia"/>
        </w:rPr>
        <w:t>（7）生产规模：饲养规模达到400头。</w:t>
      </w:r>
    </w:p>
    <w:p w14:paraId="61A52A94">
      <w:pPr>
        <w:ind w:firstLine="480"/>
      </w:pPr>
      <w:r>
        <w:rPr>
          <w:rFonts w:hint="eastAsia"/>
        </w:rPr>
        <w:t>（8）劳动定员：本项目建成投产后，劳动定员为20人，年生产365天。</w:t>
      </w:r>
    </w:p>
    <w:p w14:paraId="185F5752">
      <w:pPr>
        <w:ind w:firstLine="480"/>
      </w:pPr>
      <w:r>
        <w:rPr>
          <w:rFonts w:hint="eastAsia"/>
        </w:rPr>
        <w:t>（9）项目实施规划：计划2025年9月建成投产。</w:t>
      </w:r>
    </w:p>
    <w:p w14:paraId="1CA59951">
      <w:pPr>
        <w:pStyle w:val="4"/>
      </w:pPr>
      <w:bookmarkStart w:id="303" w:name="_Toc89619363"/>
      <w:r>
        <w:rPr>
          <w:rFonts w:hint="eastAsia"/>
        </w:rPr>
        <w:t>9.2产业政策及相关规划符合性结论</w:t>
      </w:r>
      <w:bookmarkEnd w:id="303"/>
    </w:p>
    <w:p w14:paraId="17F77891">
      <w:pPr>
        <w:ind w:firstLine="480"/>
      </w:pPr>
      <w:r>
        <w:rPr>
          <w:rFonts w:hint="eastAsia"/>
        </w:rPr>
        <w:t>本项目为标准化规模骆驼养殖项目，属于《产业结构调整指导目录（2024年本）》中”第一类鼓励类”中“一、农林业”中的“4、畜禽标准化规模养殖技术开发与应用”，符合国家产业政策。</w:t>
      </w:r>
    </w:p>
    <w:p w14:paraId="0BD918BD">
      <w:pPr>
        <w:ind w:firstLine="480"/>
      </w:pPr>
      <w:r>
        <w:rPr>
          <w:rFonts w:hint="eastAsia"/>
        </w:rPr>
        <w:t>项目的建设符合《新疆维吾尔自治区国民经济和社会发展第十四个五年规划和2035年远景目标纲要》、《新疆维吾尔自治区畜牧业”十四五”发展规划》等相关要求，选址符合《畜禽规模养殖污染防治条例》（国务院令第643号）、《畜禽养殖业污染防治技术规范》（HJ/T81-2001）、《畜禽养殖业污染防治技术政策》（环发[2010]151号）等相关要求。项目的建设地点不涉及国家法规、标准规范限定的禁建区，不在木垒县划定的禁养区内。因此，本项目建设可行。</w:t>
      </w:r>
    </w:p>
    <w:p w14:paraId="2296B7C5">
      <w:pPr>
        <w:ind w:firstLine="480"/>
      </w:pPr>
    </w:p>
    <w:p w14:paraId="0B14C162">
      <w:pPr>
        <w:pStyle w:val="4"/>
      </w:pPr>
      <w:bookmarkStart w:id="304" w:name="_Toc89619364"/>
      <w:r>
        <w:rPr>
          <w:rFonts w:hint="eastAsia"/>
        </w:rPr>
        <w:t>9.3环境质量现状评价结论</w:t>
      </w:r>
      <w:bookmarkEnd w:id="304"/>
    </w:p>
    <w:p w14:paraId="364B84A6">
      <w:pPr>
        <w:pStyle w:val="5"/>
      </w:pPr>
      <w:bookmarkStart w:id="305" w:name="_Toc106663562"/>
      <w:r>
        <w:rPr>
          <w:rFonts w:hint="eastAsia"/>
        </w:rPr>
        <w:t>9.3.1大气环境质量现状评价结论</w:t>
      </w:r>
      <w:bookmarkEnd w:id="305"/>
    </w:p>
    <w:p w14:paraId="0A2CA90D">
      <w:pPr>
        <w:ind w:firstLine="480"/>
      </w:pPr>
      <w:r>
        <w:t>根据项目所在区域环境空气统计数据，环境空气</w:t>
      </w:r>
      <w:r>
        <w:rPr>
          <w:rFonts w:hint="eastAsia"/>
        </w:rPr>
        <w:t>基本污染物</w:t>
      </w:r>
      <w:r>
        <w:t>指标中SO</w:t>
      </w:r>
      <w:r>
        <w:rPr>
          <w:vertAlign w:val="subscript"/>
        </w:rPr>
        <w:t>2</w:t>
      </w:r>
      <w:r>
        <w:t>、NO</w:t>
      </w:r>
      <w:r>
        <w:rPr>
          <w:vertAlign w:val="subscript"/>
        </w:rPr>
        <w:t>2</w:t>
      </w:r>
      <w:r>
        <w:t>、CO和O</w:t>
      </w:r>
      <w:r>
        <w:rPr>
          <w:vertAlign w:val="subscript"/>
        </w:rPr>
        <w:t>3</w:t>
      </w:r>
      <w:r>
        <w:t>达到国家二级标准，PM</w:t>
      </w:r>
      <w:r>
        <w:rPr>
          <w:vertAlign w:val="subscript"/>
        </w:rPr>
        <w:t>10</w:t>
      </w:r>
      <w:r>
        <w:rPr>
          <w:rFonts w:hint="eastAsia"/>
        </w:rPr>
        <w:t>、</w:t>
      </w:r>
      <w:r>
        <w:t>PM</w:t>
      </w:r>
      <w:r>
        <w:rPr>
          <w:vertAlign w:val="subscript"/>
        </w:rPr>
        <w:t>2.5</w:t>
      </w:r>
      <w:r>
        <w:rPr>
          <w:rFonts w:hint="eastAsia"/>
        </w:rPr>
        <w:t>不符合</w:t>
      </w:r>
      <w:r>
        <w:t>国家二级标准，本项目所在区域为</w:t>
      </w:r>
      <w:r>
        <w:rPr>
          <w:rFonts w:hint="eastAsia"/>
        </w:rPr>
        <w:t>不</w:t>
      </w:r>
      <w:r>
        <w:t>达标区</w:t>
      </w:r>
      <w:r>
        <w:rPr>
          <w:rFonts w:hint="eastAsia"/>
        </w:rPr>
        <w:t>。</w:t>
      </w:r>
    </w:p>
    <w:p w14:paraId="6E5E1BE8">
      <w:pPr>
        <w:ind w:firstLine="480"/>
      </w:pPr>
      <w:r>
        <w:t>其他污染物各监测点环境空气中氨、硫化氢</w:t>
      </w:r>
      <w:r>
        <w:rPr>
          <w:rFonts w:hint="eastAsia"/>
        </w:rPr>
        <w:t>和TSP</w:t>
      </w:r>
      <w:r>
        <w:t>小时值</w:t>
      </w:r>
      <w:r>
        <w:rPr>
          <w:rFonts w:hint="eastAsia"/>
        </w:rPr>
        <w:t>日均值</w:t>
      </w:r>
      <w:r>
        <w:t>满足</w:t>
      </w:r>
      <w:r>
        <w:rPr>
          <w:rFonts w:hint="eastAsia"/>
        </w:rPr>
        <w:t>《畜禽养殖产地环境评价规范》（HJ568-2010）</w:t>
      </w:r>
      <w:r>
        <w:t>中相应的标准限值要求</w:t>
      </w:r>
      <w:r>
        <w:rPr>
          <w:rFonts w:hint="eastAsia"/>
        </w:rPr>
        <w:t>。</w:t>
      </w:r>
    </w:p>
    <w:p w14:paraId="2B61785C">
      <w:pPr>
        <w:pStyle w:val="5"/>
      </w:pPr>
      <w:bookmarkStart w:id="306" w:name="_Toc106663563"/>
      <w:r>
        <w:rPr>
          <w:rFonts w:hint="eastAsia"/>
        </w:rPr>
        <w:t>9.3.2地下水环境质量现状评价结论</w:t>
      </w:r>
      <w:bookmarkEnd w:id="306"/>
    </w:p>
    <w:p w14:paraId="55533C9C">
      <w:pPr>
        <w:ind w:firstLine="480"/>
      </w:pPr>
      <w:r>
        <w:rPr>
          <w:rFonts w:hint="eastAsia"/>
        </w:rPr>
        <w:t>由监测结果可知，地下水监测点中水质指标均符合《地下水质量标准》（GB/T14848-2017）Ⅲ类标准，项目所在区域周边地下水质量现状一般。</w:t>
      </w:r>
    </w:p>
    <w:p w14:paraId="754908AE">
      <w:pPr>
        <w:pStyle w:val="5"/>
      </w:pPr>
      <w:bookmarkStart w:id="307" w:name="_Toc106663564"/>
      <w:r>
        <w:rPr>
          <w:rFonts w:hint="eastAsia"/>
        </w:rPr>
        <w:t>9.3.3声环境质量现状评价结论</w:t>
      </w:r>
      <w:bookmarkEnd w:id="307"/>
    </w:p>
    <w:p w14:paraId="0DDEFD84">
      <w:pPr>
        <w:ind w:firstLine="480"/>
      </w:pPr>
      <w:r>
        <w:rPr>
          <w:rFonts w:hint="eastAsia"/>
        </w:rPr>
        <w:t>项目建设地点声环境质量良好，各监测点昼夜间噪声均符合《声环境质量标准》（GB3096-2008）“2类声环境功能区噪声限值”要求。</w:t>
      </w:r>
    </w:p>
    <w:p w14:paraId="3EB05FA2">
      <w:pPr>
        <w:pStyle w:val="5"/>
      </w:pPr>
      <w:bookmarkStart w:id="308" w:name="_Toc106663565"/>
      <w:r>
        <w:rPr>
          <w:rFonts w:hint="eastAsia"/>
        </w:rPr>
        <w:t>9.3.4土壤环境质量现状评价结论</w:t>
      </w:r>
      <w:bookmarkEnd w:id="308"/>
    </w:p>
    <w:p w14:paraId="0F51A9EA">
      <w:pPr>
        <w:ind w:firstLine="480"/>
      </w:pPr>
      <w:r>
        <w:rPr>
          <w:rFonts w:hint="eastAsia"/>
        </w:rPr>
        <w:t>监测结果显示，本项目监测区内土壤环境质量满足《畜禽养殖产地评价规范》（HJ568-2010）中限值。</w:t>
      </w:r>
    </w:p>
    <w:p w14:paraId="4AF0243D">
      <w:pPr>
        <w:pStyle w:val="4"/>
      </w:pPr>
      <w:bookmarkStart w:id="309" w:name="_Toc89619365"/>
      <w:r>
        <w:rPr>
          <w:rFonts w:hint="eastAsia"/>
        </w:rPr>
        <w:t>9.4环境影响评价结论</w:t>
      </w:r>
      <w:bookmarkEnd w:id="309"/>
    </w:p>
    <w:p w14:paraId="79AB14C5">
      <w:pPr>
        <w:pStyle w:val="5"/>
      </w:pPr>
      <w:bookmarkStart w:id="310" w:name="_Toc106663567"/>
      <w:r>
        <w:rPr>
          <w:rFonts w:hint="eastAsia"/>
        </w:rPr>
        <w:t>9.4.1大气环境影响评价结论</w:t>
      </w:r>
      <w:bookmarkEnd w:id="310"/>
    </w:p>
    <w:p w14:paraId="3348B6E3">
      <w:pPr>
        <w:ind w:firstLine="480"/>
      </w:pPr>
      <w:r>
        <w:rPr>
          <w:rFonts w:hint="eastAsia"/>
        </w:rPr>
        <w:t>本项目运行期采取了积极有效的污染治理措施，各大气污染物对环境空气的贡献值均不大，并且可以达标排放。本项目防护距离为500m，周边500m范围内无敏感目标，所以项目运营过程中对周围环境空气影响不大。</w:t>
      </w:r>
    </w:p>
    <w:p w14:paraId="079CFCE8">
      <w:pPr>
        <w:ind w:firstLine="480"/>
      </w:pPr>
      <w:r>
        <w:rPr>
          <w:rFonts w:hint="eastAsia"/>
        </w:rPr>
        <w:t>因此，从环境空气的角度来看，本项目是可行的。</w:t>
      </w:r>
    </w:p>
    <w:p w14:paraId="2C9F0CFA">
      <w:pPr>
        <w:pStyle w:val="5"/>
      </w:pPr>
      <w:bookmarkStart w:id="311" w:name="_Toc106663568"/>
      <w:r>
        <w:rPr>
          <w:rFonts w:hint="eastAsia"/>
        </w:rPr>
        <w:t>9.4.2水环境影响评价结论</w:t>
      </w:r>
      <w:bookmarkEnd w:id="311"/>
    </w:p>
    <w:p w14:paraId="6CC18B3D">
      <w:pPr>
        <w:ind w:firstLine="480"/>
      </w:pPr>
      <w:r>
        <w:t>本项目养殖产生的废水</w:t>
      </w:r>
      <w:r>
        <w:rPr>
          <w:rFonts w:hint="eastAsia"/>
        </w:rPr>
        <w:t>主要为生活污水</w:t>
      </w:r>
      <w:r>
        <w:rPr>
          <w:rFonts w:hint="eastAsia"/>
          <w:lang w:val="en-US" w:eastAsia="zh-CN"/>
        </w:rPr>
        <w:t>和渗滤液</w:t>
      </w:r>
      <w:r>
        <w:t>，主要污染物是CODcr、BOD</w:t>
      </w:r>
      <w:r>
        <w:rPr>
          <w:vertAlign w:val="subscript"/>
        </w:rPr>
        <w:t>5</w:t>
      </w:r>
      <w:r>
        <w:t>和SS，不含其它有毒有害物质</w:t>
      </w:r>
      <w:r>
        <w:rPr>
          <w:rFonts w:hint="eastAsia"/>
        </w:rPr>
        <w:t>。</w:t>
      </w:r>
      <w:r>
        <w:t>生活污水</w:t>
      </w:r>
      <w:r>
        <w:rPr>
          <w:rFonts w:hint="eastAsia"/>
          <w:lang w:val="en-US" w:eastAsia="zh-CN"/>
        </w:rPr>
        <w:t>和渗滤液</w:t>
      </w:r>
      <w:r>
        <w:rPr>
          <w:rFonts w:hint="eastAsia"/>
        </w:rPr>
        <w:t>经化粪池收集，定期拉运至木垒县污水处理厂</w:t>
      </w:r>
      <w:r>
        <w:t>，最终进入</w:t>
      </w:r>
      <w:r>
        <w:rPr>
          <w:rFonts w:hint="eastAsia"/>
        </w:rPr>
        <w:t>木垒县</w:t>
      </w:r>
      <w:r>
        <w:t>城污水处理厂</w:t>
      </w:r>
      <w:r>
        <w:rPr>
          <w:rFonts w:hint="eastAsia"/>
        </w:rPr>
        <w:t>。</w:t>
      </w:r>
      <w:r>
        <w:t>本项目废水不会进入地表水体，与地表水也不发生水力联系，对地表水环境影响不大</w:t>
      </w:r>
      <w:r>
        <w:rPr>
          <w:rFonts w:hint="eastAsia"/>
        </w:rPr>
        <w:t>。</w:t>
      </w:r>
    </w:p>
    <w:p w14:paraId="58079ABF">
      <w:pPr>
        <w:pStyle w:val="5"/>
      </w:pPr>
      <w:bookmarkStart w:id="312" w:name="_Toc106663569"/>
      <w:r>
        <w:rPr>
          <w:rFonts w:hint="eastAsia"/>
        </w:rPr>
        <w:t>9.4.3声环境影响评价结论</w:t>
      </w:r>
      <w:bookmarkEnd w:id="312"/>
    </w:p>
    <w:p w14:paraId="36C86755">
      <w:pPr>
        <w:ind w:firstLine="480"/>
      </w:pPr>
      <w:r>
        <w:rPr>
          <w:rFonts w:hint="eastAsia"/>
        </w:rPr>
        <w:t>在落实本报告提出的各项噪声污染控制措施后，本项目运行期可满足《工业企业厂界环境噪声排放标准》（GB12348-2008）中的声环境2类功能区标准，对区域声环境的影响较小。</w:t>
      </w:r>
    </w:p>
    <w:p w14:paraId="4130E878">
      <w:pPr>
        <w:pStyle w:val="5"/>
      </w:pPr>
      <w:bookmarkStart w:id="313" w:name="_Toc106663570"/>
      <w:r>
        <w:rPr>
          <w:rFonts w:hint="eastAsia"/>
        </w:rPr>
        <w:t>9.4.4固体废物环境影响分析结论</w:t>
      </w:r>
      <w:bookmarkEnd w:id="313"/>
    </w:p>
    <w:p w14:paraId="0C530D1A">
      <w:pPr>
        <w:ind w:firstLine="480"/>
      </w:pPr>
      <w:r>
        <w:rPr>
          <w:rFonts w:hint="eastAsia"/>
        </w:rPr>
        <w:t>建设项目产生的固体废物均得到了妥善处置和利用，符合《畜禽养殖业污染防治技术规范》，所以本工程固体废物对环境的影响可以接受。</w:t>
      </w:r>
    </w:p>
    <w:p w14:paraId="692A5930">
      <w:pPr>
        <w:ind w:firstLine="480"/>
      </w:pPr>
      <w:r>
        <w:rPr>
          <w:rFonts w:hint="eastAsia"/>
        </w:rPr>
        <w:t>综上所述，项目在建设过程中加强管理，定期监测，无事故发生的前提下，从环境角度分析是可行的。</w:t>
      </w:r>
    </w:p>
    <w:p w14:paraId="18AC6FDD">
      <w:pPr>
        <w:pStyle w:val="4"/>
      </w:pPr>
      <w:bookmarkStart w:id="314" w:name="_Toc89619366"/>
      <w:r>
        <w:rPr>
          <w:rFonts w:hint="eastAsia"/>
        </w:rPr>
        <w:t>9.5污染防治措施</w:t>
      </w:r>
      <w:bookmarkEnd w:id="314"/>
    </w:p>
    <w:p w14:paraId="2A4C3A91">
      <w:pPr>
        <w:pStyle w:val="5"/>
      </w:pPr>
      <w:bookmarkStart w:id="315" w:name="_Toc106663572"/>
      <w:r>
        <w:rPr>
          <w:rFonts w:hint="eastAsia"/>
        </w:rPr>
        <w:t>9.5.1大气环境保护措施</w:t>
      </w:r>
      <w:bookmarkEnd w:id="315"/>
    </w:p>
    <w:p w14:paraId="496F98E1">
      <w:pPr>
        <w:ind w:firstLine="480"/>
      </w:pPr>
      <w:r>
        <w:rPr>
          <w:rFonts w:hint="eastAsia"/>
        </w:rPr>
        <w:t>（</w:t>
      </w:r>
      <w:r>
        <w:t>1</w:t>
      </w:r>
      <w:r>
        <w:rPr>
          <w:rFonts w:hint="eastAsia"/>
        </w:rPr>
        <w:t>）</w:t>
      </w:r>
      <w:r>
        <w:t>施工期环境影响评价</w:t>
      </w:r>
    </w:p>
    <w:p w14:paraId="5948BF29">
      <w:pPr>
        <w:ind w:firstLine="480"/>
      </w:pPr>
      <w:r>
        <w:t>施工期间主要是噪声和扬尘对环境的影响，而这样的影响是短暂和间歇的，且周围环境简单，在采取一定的措施后，其对环境的影响会降至最小程度</w:t>
      </w:r>
      <w:r>
        <w:rPr>
          <w:rFonts w:hint="eastAsia"/>
        </w:rPr>
        <w:t>。</w:t>
      </w:r>
    </w:p>
    <w:p w14:paraId="56DA766A">
      <w:pPr>
        <w:ind w:firstLine="480"/>
      </w:pPr>
      <w:r>
        <w:rPr>
          <w:rFonts w:hint="eastAsia"/>
        </w:rPr>
        <w:t>（</w:t>
      </w:r>
      <w:r>
        <w:t>2</w:t>
      </w:r>
      <w:r>
        <w:rPr>
          <w:rFonts w:hint="eastAsia"/>
        </w:rPr>
        <w:t>）</w:t>
      </w:r>
      <w:r>
        <w:t>运营期环境影响评价</w:t>
      </w:r>
    </w:p>
    <w:p w14:paraId="15FD9747">
      <w:pPr>
        <w:ind w:firstLine="480"/>
      </w:pPr>
      <w:r>
        <w:t>①大气环境影响评价</w:t>
      </w:r>
    </w:p>
    <w:p w14:paraId="3CA13F4F">
      <w:pPr>
        <w:ind w:firstLine="480"/>
      </w:pPr>
      <w:r>
        <w:t>根据预测结果，NH</w:t>
      </w:r>
      <w:r>
        <w:rPr>
          <w:vertAlign w:val="subscript"/>
        </w:rPr>
        <w:t>3</w:t>
      </w:r>
      <w:r>
        <w:t>和H</w:t>
      </w:r>
      <w:r>
        <w:rPr>
          <w:vertAlign w:val="subscript"/>
        </w:rPr>
        <w:t>2</w:t>
      </w:r>
      <w:r>
        <w:t>S最大地面空气质量浓度不大，占标率不高，为降低臭气对周围环境的影响，可采取以下措施：</w:t>
      </w:r>
      <w:r>
        <w:rPr>
          <w:rFonts w:hint="eastAsia"/>
        </w:rPr>
        <w:t>骆驼粪便定期清理</w:t>
      </w:r>
      <w:r>
        <w:t>、定期对易产生恶臭区域进行除臭液喷洒；在厂区周围设置绿化，吸收阻隔气味</w:t>
      </w:r>
      <w:r>
        <w:rPr>
          <w:rFonts w:hint="eastAsia"/>
        </w:rPr>
        <w:t>。</w:t>
      </w:r>
      <w:r>
        <w:t>通过采取以上措施，本项目恶臭污染物最大地面空气质量浓度均满足</w:t>
      </w:r>
      <w:r>
        <w:rPr>
          <w:rFonts w:hint="eastAsia"/>
        </w:rPr>
        <w:t>《畜禽养殖产地环境评价规范》（HJ568-2010）</w:t>
      </w:r>
      <w:r>
        <w:t>参考限值</w:t>
      </w:r>
      <w:r>
        <w:rPr>
          <w:rFonts w:hint="eastAsia"/>
        </w:rPr>
        <w:t>。</w:t>
      </w:r>
      <w:r>
        <w:t>因此，本项目运行期间恶臭气体对环境空气影响不大</w:t>
      </w:r>
      <w:r>
        <w:rPr>
          <w:rFonts w:hint="eastAsia"/>
        </w:rPr>
        <w:t>。</w:t>
      </w:r>
    </w:p>
    <w:p w14:paraId="11067C3D">
      <w:pPr>
        <w:pStyle w:val="5"/>
      </w:pPr>
      <w:bookmarkStart w:id="316" w:name="_Toc106663573"/>
      <w:r>
        <w:rPr>
          <w:rFonts w:hint="eastAsia"/>
        </w:rPr>
        <w:t>9.5.2水环境保护措施</w:t>
      </w:r>
      <w:bookmarkEnd w:id="316"/>
    </w:p>
    <w:p w14:paraId="40D8EF06">
      <w:pPr>
        <w:pStyle w:val="6"/>
        <w:ind w:firstLine="482"/>
      </w:pPr>
      <w:r>
        <w:rPr>
          <w:rFonts w:hint="eastAsia"/>
        </w:rPr>
        <w:t>9.5.2.1污水防治措施</w:t>
      </w:r>
    </w:p>
    <w:p w14:paraId="5D56A23A">
      <w:pPr>
        <w:ind w:firstLine="480"/>
      </w:pPr>
      <w:r>
        <w:t>本项目养殖产生的废水</w:t>
      </w:r>
      <w:r>
        <w:rPr>
          <w:rFonts w:hint="eastAsia"/>
        </w:rPr>
        <w:t>主要为生活污水</w:t>
      </w:r>
      <w:r>
        <w:rPr>
          <w:rFonts w:hint="eastAsia"/>
          <w:lang w:val="en-US" w:eastAsia="zh-CN"/>
        </w:rPr>
        <w:t>和渗滤液</w:t>
      </w:r>
      <w:r>
        <w:t>，主要污染物是CODcr、BOD</w:t>
      </w:r>
      <w:r>
        <w:rPr>
          <w:vertAlign w:val="subscript"/>
        </w:rPr>
        <w:t>5</w:t>
      </w:r>
      <w:r>
        <w:t>和SS，不含其它有毒有害物质</w:t>
      </w:r>
      <w:r>
        <w:rPr>
          <w:rFonts w:hint="eastAsia"/>
        </w:rPr>
        <w:t>。</w:t>
      </w:r>
      <w:r>
        <w:t>生活污水</w:t>
      </w:r>
      <w:r>
        <w:rPr>
          <w:rFonts w:hint="eastAsia"/>
          <w:lang w:val="en-US" w:eastAsia="zh-CN"/>
        </w:rPr>
        <w:t>和渗滤液</w:t>
      </w:r>
      <w:r>
        <w:rPr>
          <w:rFonts w:hint="eastAsia"/>
        </w:rPr>
        <w:t>经化粪池收集，定期拉运至木垒县污水处理厂</w:t>
      </w:r>
      <w:r>
        <w:t>，最终进入</w:t>
      </w:r>
      <w:r>
        <w:rPr>
          <w:rFonts w:hint="eastAsia"/>
        </w:rPr>
        <w:t>木垒县</w:t>
      </w:r>
      <w:r>
        <w:t>城污水处理厂</w:t>
      </w:r>
      <w:r>
        <w:rPr>
          <w:rFonts w:hint="eastAsia"/>
        </w:rPr>
        <w:t>。</w:t>
      </w:r>
      <w:r>
        <w:t>本项目废水不会进入地表水体，与地表水也不发生水力联系，对地表水环境影响不大</w:t>
      </w:r>
      <w:r>
        <w:rPr>
          <w:rFonts w:hint="eastAsia"/>
        </w:rPr>
        <w:t>。</w:t>
      </w:r>
    </w:p>
    <w:p w14:paraId="5F9A7E3C">
      <w:pPr>
        <w:pStyle w:val="6"/>
        <w:ind w:firstLine="482"/>
      </w:pPr>
      <w:r>
        <w:rPr>
          <w:rFonts w:hint="eastAsia"/>
        </w:rPr>
        <w:t>9.5.2.2地下水污染防治措施</w:t>
      </w:r>
    </w:p>
    <w:p w14:paraId="44E9A49B">
      <w:pPr>
        <w:ind w:firstLine="480"/>
      </w:pPr>
      <w:r>
        <w:rPr>
          <w:rFonts w:hint="eastAsia"/>
        </w:rPr>
        <w:t>为防止对地下水造成污染，对厂区各区域分别采用不同的防渗措施。项目场地分为重点防渗区、一般防渗区和简单防渗区。一般工业固废临时贮存场所防渗效果应满足《一般工业固体废物贮存和填埋污染控制标准》（GB18599-2020）中的相关要求。危险废物储存场所防渗效果应满足《危险废物贮存污染控制标准》（GB18597-2023）及修改单中的有关要求。运营期厂区安排专人定期进行巡查，杜绝“跑、冒、滴、漏”等事故的发生，进行严格的防渗处理，从源头上防止污水进入地下水含水层之间。</w:t>
      </w:r>
    </w:p>
    <w:p w14:paraId="525C9BDC">
      <w:pPr>
        <w:pStyle w:val="5"/>
      </w:pPr>
      <w:bookmarkStart w:id="317" w:name="_Toc106663574"/>
      <w:r>
        <w:rPr>
          <w:rFonts w:hint="eastAsia"/>
        </w:rPr>
        <w:t>9.5.3噪声</w:t>
      </w:r>
      <w:bookmarkEnd w:id="317"/>
    </w:p>
    <w:p w14:paraId="45D420B0">
      <w:pPr>
        <w:ind w:firstLine="480"/>
      </w:pPr>
      <w:r>
        <w:rPr>
          <w:rFonts w:hint="eastAsia"/>
        </w:rPr>
        <w:t>本项目在建筑上采取隔声、吸声措施，在场区内外种植树木，以降低噪声向外辐射；通过合理布局生产车间，达到阻隔、衰减噪声的目的。降噪后厂界噪声值可达到《工业企业厂界环境噪声排放标准》（GB12348-2008）中的2类标准。</w:t>
      </w:r>
    </w:p>
    <w:p w14:paraId="75F6CAA3">
      <w:pPr>
        <w:pStyle w:val="5"/>
      </w:pPr>
      <w:bookmarkStart w:id="318" w:name="_Toc106663575"/>
      <w:r>
        <w:rPr>
          <w:rFonts w:hint="eastAsia"/>
        </w:rPr>
        <w:t>9.5.4固体废弃物</w:t>
      </w:r>
      <w:bookmarkEnd w:id="318"/>
    </w:p>
    <w:p w14:paraId="17C8D317">
      <w:pPr>
        <w:ind w:firstLine="480"/>
      </w:pPr>
      <w:r>
        <w:t>本项目产生的固体废物主要为</w:t>
      </w:r>
      <w:r>
        <w:rPr>
          <w:rFonts w:hint="eastAsia"/>
        </w:rPr>
        <w:t>骆驼粪便</w:t>
      </w:r>
      <w:r>
        <w:t>、病死</w:t>
      </w:r>
      <w:r>
        <w:rPr>
          <w:rFonts w:hint="eastAsia"/>
        </w:rPr>
        <w:t>骆驼</w:t>
      </w:r>
      <w:r>
        <w:t>、废弃包装物、生活垃圾、医疗废物</w:t>
      </w:r>
      <w:r>
        <w:rPr>
          <w:rFonts w:hint="eastAsia"/>
        </w:rPr>
        <w:t>。</w:t>
      </w:r>
      <w:r>
        <w:t>本项目区产生的</w:t>
      </w:r>
      <w:r>
        <w:rPr>
          <w:rFonts w:hint="eastAsia"/>
        </w:rPr>
        <w:t>骆驼粪便经发酵后外售</w:t>
      </w:r>
      <w:r>
        <w:t>，由其负责定期清运工作</w:t>
      </w:r>
      <w:r>
        <w:rPr>
          <w:rFonts w:hint="eastAsia"/>
        </w:rPr>
        <w:t>。病死骆驼外委第三方处置</w:t>
      </w:r>
      <w:r>
        <w:t>，本项目饲料包装袋最终返回原包装袋购置厂家回收，废弃包装物得到了合理利用</w:t>
      </w:r>
      <w:r>
        <w:rPr>
          <w:rFonts w:hint="eastAsia"/>
        </w:rPr>
        <w:t>。</w:t>
      </w:r>
      <w:r>
        <w:t>本项目生活垃圾集中收集由当地环卫部门处置</w:t>
      </w:r>
      <w:r>
        <w:rPr>
          <w:rFonts w:hint="eastAsia"/>
        </w:rPr>
        <w:t>。</w:t>
      </w:r>
      <w:r>
        <w:t>本项目对</w:t>
      </w:r>
      <w:r>
        <w:rPr>
          <w:rFonts w:hint="eastAsia"/>
        </w:rPr>
        <w:t>骆驼</w:t>
      </w:r>
      <w:r>
        <w:t>进行防疫、治疗过程中产生少量废弃药品、废针管等，医疗废物属于HW01类危险废物，</w:t>
      </w:r>
      <w:r>
        <w:rPr>
          <w:rFonts w:hint="eastAsia"/>
        </w:rPr>
        <w:t>医疗废物由兽医站带走，不在场区暂存。</w:t>
      </w:r>
    </w:p>
    <w:p w14:paraId="0E56E736">
      <w:pPr>
        <w:ind w:firstLine="480"/>
      </w:pPr>
      <w:r>
        <w:t>综上分析，对固体废物采取相应治理措施后，固废可以得到合理处置，产生的固体废物对周围环境影响不大</w:t>
      </w:r>
      <w:r>
        <w:rPr>
          <w:rFonts w:hint="eastAsia"/>
        </w:rPr>
        <w:t>。</w:t>
      </w:r>
    </w:p>
    <w:p w14:paraId="36F0AB87">
      <w:pPr>
        <w:pStyle w:val="4"/>
      </w:pPr>
      <w:bookmarkStart w:id="319" w:name="_Toc89619367"/>
      <w:r>
        <w:rPr>
          <w:rFonts w:hint="eastAsia"/>
        </w:rPr>
        <w:t>9.6公众意见采纳情况</w:t>
      </w:r>
      <w:bookmarkEnd w:id="319"/>
    </w:p>
    <w:p w14:paraId="49F13AA0">
      <w:pPr>
        <w:ind w:firstLine="480"/>
      </w:pPr>
      <w:r>
        <w:rPr>
          <w:rFonts w:hint="eastAsia"/>
        </w:rPr>
        <w:t>本项目建设单位严格按照《环境影响评价公众参与办法》（部令第4号）的规定，进行了的公众参与工作。首先在确定环评单位后，在环评互联网网站进行了第一次网上公示，并给出了公众意见表链接。报告初稿完成后在环评互联网进行了第二次网上公示，第二次网上公示给出了环评报告链接，并在项目所在木垒县园户村镇公示栏内进行了公示张贴，同时在当地报纸上进行了两次公示。建设方拟报批前，在环评互联网进行了第三次信息公示。本项目在公示期间未收到公众通过网络、电话及书信等方式提出的意见。</w:t>
      </w:r>
    </w:p>
    <w:p w14:paraId="4662EB22">
      <w:pPr>
        <w:pStyle w:val="4"/>
      </w:pPr>
      <w:bookmarkStart w:id="320" w:name="_Toc89619368"/>
      <w:r>
        <w:rPr>
          <w:rFonts w:hint="eastAsia"/>
        </w:rPr>
        <w:t>9.7环境经济损益分析结论</w:t>
      </w:r>
      <w:bookmarkEnd w:id="320"/>
    </w:p>
    <w:p w14:paraId="5BE35D7A">
      <w:pPr>
        <w:ind w:firstLine="480"/>
      </w:pPr>
      <w:r>
        <w:rPr>
          <w:rFonts w:hint="eastAsia"/>
        </w:rPr>
        <w:t>本项目的建设可提高养殖生产水平，提高经济效益，同时增加了就业机会，促进农村社会稳定。本项目建设达产后，经济效益较显著，环保投资合理，获得的环境效益显著。因此本项目的建设从环境经济损益的角度分析是可行的。</w:t>
      </w:r>
    </w:p>
    <w:p w14:paraId="3C860144">
      <w:pPr>
        <w:pStyle w:val="4"/>
      </w:pPr>
      <w:bookmarkStart w:id="321" w:name="_Toc89619369"/>
      <w:r>
        <w:rPr>
          <w:rFonts w:hint="eastAsia"/>
        </w:rPr>
        <w:t>9.8环境管理与监测结论</w:t>
      </w:r>
      <w:bookmarkEnd w:id="321"/>
    </w:p>
    <w:p w14:paraId="7BEB4F69">
      <w:pPr>
        <w:ind w:firstLine="480"/>
      </w:pPr>
      <w:r>
        <w:rPr>
          <w:rFonts w:hint="eastAsia"/>
        </w:rPr>
        <w:t>本项目运行期通过加强建设和试运行期间的环境管理与监控，建立健全安全生产管理制度，制订科学严谨的操作规程，通过职工操作技能培训，提高危险识辨、防护和保护能力，落实责任到人。同时加强厂内各类设备包括污染治理设施的日常运行管理和维护，对生产设备进行定期检测，对关键设备进行不定期测试。增强岗位职责和环保、安全意识，保证生产设施和环保治理设施运行的可靠性、稳定性。</w:t>
      </w:r>
    </w:p>
    <w:p w14:paraId="0D527AD0">
      <w:pPr>
        <w:pStyle w:val="4"/>
      </w:pPr>
      <w:bookmarkStart w:id="322" w:name="_Toc89619370"/>
      <w:r>
        <w:rPr>
          <w:rFonts w:hint="eastAsia"/>
        </w:rPr>
        <w:t>9.9总量控制</w:t>
      </w:r>
      <w:bookmarkEnd w:id="322"/>
    </w:p>
    <w:p w14:paraId="303E4738">
      <w:pPr>
        <w:ind w:firstLine="480"/>
      </w:pPr>
      <w:r>
        <w:rPr>
          <w:rFonts w:hint="eastAsia"/>
        </w:rPr>
        <w:t>本项目无需申请总量控制指标。</w:t>
      </w:r>
    </w:p>
    <w:p w14:paraId="603EF806">
      <w:pPr>
        <w:pStyle w:val="4"/>
      </w:pPr>
      <w:bookmarkStart w:id="323" w:name="_Toc89619371"/>
      <w:r>
        <w:rPr>
          <w:rFonts w:hint="eastAsia"/>
        </w:rPr>
        <w:t>9.10综合结论</w:t>
      </w:r>
      <w:bookmarkEnd w:id="323"/>
    </w:p>
    <w:p w14:paraId="6ABDDF5C">
      <w:pPr>
        <w:ind w:firstLine="480"/>
      </w:pPr>
      <w:r>
        <w:rPr>
          <w:rFonts w:hint="eastAsia"/>
        </w:rPr>
        <w:t>本项目符合国家产业政策和相关规划，选址合理，在认真贯彻执行国家环保法律、法规，严格落实环评规定的各项环保措施，加强环境管理情况下，污染物的排放可以满足达标排放的要求。本项目具有良好的经济效益、社会效益和环境效益。公众参与调查工作中，未收到公众对该项目的相关意见。本项目符合环保部发布《关于以改善环境质量为核心加强环评管理的通知》关于“三线一单”的要求以及新疆和昌吉州的“三线一单”管控要求。</w:t>
      </w:r>
    </w:p>
    <w:p w14:paraId="112EBCD1">
      <w:pPr>
        <w:ind w:firstLine="480"/>
      </w:pPr>
      <w:r>
        <w:rPr>
          <w:rFonts w:hint="eastAsia"/>
        </w:rPr>
        <w:t>因此，从环保角度考虑，本项目的建设是可行的。</w:t>
      </w:r>
    </w:p>
    <w:p w14:paraId="490E6316">
      <w:pPr>
        <w:pStyle w:val="4"/>
      </w:pPr>
      <w:bookmarkStart w:id="324" w:name="_Toc89619372"/>
      <w:r>
        <w:rPr>
          <w:rFonts w:hint="eastAsia"/>
        </w:rPr>
        <w:t>9.11要求</w:t>
      </w:r>
      <w:bookmarkEnd w:id="324"/>
    </w:p>
    <w:p w14:paraId="47FC0F92">
      <w:pPr>
        <w:ind w:firstLine="480"/>
      </w:pPr>
      <w:r>
        <w:rPr>
          <w:rFonts w:hint="eastAsia"/>
        </w:rPr>
        <w:t>（1）建设单位在本项目实施过程中，应认真落实本项目提到的各项治理措施，加强对环保设施的运行管理，制定有效的管理规章制度，建立环保管理机制，防止出现事故性和非正常污染排放。</w:t>
      </w:r>
    </w:p>
    <w:p w14:paraId="2BEE1FF1">
      <w:pPr>
        <w:ind w:firstLine="480"/>
      </w:pPr>
      <w:r>
        <w:rPr>
          <w:rFonts w:hint="eastAsia"/>
        </w:rPr>
        <w:t>（2）建设单位在项目实施过程中应严格执行原国家环保总局颁布的《畜禽养殖业污染防治技术规范》（HJ/T81-2001）。</w:t>
      </w:r>
    </w:p>
    <w:p w14:paraId="694C3A76">
      <w:pPr>
        <w:ind w:firstLine="480"/>
      </w:pPr>
      <w:r>
        <w:rPr>
          <w:rFonts w:hint="eastAsia"/>
        </w:rPr>
        <w:t>（3）严格执行“三同时”制度，落实各项环保措施，平时注意各项环保设施的维护，及时发现处理设备的隐患，确保处理系统正常运行；开、停、检修要有预案，有严密周全的计划，确保不发生非正常排放。</w:t>
      </w:r>
    </w:p>
    <w:p w14:paraId="2C6BBFDF">
      <w:pPr>
        <w:ind w:firstLine="480"/>
      </w:pPr>
      <w:r>
        <w:rPr>
          <w:rFonts w:hint="eastAsia"/>
        </w:rPr>
        <w:t>（4）饲养人员每年应至少进行一次身体检查，如发现患有危害人、畜禽的传染病者，应及时调离，以防传染。</w:t>
      </w:r>
    </w:p>
    <w:p w14:paraId="3CACA348">
      <w:pPr>
        <w:ind w:firstLine="480"/>
      </w:pPr>
      <w:r>
        <w:rPr>
          <w:rFonts w:hint="eastAsia"/>
        </w:rPr>
        <w:t>（5）落实环境监测计划。</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Noto Sans CJK JP Regular">
    <w:altName w:val="Arial"/>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hicago">
    <w:altName w:val="Arial"/>
    <w:panose1 w:val="00000000000000000000"/>
    <w:charset w:val="00"/>
    <w:family w:val="swiss"/>
    <w:pitch w:val="default"/>
    <w:sig w:usb0="00000000" w:usb1="00000000" w:usb2="00000000" w:usb3="00000000" w:csb0="00000001"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CDCCF">
    <w:pPr>
      <w:pStyle w:val="25"/>
      <w:ind w:firstLine="420"/>
      <w:jc w:val="right"/>
      <w:rPr>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posOffset>2223135</wp:posOffset>
              </wp:positionH>
              <wp:positionV relativeFrom="paragraph">
                <wp:posOffset>191770</wp:posOffset>
              </wp:positionV>
              <wp:extent cx="415925" cy="1828800"/>
              <wp:effectExtent l="0" t="0" r="3810" b="10160"/>
              <wp:wrapNone/>
              <wp:docPr id="106" name="文本框 106"/>
              <wp:cNvGraphicFramePr/>
              <a:graphic xmlns:a="http://schemas.openxmlformats.org/drawingml/2006/main">
                <a:graphicData uri="http://schemas.microsoft.com/office/word/2010/wordprocessingShape">
                  <wps:wsp>
                    <wps:cNvSpPr txBox="1"/>
                    <wps:spPr>
                      <a:xfrm>
                        <a:off x="0" y="0"/>
                        <a:ext cx="41563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11878568"/>
                          </w:sdtPr>
                          <w:sdtEndPr>
                            <w:rPr>
                              <w:sz w:val="21"/>
                              <w:szCs w:val="21"/>
                            </w:rPr>
                          </w:sdtEndPr>
                          <w:sdtContent>
                            <w:p w14:paraId="56ED14BF">
                              <w:pPr>
                                <w:pStyle w:val="25"/>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14:paraId="6041D31A">
                          <w:pPr>
                            <w:ind w:firstLine="420"/>
                            <w:rPr>
                              <w:sz w:val="21"/>
                              <w:szCs w:val="21"/>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5.05pt;margin-top:15.1pt;height:144pt;width:32.75pt;mso-position-horizontal-relative:margin;z-index:251739136;mso-width-relative:page;mso-height-relative:page;" filled="f" stroked="f" coordsize="21600,21600" o:gfxdata="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74HyZ2AAAAAoBAAAPAAAAAAAAAAEAIAAAACIAAABkcnMvZG93bnJldi54&#10;bWxQSwECFAAUAAAACACHTuJAcFNWLDMCAABaBAAADgAAAAAAAAABACAAAAAnAQAAZHJzL2Uyb0Rv&#10;Yy54bWxQSwUGAAAAAAYABgBZAQAAzAUAAAAA&#10;">
              <v:fill on="f" focussize="0,0"/>
              <v:stroke on="f" weight="0.5pt"/>
              <v:imagedata o:title=""/>
              <o:lock v:ext="edit" aspectratio="f"/>
              <v:textbox inset="0mm,0mm,0mm,0mm" style="mso-fit-shape-to-text:t;">
                <w:txbxContent>
                  <w:sdt>
                    <w:sdtPr>
                      <w:id w:val="511878568"/>
                    </w:sdtPr>
                    <w:sdtEndPr>
                      <w:rPr>
                        <w:sz w:val="21"/>
                        <w:szCs w:val="21"/>
                      </w:rPr>
                    </w:sdtEndPr>
                    <w:sdtContent>
                      <w:p w14:paraId="56ED14BF">
                        <w:pPr>
                          <w:pStyle w:val="25"/>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14:paraId="6041D31A">
                    <w:pPr>
                      <w:ind w:firstLine="420"/>
                      <w:rPr>
                        <w:sz w:val="21"/>
                        <w:szCs w:val="21"/>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E17D3">
    <w:pPr>
      <w:spacing w:line="224" w:lineRule="auto"/>
      <w:ind w:left="4281" w:firstLine="360"/>
      <w:rPr>
        <w:rFonts w:hint="eastAsia" w:ascii="等线" w:hAnsi="等线" w:eastAsia="等线" w:cs="等线"/>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9CB50">
                          <w:pPr>
                            <w:pStyle w:val="25"/>
                            <w:ind w:firstLine="360"/>
                          </w:pPr>
                          <w:r>
                            <w:fldChar w:fldCharType="begin"/>
                          </w:r>
                          <w:r>
                            <w:instrText xml:space="preserve"> PAGE  \* MERGEFORMAT </w:instrText>
                          </w:r>
                          <w:r>
                            <w:fldChar w:fldCharType="separate"/>
                          </w:r>
                          <w:r>
                            <w:t>LXXV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0po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eg3y8JOP1ge&#10;oaN43q6PAQImXaMonRK9Vui4VJl+OmJL/7lPUY9/h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m+0potAgAAWQQAAA4AAAAAAAAAAQAgAAAAHwEAAGRycy9lMm9Eb2MueG1sUEsFBgAAAAAG&#10;AAYAWQEAAL4FAAAAAA==&#10;">
              <v:fill on="f" focussize="0,0"/>
              <v:stroke on="f" weight="0.5pt"/>
              <v:imagedata o:title=""/>
              <o:lock v:ext="edit" aspectratio="f"/>
              <v:textbox inset="0mm,0mm,0mm,0mm" style="mso-fit-shape-to-text:t;">
                <w:txbxContent>
                  <w:p w14:paraId="22C9CB50">
                    <w:pPr>
                      <w:pStyle w:val="25"/>
                      <w:ind w:firstLine="360"/>
                    </w:pPr>
                    <w:r>
                      <w:fldChar w:fldCharType="begin"/>
                    </w:r>
                    <w:r>
                      <w:instrText xml:space="preserve"> PAGE  \* MERGEFORMAT </w:instrText>
                    </w:r>
                    <w:r>
                      <w:fldChar w:fldCharType="separate"/>
                    </w:r>
                    <w:r>
                      <w:t>LXXV</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A08F8">
    <w:pPr>
      <w:spacing w:line="224" w:lineRule="auto"/>
      <w:ind w:left="4856" w:firstLine="360"/>
      <w:rPr>
        <w:rFonts w:hint="eastAsia" w:ascii="等线" w:hAnsi="等线" w:cs="等线"/>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57067">
                          <w:pPr>
                            <w:pStyle w:val="25"/>
                            <w:ind w:firstLine="360"/>
                          </w:pPr>
                          <w:r>
                            <w:fldChar w:fldCharType="begin"/>
                          </w:r>
                          <w:r>
                            <w:instrText xml:space="preserve"> PAGE  \* MERGEFORMAT </w:instrText>
                          </w:r>
                          <w:r>
                            <w:fldChar w:fldCharType="separate"/>
                          </w:r>
                          <w:r>
                            <w:t>XCV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h/scuAgAAW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H4f7HLgIAAFkEAAAOAAAAAAAAAAEAIAAAAB8BAABkcnMvZTJvRG9jLnhtbFBLBQYAAAAA&#10;BgAGAFkBAAC/BQAAAAA=&#10;">
              <v:fill on="f" focussize="0,0"/>
              <v:stroke on="f" weight="0.5pt"/>
              <v:imagedata o:title=""/>
              <o:lock v:ext="edit" aspectratio="f"/>
              <v:textbox inset="0mm,0mm,0mm,0mm" style="mso-fit-shape-to-text:t;">
                <w:txbxContent>
                  <w:p w14:paraId="60857067">
                    <w:pPr>
                      <w:pStyle w:val="25"/>
                      <w:ind w:firstLine="360"/>
                    </w:pPr>
                    <w:r>
                      <w:fldChar w:fldCharType="begin"/>
                    </w:r>
                    <w:r>
                      <w:instrText xml:space="preserve"> PAGE  \* MERGEFORMAT </w:instrText>
                    </w:r>
                    <w:r>
                      <w:fldChar w:fldCharType="separate"/>
                    </w:r>
                    <w:r>
                      <w:t>XCV</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EC6F4">
    <w:pPr>
      <w:pStyle w:val="25"/>
      <w:ind w:firstLine="360"/>
      <w:jc w:val="center"/>
    </w:pPr>
    <w: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98F3C">
                          <w:pPr>
                            <w:pStyle w:val="25"/>
                            <w:ind w:firstLine="360"/>
                          </w:pPr>
                          <w:r>
                            <w:fldChar w:fldCharType="begin"/>
                          </w:r>
                          <w:r>
                            <w:instrText xml:space="preserve"> PAGE  \* MERGEFORMAT </w:instrText>
                          </w:r>
                          <w:r>
                            <w:fldChar w:fldCharType="separate"/>
                          </w:r>
                          <w:r>
                            <w:t>CIX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Nuws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NuwstAgAAWQQAAA4AAAAAAAAAAQAgAAAAHwEAAGRycy9lMm9Eb2MueG1sUEsFBgAAAAAG&#10;AAYAWQEAAL4FAAAAAA==&#10;">
              <v:fill on="f" focussize="0,0"/>
              <v:stroke on="f" weight="0.5pt"/>
              <v:imagedata o:title=""/>
              <o:lock v:ext="edit" aspectratio="f"/>
              <v:textbox inset="0mm,0mm,0mm,0mm" style="mso-fit-shape-to-text:t;">
                <w:txbxContent>
                  <w:p w14:paraId="06098F3C">
                    <w:pPr>
                      <w:pStyle w:val="25"/>
                      <w:ind w:firstLine="360"/>
                    </w:pPr>
                    <w:r>
                      <w:fldChar w:fldCharType="begin"/>
                    </w:r>
                    <w:r>
                      <w:instrText xml:space="preserve"> PAGE  \* MERGEFORMAT </w:instrText>
                    </w:r>
                    <w:r>
                      <w:fldChar w:fldCharType="separate"/>
                    </w:r>
                    <w:r>
                      <w:t>CIX</w:t>
                    </w:r>
                    <w:r>
                      <w:fldChar w:fldCharType="end"/>
                    </w:r>
                  </w:p>
                </w:txbxContent>
              </v:textbox>
            </v:shape>
          </w:pict>
        </mc:Fallback>
      </mc:AlternateContent>
    </w:r>
  </w:p>
  <w:p w14:paraId="1D433903">
    <w:pPr>
      <w:pStyle w:val="13"/>
      <w:kinsoku w:val="0"/>
      <w:overflowPunct w:val="0"/>
      <w:spacing w:line="14" w:lineRule="auto"/>
      <w:rPr>
        <w:rFonts w:eastAsia="等线"/>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7B124">
    <w:pPr>
      <w:spacing w:line="1" w:lineRule="exact"/>
      <w:ind w:firstLine="480"/>
    </w:pPr>
    <w: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4D49E">
                          <w:pPr>
                            <w:pStyle w:val="25"/>
                            <w:ind w:firstLine="360"/>
                          </w:pPr>
                          <w:r>
                            <w:fldChar w:fldCharType="begin"/>
                          </w:r>
                          <w:r>
                            <w:instrText xml:space="preserve"> PAGE  \* MERGEFORMAT </w:instrText>
                          </w:r>
                          <w:r>
                            <w:fldChar w:fldCharType="separate"/>
                          </w:r>
                          <w:r>
                            <w:t>CXLIX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Sl1Yu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R0pdWLgIAAFkEAAAOAAAAAAAAAAEAIAAAAB8BAABkcnMvZTJvRG9jLnhtbFBLBQYAAAAA&#10;BgAGAFkBAAC/BQAAAAA=&#10;">
              <v:fill on="f" focussize="0,0"/>
              <v:stroke on="f" weight="0.5pt"/>
              <v:imagedata o:title=""/>
              <o:lock v:ext="edit" aspectratio="f"/>
              <v:textbox inset="0mm,0mm,0mm,0mm" style="mso-fit-shape-to-text:t;">
                <w:txbxContent>
                  <w:p w14:paraId="2894D49E">
                    <w:pPr>
                      <w:pStyle w:val="25"/>
                      <w:ind w:firstLine="360"/>
                    </w:pPr>
                    <w:r>
                      <w:fldChar w:fldCharType="begin"/>
                    </w:r>
                    <w:r>
                      <w:instrText xml:space="preserve"> PAGE  \* MERGEFORMAT </w:instrText>
                    </w:r>
                    <w:r>
                      <w:fldChar w:fldCharType="separate"/>
                    </w:r>
                    <w:r>
                      <w:t>CXLIX</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71A60">
    <w:pPr>
      <w:spacing w:line="1" w:lineRule="exact"/>
      <w:ind w:firstLine="480"/>
    </w:pPr>
    <w: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437AD">
                          <w:pPr>
                            <w:pStyle w:val="25"/>
                            <w:ind w:firstLine="360"/>
                          </w:pPr>
                          <w:r>
                            <w:fldChar w:fldCharType="begin"/>
                          </w:r>
                          <w:r>
                            <w:instrText xml:space="preserve"> PAGE  \* MERGEFORMAT </w:instrText>
                          </w:r>
                          <w:r>
                            <w:fldChar w:fldCharType="separate"/>
                          </w:r>
                          <w:r>
                            <w:t>CL</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bpcg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QhPNFEp++vH9&#10;9PPh9OsbiYeQqLV+hsh7i9jQvTMdGmc49ziMzLvKqfgFJwI/wI4XgUUXCI+XppPpNIeLwzdsgJ89&#10;XrfOh/fCKBKNgjpUMAnLDhsf+tAhJGbTZt1ImaooNWkLevX6T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ybpcgtAgAAWQQAAA4AAAAAAAAAAQAgAAAAHwEAAGRycy9lMm9Eb2MueG1sUEsFBgAAAAAG&#10;AAYAWQEAAL4FAAAAAA==&#10;">
              <v:fill on="f" focussize="0,0"/>
              <v:stroke on="f" weight="0.5pt"/>
              <v:imagedata o:title=""/>
              <o:lock v:ext="edit" aspectratio="f"/>
              <v:textbox inset="0mm,0mm,0mm,0mm" style="mso-fit-shape-to-text:t;">
                <w:txbxContent>
                  <w:p w14:paraId="4C8437AD">
                    <w:pPr>
                      <w:pStyle w:val="25"/>
                      <w:ind w:firstLine="360"/>
                    </w:pPr>
                    <w:r>
                      <w:fldChar w:fldCharType="begin"/>
                    </w:r>
                    <w:r>
                      <w:instrText xml:space="preserve"> PAGE  \* MERGEFORMAT </w:instrText>
                    </w:r>
                    <w:r>
                      <w:fldChar w:fldCharType="separate"/>
                    </w:r>
                    <w:r>
                      <w:t>CL</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65B63">
    <w:pPr>
      <w:spacing w:line="224" w:lineRule="auto"/>
      <w:ind w:left="4546" w:firstLine="360"/>
      <w:rPr>
        <w:rFonts w:hint="eastAsia" w:ascii="等线" w:hAnsi="等线" w:cs="等线"/>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0B754">
                          <w:pPr>
                            <w:pStyle w:val="25"/>
                            <w:ind w:firstLine="360"/>
                          </w:pPr>
                          <w:r>
                            <w:fldChar w:fldCharType="begin"/>
                          </w:r>
                          <w:r>
                            <w:instrText xml:space="preserve"> PAGE  \* MERGEFORMAT </w:instrText>
                          </w:r>
                          <w:r>
                            <w:fldChar w:fldCharType="separate"/>
                          </w:r>
                          <w:r>
                            <w:t>CLXXI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EiZUtAgAAWQ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LEiZUtAgAAWQQAAA4AAAAAAAAAAQAgAAAAHwEAAGRycy9lMm9Eb2MueG1sUEsFBgAAAAAG&#10;AAYAWQEAAL4FAAAAAA==&#10;">
              <v:fill on="f" focussize="0,0"/>
              <v:stroke on="f" weight="0.5pt"/>
              <v:imagedata o:title=""/>
              <o:lock v:ext="edit" aspectratio="f"/>
              <v:textbox inset="0mm,0mm,0mm,0mm" style="mso-fit-shape-to-text:t;">
                <w:txbxContent>
                  <w:p w14:paraId="7510B754">
                    <w:pPr>
                      <w:pStyle w:val="25"/>
                      <w:ind w:firstLine="360"/>
                    </w:pPr>
                    <w:r>
                      <w:fldChar w:fldCharType="begin"/>
                    </w:r>
                    <w:r>
                      <w:instrText xml:space="preserve"> PAGE  \* MERGEFORMAT </w:instrText>
                    </w:r>
                    <w:r>
                      <w:fldChar w:fldCharType="separate"/>
                    </w:r>
                    <w:r>
                      <w:t>CLXXI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9501">
    <w:pPr>
      <w:pStyle w:val="25"/>
      <w:ind w:firstLine="420"/>
      <w:rPr>
        <w:sz w:val="21"/>
        <w:szCs w:val="21"/>
      </w:rPr>
    </w:pPr>
    <w:r>
      <w:rPr>
        <w:sz w:val="21"/>
      </w:rPr>
      <mc:AlternateContent>
        <mc:Choice Requires="wps">
          <w:drawing>
            <wp:anchor distT="0" distB="0" distL="114300" distR="114300" simplePos="0" relativeHeight="251748352" behindDoc="0" locked="0" layoutInCell="1" allowOverlap="1">
              <wp:simplePos x="0" y="0"/>
              <wp:positionH relativeFrom="margin">
                <wp:posOffset>2442845</wp:posOffset>
              </wp:positionH>
              <wp:positionV relativeFrom="paragraph">
                <wp:posOffset>0</wp:posOffset>
              </wp:positionV>
              <wp:extent cx="861060" cy="3740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860961" cy="3740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13707872"/>
                          </w:sdtPr>
                          <w:sdtEndPr>
                            <w:rPr>
                              <w:sz w:val="21"/>
                              <w:szCs w:val="21"/>
                            </w:rPr>
                          </w:sdtEndPr>
                          <w:sdtContent>
                            <w:p w14:paraId="0ABCB97D">
                              <w:pPr>
                                <w:pStyle w:val="25"/>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2.35pt;margin-top:0pt;height:29.45pt;width:67.8pt;mso-position-horizontal-relative:margin;z-index:251748352;mso-width-relative:page;mso-height-relative:page;" filled="f" stroked="f" coordsize="21600,21600" o:gfxdata="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Gjl0tcAAAAHAQAADwAAAAAAAAABACAAAAAiAAAAZHJzL2Rvd25yZXYueG1s&#10;UEsBAhQAFAAAAAgAh07iQIpT4kYyAgAAVQQAAA4AAAAAAAAAAQAgAAAAJgEAAGRycy9lMm9Eb2Mu&#10;eG1sUEsFBgAAAAAGAAYAWQEAAMoFAAAAAA==&#10;">
              <v:fill on="f" focussize="0,0"/>
              <v:stroke on="f" weight="0.5pt"/>
              <v:imagedata o:title=""/>
              <o:lock v:ext="edit" aspectratio="f"/>
              <v:textbox inset="0mm,0mm,0mm,0mm">
                <w:txbxContent>
                  <w:sdt>
                    <w:sdtPr>
                      <w:id w:val="1113707872"/>
                    </w:sdtPr>
                    <w:sdtEndPr>
                      <w:rPr>
                        <w:sz w:val="21"/>
                        <w:szCs w:val="21"/>
                      </w:rPr>
                    </w:sdtEndPr>
                    <w:sdtContent>
                      <w:p w14:paraId="0ABCB97D">
                        <w:pPr>
                          <w:pStyle w:val="25"/>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FACC">
    <w:pPr>
      <w:pStyle w:val="25"/>
      <w:ind w:firstLine="420"/>
      <w:jc w:val="center"/>
      <w:rPr>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99578713"/>
                          </w:sdtPr>
                          <w:sdtEndPr>
                            <w:rPr>
                              <w:sz w:val="21"/>
                              <w:szCs w:val="21"/>
                            </w:rPr>
                          </w:sdtEndPr>
                          <w:sdtContent>
                            <w:p w14:paraId="08C3DF22">
                              <w:pPr>
                                <w:pStyle w:val="25"/>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w:t>
                              </w:r>
                              <w:r>
                                <w:rPr>
                                  <w:sz w:val="21"/>
                                  <w:szCs w:val="21"/>
                                </w:rPr>
                                <w:fldChar w:fldCharType="end"/>
                              </w:r>
                            </w:p>
                          </w:sdtContent>
                        </w:sdt>
                        <w:p w14:paraId="5D53CDDA">
                          <w:pPr>
                            <w:ind w:firstLine="420"/>
                            <w:rPr>
                              <w:sz w:val="21"/>
                              <w:szCs w:val="21"/>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sdt>
                    <w:sdtPr>
                      <w:id w:val="-499578713"/>
                    </w:sdtPr>
                    <w:sdtEndPr>
                      <w:rPr>
                        <w:sz w:val="21"/>
                        <w:szCs w:val="21"/>
                      </w:rPr>
                    </w:sdtEndPr>
                    <w:sdtContent>
                      <w:p w14:paraId="08C3DF22">
                        <w:pPr>
                          <w:pStyle w:val="25"/>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w:t>
                        </w:r>
                        <w:r>
                          <w:rPr>
                            <w:sz w:val="21"/>
                            <w:szCs w:val="21"/>
                          </w:rPr>
                          <w:fldChar w:fldCharType="end"/>
                        </w:r>
                      </w:p>
                    </w:sdtContent>
                  </w:sdt>
                  <w:p w14:paraId="5D53CDDA">
                    <w:pPr>
                      <w:ind w:firstLine="420"/>
                      <w:rPr>
                        <w:sz w:val="21"/>
                        <w:szCs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8A57F">
    <w:pPr>
      <w:pStyle w:val="25"/>
      <w:ind w:firstLine="420"/>
      <w:jc w:val="right"/>
      <w:rPr>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AD029">
                          <w:pPr>
                            <w:pStyle w:val="25"/>
                            <w:ind w:firstLine="360"/>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66CAD029">
                    <w:pPr>
                      <w:pStyle w:val="25"/>
                      <w:ind w:firstLine="360"/>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10EE3">
    <w:pPr>
      <w:pStyle w:val="25"/>
      <w:ind w:firstLine="420"/>
      <w:rPr>
        <w:sz w:val="21"/>
        <w:szCs w:val="21"/>
      </w:rPr>
    </w:pPr>
    <w:r>
      <w:rPr>
        <w:sz w:val="21"/>
      </w:rPr>
      <mc:AlternateContent>
        <mc:Choice Requires="wps">
          <w:drawing>
            <wp:anchor distT="0" distB="0" distL="114300" distR="114300" simplePos="0" relativeHeight="251750400" behindDoc="0" locked="0" layoutInCell="1" allowOverlap="1">
              <wp:simplePos x="0" y="0"/>
              <wp:positionH relativeFrom="margin">
                <wp:posOffset>2492375</wp:posOffset>
              </wp:positionH>
              <wp:positionV relativeFrom="paragraph">
                <wp:posOffset>-2540</wp:posOffset>
              </wp:positionV>
              <wp:extent cx="794385" cy="234315"/>
              <wp:effectExtent l="0" t="0" r="5715" b="13970"/>
              <wp:wrapNone/>
              <wp:docPr id="117" name="文本框 117"/>
              <wp:cNvGraphicFramePr/>
              <a:graphic xmlns:a="http://schemas.openxmlformats.org/drawingml/2006/main">
                <a:graphicData uri="http://schemas.microsoft.com/office/word/2010/wordprocessingShape">
                  <wps:wsp>
                    <wps:cNvSpPr txBox="1"/>
                    <wps:spPr>
                      <a:xfrm>
                        <a:off x="0" y="0"/>
                        <a:ext cx="794657" cy="2340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8A6A5">
                          <w:pPr>
                            <w:pStyle w:val="25"/>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6.25pt;margin-top:-0.2pt;height:18.45pt;width:62.55pt;mso-position-horizontal-relative:margin;z-index:251750400;mso-width-relative:page;mso-height-relative:page;" filled="f" stroked="f" coordsize="21600,21600" o:gfxdata="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5M+71wAAAAgBAAAPAAAAAAAAAAEAIAAAACIAAABkcnMvZG93bnJldi54&#10;bWxQSwECFAAUAAAACACHTuJAZhFu2TQCAABZBAAADgAAAAAAAAABACAAAAAmAQAAZHJzL2Uyb0Rv&#10;Yy54bWxQSwUGAAAAAAYABgBZAQAAzAUAAAAA&#10;">
              <v:fill on="f" focussize="0,0"/>
              <v:stroke on="f" weight="0.5pt"/>
              <v:imagedata o:title=""/>
              <o:lock v:ext="edit" aspectratio="f"/>
              <v:textbox inset="0mm,0mm,0mm,0mm">
                <w:txbxContent>
                  <w:p w14:paraId="64B8A6A5">
                    <w:pPr>
                      <w:pStyle w:val="25"/>
                      <w:ind w:firstLine="36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874EA">
    <w:pPr>
      <w:pStyle w:val="25"/>
      <w:ind w:firstLine="360"/>
      <w:jc w:val="center"/>
    </w:pPr>
    <w: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7C8CB">
                          <w:pPr>
                            <w:pStyle w:val="25"/>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zP0o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C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3M/SiwCAABZBAAADgAAAAAAAAABACAAAAAfAQAAZHJzL2Uyb0RvYy54bWxQSwUGAAAAAAYA&#10;BgBZAQAAvQUAAAAA&#10;">
              <v:fill on="f" focussize="0,0"/>
              <v:stroke on="f" weight="0.5pt"/>
              <v:imagedata o:title=""/>
              <o:lock v:ext="edit" aspectratio="f"/>
              <v:textbox inset="0mm,0mm,0mm,0mm" style="mso-fit-shape-to-text:t;">
                <w:txbxContent>
                  <w:p w14:paraId="6CD7C8CB">
                    <w:pPr>
                      <w:pStyle w:val="25"/>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1F808">
    <w:pPr>
      <w:spacing w:line="224" w:lineRule="auto"/>
      <w:ind w:right="361" w:firstLine="360"/>
      <w:jc w:val="center"/>
      <w:rPr>
        <w:rFonts w:hint="eastAsia" w:ascii="等线" w:hAnsi="等线" w:eastAsia="等线" w:cs="等线"/>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B2A28">
                          <w:pPr>
                            <w:pStyle w:val="25"/>
                            <w:ind w:firstLine="360"/>
                          </w:pPr>
                          <w:r>
                            <w:fldChar w:fldCharType="begin"/>
                          </w:r>
                          <w:r>
                            <w:instrText xml:space="preserve"> PAGE  \* MERGEFORMAT </w:instrText>
                          </w:r>
                          <w:r>
                            <w:fldChar w:fldCharType="separate"/>
                          </w:r>
                          <w:r>
                            <w:t>XXIII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sExc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0sExctAgAAWQQAAA4AAAAAAAAAAQAgAAAAHwEAAGRycy9lMm9Eb2MueG1sUEsFBgAAAAAG&#10;AAYAWQEAAL4FAAAAAA==&#10;">
              <v:fill on="f" focussize="0,0"/>
              <v:stroke on="f" weight="0.5pt"/>
              <v:imagedata o:title=""/>
              <o:lock v:ext="edit" aspectratio="f"/>
              <v:textbox inset="0mm,0mm,0mm,0mm" style="mso-fit-shape-to-text:t;">
                <w:txbxContent>
                  <w:p w14:paraId="527B2A28">
                    <w:pPr>
                      <w:pStyle w:val="25"/>
                      <w:ind w:firstLine="360"/>
                    </w:pPr>
                    <w:r>
                      <w:fldChar w:fldCharType="begin"/>
                    </w:r>
                    <w:r>
                      <w:instrText xml:space="preserve"> PAGE  \* MERGEFORMAT </w:instrText>
                    </w:r>
                    <w:r>
                      <w:fldChar w:fldCharType="separate"/>
                    </w:r>
                    <w:r>
                      <w:t>XXIII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6120C">
    <w:pPr>
      <w:spacing w:line="224" w:lineRule="auto"/>
      <w:ind w:right="361" w:firstLine="360"/>
      <w:jc w:val="center"/>
      <w:rPr>
        <w:rFonts w:hint="eastAsia" w:ascii="等线" w:hAnsi="等线" w:eastAsia="等线" w:cs="等线"/>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F146A">
                          <w:pPr>
                            <w:pStyle w:val="25"/>
                            <w:ind w:firstLine="360"/>
                          </w:pPr>
                          <w:r>
                            <w:fldChar w:fldCharType="begin"/>
                          </w:r>
                          <w:r>
                            <w:instrText xml:space="preserve"> PAGE  \* MERGEFORMAT </w:instrText>
                          </w:r>
                          <w:r>
                            <w:fldChar w:fldCharType="separate"/>
                          </w:r>
                          <w:r>
                            <w:t>XXV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DiuE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l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JDiuEtAgAAWQQAAA4AAAAAAAAAAQAgAAAAHwEAAGRycy9lMm9Eb2MueG1sUEsFBgAAAAAG&#10;AAYAWQEAAL4FAAAAAA==&#10;">
              <v:fill on="f" focussize="0,0"/>
              <v:stroke on="f" weight="0.5pt"/>
              <v:imagedata o:title=""/>
              <o:lock v:ext="edit" aspectratio="f"/>
              <v:textbox inset="0mm,0mm,0mm,0mm" style="mso-fit-shape-to-text:t;">
                <w:txbxContent>
                  <w:p w14:paraId="44BF146A">
                    <w:pPr>
                      <w:pStyle w:val="25"/>
                      <w:ind w:firstLine="360"/>
                    </w:pPr>
                    <w:r>
                      <w:fldChar w:fldCharType="begin"/>
                    </w:r>
                    <w:r>
                      <w:instrText xml:space="preserve"> PAGE  \* MERGEFORMAT </w:instrText>
                    </w:r>
                    <w:r>
                      <w:fldChar w:fldCharType="separate"/>
                    </w:r>
                    <w:r>
                      <w:t>XXV</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5A914">
    <w:pPr>
      <w:spacing w:line="224" w:lineRule="auto"/>
      <w:ind w:firstLine="0" w:firstLineChars="0"/>
      <w:jc w:val="center"/>
      <w:rPr>
        <w:rFonts w:hint="eastAsia" w:ascii="等线" w:hAnsi="等线" w:eastAsia="等线" w:cs="等线"/>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posOffset>2413000</wp:posOffset>
              </wp:positionH>
              <wp:positionV relativeFrom="paragraph">
                <wp:posOffset>-15875</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679E9">
                          <w:pPr>
                            <w:pStyle w:val="25"/>
                            <w:ind w:firstLine="360"/>
                          </w:pPr>
                          <w:r>
                            <w:fldChar w:fldCharType="begin"/>
                          </w:r>
                          <w:r>
                            <w:instrText xml:space="preserve"> PAGE  \* MERGEFORMAT </w:instrText>
                          </w:r>
                          <w:r>
                            <w:fldChar w:fldCharType="separate"/>
                          </w:r>
                          <w:r>
                            <w:t>LI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0pt;margin-top:-1.25pt;height:144pt;width:144pt;mso-position-horizontal-relative:margin;mso-wrap-style:none;z-index:251754496;mso-width-relative:page;mso-height-relative:page;" filled="f" stroked="f" coordsize="21600,21600" o:gfxdata="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QS1/2AAAAAoBAAAPAAAAAAAAAAEAIAAAACIAAABkcnMvZG93bnJldi54bWxQSwEC&#10;FAAUAAAACACHTuJAEYsDfi0CAABZBAAADgAAAAAAAAABACAAAAAnAQAAZHJzL2Uyb0RvYy54bWxQ&#10;SwUGAAAAAAYABgBZAQAAxgUAAAAA&#10;">
              <v:fill on="f" focussize="0,0"/>
              <v:stroke on="f" weight="0.5pt"/>
              <v:imagedata o:title=""/>
              <o:lock v:ext="edit" aspectratio="f"/>
              <v:textbox inset="0mm,0mm,0mm,0mm" style="mso-fit-shape-to-text:t;">
                <w:txbxContent>
                  <w:p w14:paraId="317679E9">
                    <w:pPr>
                      <w:pStyle w:val="25"/>
                      <w:ind w:firstLine="360"/>
                    </w:pPr>
                    <w:r>
                      <w:fldChar w:fldCharType="begin"/>
                    </w:r>
                    <w:r>
                      <w:instrText xml:space="preserve"> PAGE  \* MERGEFORMAT </w:instrText>
                    </w:r>
                    <w:r>
                      <w:fldChar w:fldCharType="separate"/>
                    </w:r>
                    <w:r>
                      <w:t>LI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CFB">
    <w:pPr>
      <w:pStyle w:val="2"/>
      <w:pBdr>
        <w:bottom w:val="thinThickSmallGap" w:color="auto" w:sz="24" w:space="1"/>
      </w:pBdr>
      <w:ind w:firstLine="360"/>
    </w:pPr>
    <w:r>
      <w:rPr>
        <w:rFonts w:hint="eastAsia"/>
      </w:rPr>
      <w:t>木垒县雀仁乡正格勒得村2024年养殖小区建设项目环境影响报告书</w:t>
    </w:r>
  </w:p>
  <w:p w14:paraId="4E14048E">
    <w:pPr>
      <w:pStyle w:val="2"/>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B178">
    <w:pPr>
      <w:spacing w:line="219" w:lineRule="auto"/>
      <w:ind w:firstLine="0" w:firstLineChars="0"/>
      <w:jc w:val="center"/>
      <w:rPr>
        <w:rFonts w:hint="eastAsia" w:ascii="宋体" w:hAnsi="宋体" w:cs="宋体"/>
        <w:sz w:val="18"/>
        <w:szCs w:val="18"/>
      </w:rPr>
    </w:pPr>
    <w:r>
      <mc:AlternateContent>
        <mc:Choice Requires="wps">
          <w:drawing>
            <wp:anchor distT="0" distB="0" distL="114300" distR="114300" simplePos="0" relativeHeight="251747328" behindDoc="0" locked="0" layoutInCell="0" allowOverlap="1">
              <wp:simplePos x="0" y="0"/>
              <wp:positionH relativeFrom="page">
                <wp:posOffset>988695</wp:posOffset>
              </wp:positionH>
              <wp:positionV relativeFrom="page">
                <wp:posOffset>701675</wp:posOffset>
              </wp:positionV>
              <wp:extent cx="5690870" cy="9525"/>
              <wp:effectExtent l="0" t="0" r="0" b="0"/>
              <wp:wrapNone/>
              <wp:docPr id="107" name="任意多边形 107"/>
              <wp:cNvGraphicFramePr/>
              <a:graphic xmlns:a="http://schemas.openxmlformats.org/drawingml/2006/main">
                <a:graphicData uri="http://schemas.microsoft.com/office/word/2010/wordprocessingShape">
                  <wps:wsp>
                    <wps:cNvSpPr/>
                    <wps:spPr>
                      <a:xfrm>
                        <a:off x="0" y="0"/>
                        <a:ext cx="5690870" cy="9525"/>
                      </a:xfrm>
                      <a:custGeom>
                        <a:avLst/>
                        <a:gdLst/>
                        <a:ahLst/>
                        <a:cxnLst/>
                        <a:rect l="0" t="0" r="0" b="0"/>
                        <a:pathLst>
                          <a:path w="8962" h="15">
                            <a:moveTo>
                              <a:pt x="0" y="14"/>
                            </a:moveTo>
                            <a:lnTo>
                              <a:pt x="8961" y="14"/>
                            </a:lnTo>
                            <a:lnTo>
                              <a:pt x="8961"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7.85pt;margin-top:55.25pt;height:0.75pt;width:448.1pt;mso-position-horizontal-relative:page;mso-position-vertical-relative:page;z-index:251747328;mso-width-relative:page;mso-height-relative:page;" fillcolor="#000000" filled="t" stroked="f" coordsize="8962,15" o:allowincell="f" o:gfxdata="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Xl/x2QAA&#10;AAwBAAAPAAAAAAAAAAEAIAAAACIAAABkcnMvZG93bnJldi54bWxQSwECFAAUAAAACACHTuJAh4Xm&#10;mR0CAAChBAAADgAAAAAAAAABACAAAAAoAQAAZHJzL2Uyb0RvYy54bWxQSwUGAAAAAAYABgBZAQAA&#10;twUAAAAA&#10;" path="m0,14l8961,14,8961,0,0,0,0,14xe">
              <v:fill on="t" focussize="0,0"/>
              <v:stroke on="f"/>
              <v:imagedata o:title=""/>
              <o:lock v:ext="edit" aspectratio="f"/>
            </v:shape>
          </w:pict>
        </mc:Fallback>
      </mc:AlternateContent>
    </w:r>
    <w:r>
      <w:rPr>
        <w:rFonts w:hint="eastAsia" w:ascii="宋体" w:hAnsi="宋体" w:cs="宋体"/>
        <w:spacing w:val="-1"/>
        <w:sz w:val="18"/>
        <w:szCs w:val="18"/>
      </w:rPr>
      <w:t>木垒县雀仁乡正格勒得村2024年养殖小区建设项目环境影响报告书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DC34E">
    <w:pPr>
      <w:pStyle w:val="2"/>
      <w:pBdr>
        <w:bottom w:val="thinThickSmallGap" w:color="auto" w:sz="24" w:space="1"/>
      </w:pBdr>
      <w:ind w:firstLine="0" w:firstLineChars="0"/>
    </w:pPr>
  </w:p>
  <w:p w14:paraId="651A740F">
    <w:pPr>
      <w:pStyle w:val="2"/>
      <w:pBdr>
        <w:bottom w:val="thinThickSmallGap" w:color="auto" w:sz="24" w:space="1"/>
      </w:pBdr>
      <w:ind w:firstLine="0" w:firstLineChars="0"/>
    </w:pPr>
    <w:r>
      <w:rPr>
        <w:rFonts w:hint="eastAsia"/>
      </w:rPr>
      <w:t>木垒县雀仁乡正格勒得村2024年养殖小区建设项目环境影响报告书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056D">
    <w:pPr>
      <w:pStyle w:val="2"/>
      <w:pBdr>
        <w:bottom w:val="thinThickSmallGap" w:color="auto" w:sz="24" w:space="1"/>
      </w:pBdr>
      <w:ind w:firstLine="360"/>
    </w:pPr>
    <w:r>
      <w:rPr>
        <w:rFonts w:hint="eastAsia"/>
      </w:rPr>
      <w:t>木垒县雀仁乡正格勒得村2024年养殖小区建设项目环境影响报告书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C982E">
    <w:pPr>
      <w:pStyle w:val="2"/>
      <w:pBdr>
        <w:bottom w:val="thinThickSmallGap" w:color="auto" w:sz="24" w:space="1"/>
      </w:pBdr>
      <w:ind w:firstLine="360"/>
    </w:pPr>
    <w:r>
      <w:rPr>
        <w:rFonts w:hint="eastAsia"/>
      </w:rPr>
      <w:t>木垒县雀仁乡正格勒得村2024年养殖小区建设项目环境影响报告书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713DA">
    <w:pPr>
      <w:pStyle w:val="2"/>
      <w:pBdr>
        <w:bottom w:val="double" w:color="auto" w:sz="8" w:space="1"/>
      </w:pBdr>
      <w:ind w:firstLine="0" w:firstLineChars="0"/>
    </w:pPr>
    <w:r>
      <w:rPr>
        <w:rFonts w:hint="eastAsia"/>
      </w:rPr>
      <w:t>木垒县雀仁乡正格勒得村2024年养殖小区建设项目环境影响报告书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FB2A9">
    <w:pPr>
      <w:pStyle w:val="2"/>
      <w:pBdr>
        <w:bottom w:val="thinThickSmallGap" w:color="auto" w:sz="24" w:space="1"/>
      </w:pBdr>
      <w:ind w:firstLine="0" w:firstLineChars="0"/>
    </w:pPr>
    <w:r>
      <w:rPr>
        <w:rFonts w:hint="eastAsia"/>
      </w:rPr>
      <w:t>木垒县雀仁乡正格勒得村2024年养殖小区建设项目环境影响报告书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31EF">
    <w:pPr>
      <w:pStyle w:val="2"/>
      <w:pBdr>
        <w:bottom w:val="thinThickSmallGap" w:color="auto" w:sz="24" w:space="1"/>
      </w:pBdr>
      <w:ind w:firstLine="360"/>
    </w:pPr>
    <w:r>
      <w:rPr>
        <w:rFonts w:hint="eastAsia"/>
      </w:rPr>
      <w:t>木垒县雀仁乡正格勒得村2024年养殖小区建设项目环境影响报告书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6763">
    <w:pPr>
      <w:ind w:firstLine="0" w:firstLineChars="0"/>
      <w:jc w:val="center"/>
      <w:rPr>
        <w:rFonts w:hint="eastAsia" w:ascii="等线" w:hAnsi="等线" w:eastAsia="等线" w:cs="等线"/>
        <w:sz w:val="18"/>
        <w:szCs w:val="18"/>
      </w:rPr>
    </w:pPr>
    <w:r>
      <mc:AlternateContent>
        <mc:Choice Requires="wps">
          <w:drawing>
            <wp:anchor distT="0" distB="0" distL="114300" distR="114300" simplePos="0" relativeHeight="251744256" behindDoc="0" locked="0" layoutInCell="0" allowOverlap="1">
              <wp:simplePos x="0" y="0"/>
              <wp:positionH relativeFrom="page">
                <wp:posOffset>1122045</wp:posOffset>
              </wp:positionH>
              <wp:positionV relativeFrom="page">
                <wp:posOffset>708660</wp:posOffset>
              </wp:positionV>
              <wp:extent cx="5317490" cy="9525"/>
              <wp:effectExtent l="0" t="0" r="0" b="0"/>
              <wp:wrapNone/>
              <wp:docPr id="40" name="任意多边形 40"/>
              <wp:cNvGraphicFramePr/>
              <a:graphic xmlns:a="http://schemas.openxmlformats.org/drawingml/2006/main">
                <a:graphicData uri="http://schemas.microsoft.com/office/word/2010/wordprocessingShape">
                  <wps:wsp>
                    <wps:cNvSpPr/>
                    <wps:spPr>
                      <a:xfrm>
                        <a:off x="0" y="0"/>
                        <a:ext cx="5317490" cy="9525"/>
                      </a:xfrm>
                      <a:custGeom>
                        <a:avLst/>
                        <a:gdLst/>
                        <a:ahLst/>
                        <a:cxnLst/>
                        <a:rect l="0" t="0" r="0" b="0"/>
                        <a:pathLst>
                          <a:path w="8374" h="15">
                            <a:moveTo>
                              <a:pt x="0" y="14"/>
                            </a:moveTo>
                            <a:lnTo>
                              <a:pt x="8373" y="14"/>
                            </a:lnTo>
                            <a:lnTo>
                              <a:pt x="837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35pt;margin-top:55.8pt;height:0.75pt;width:418.7pt;mso-position-horizontal-relative:page;mso-position-vertical-relative:page;z-index:251744256;mso-width-relative:page;mso-height-relative:page;" fillcolor="#000000" filled="t" stroked="f" coordsize="8374,15" o:allowincell="f" o:gfxdata="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fmTdYAAAAMAQAA&#10;DwAAAAAAAAABACAAAAAiAAAAZHJzL2Rvd25yZXYueG1sUEsBAhQAFAAAAAgAh07iQOWab6YbAgAA&#10;nwQAAA4AAAAAAAAAAQAgAAAAJQEAAGRycy9lMm9Eb2MueG1sUEsFBgAAAAAGAAYAWQEAALIFAAAA&#10;AA==&#10;" path="m0,14l8373,14,8373,0,0,0,0,14xe">
              <v:fill on="t" focussize="0,0"/>
              <v:stroke on="f"/>
              <v:imagedata o:title=""/>
              <o:lock v:ext="edit" aspectratio="f"/>
            </v:shape>
          </w:pict>
        </mc:Fallback>
      </mc:AlternateContent>
    </w:r>
    <w:r>
      <w:rPr>
        <w:rFonts w:hint="eastAsia" w:ascii="等线" w:hAnsi="等线" w:eastAsia="等线" w:cs="等线"/>
        <w:spacing w:val="-1"/>
        <w:sz w:val="18"/>
        <w:szCs w:val="18"/>
      </w:rPr>
      <w:t>木垒县雀仁乡正格勒得村2024年养殖小区建设项目</w:t>
    </w:r>
    <w:r>
      <w:rPr>
        <w:rFonts w:ascii="等线" w:hAnsi="等线" w:eastAsia="等线" w:cs="等线"/>
        <w:sz w:val="18"/>
        <w:szCs w:val="18"/>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B3923">
    <w:pPr>
      <w:spacing w:line="226" w:lineRule="auto"/>
      <w:ind w:firstLine="0" w:firstLineChars="0"/>
      <w:jc w:val="center"/>
      <w:rPr>
        <w:rFonts w:hint="eastAsia" w:ascii="等线" w:hAnsi="等线" w:eastAsia="等线" w:cs="等线"/>
        <w:sz w:val="18"/>
        <w:szCs w:val="18"/>
      </w:rPr>
    </w:pPr>
    <w:r>
      <mc:AlternateContent>
        <mc:Choice Requires="wps">
          <w:drawing>
            <wp:anchor distT="0" distB="0" distL="114300" distR="114300" simplePos="0" relativeHeight="251745280" behindDoc="0" locked="0" layoutInCell="0" allowOverlap="1">
              <wp:simplePos x="0" y="0"/>
              <wp:positionH relativeFrom="page">
                <wp:posOffset>1123950</wp:posOffset>
              </wp:positionH>
              <wp:positionV relativeFrom="page">
                <wp:posOffset>708660</wp:posOffset>
              </wp:positionV>
              <wp:extent cx="5313680" cy="9525"/>
              <wp:effectExtent l="0" t="0" r="0" b="0"/>
              <wp:wrapNone/>
              <wp:docPr id="43" name="任意多边形 43"/>
              <wp:cNvGraphicFramePr/>
              <a:graphic xmlns:a="http://schemas.openxmlformats.org/drawingml/2006/main">
                <a:graphicData uri="http://schemas.microsoft.com/office/word/2010/wordprocessingShape">
                  <wps:wsp>
                    <wps:cNvSpPr/>
                    <wps:spPr>
                      <a:xfrm>
                        <a:off x="0" y="0"/>
                        <a:ext cx="5313680" cy="9525"/>
                      </a:xfrm>
                      <a:custGeom>
                        <a:avLst/>
                        <a:gdLst/>
                        <a:ahLst/>
                        <a:cxnLst/>
                        <a:rect l="0" t="0" r="0" b="0"/>
                        <a:pathLst>
                          <a:path w="8367" h="15">
                            <a:moveTo>
                              <a:pt x="0" y="14"/>
                            </a:moveTo>
                            <a:lnTo>
                              <a:pt x="8367" y="14"/>
                            </a:lnTo>
                            <a:lnTo>
                              <a:pt x="836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pt;margin-top:55.8pt;height:0.75pt;width:418.4pt;mso-position-horizontal-relative:page;mso-position-vertical-relative:page;z-index:251745280;mso-width-relative:page;mso-height-relative:page;" fillcolor="#000000" filled="t" stroked="f" coordsize="8367,15" o:allowincell="f" o:gfxdata="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YXn82AAAAAwB&#10;AAAPAAAAAAAAAAEAIAAAACIAAABkcnMvZG93bnJldi54bWxQSwECFAAUAAAACACHTuJA0otz+hsC&#10;AACfBAAADgAAAAAAAAABACAAAAAnAQAAZHJzL2Uyb0RvYy54bWxQSwUGAAAAAAYABgBZAQAAtAUA&#10;AAAA&#10;" path="m0,14l8367,14,8367,0,0,0,0,14xe">
              <v:fill on="t" focussize="0,0"/>
              <v:stroke on="f"/>
              <v:imagedata o:title=""/>
              <o:lock v:ext="edit" aspectratio="f"/>
            </v:shape>
          </w:pict>
        </mc:Fallback>
      </mc:AlternateContent>
    </w:r>
    <w:r>
      <w:rPr>
        <w:rFonts w:hint="eastAsia" w:ascii="等线" w:hAnsi="等线" w:eastAsia="等线" w:cs="等线"/>
        <w:spacing w:val="-1"/>
        <w:sz w:val="18"/>
        <w:szCs w:val="18"/>
      </w:rPr>
      <w:t>木垒县雀仁乡正格勒得村2024年养殖小区建设项目</w:t>
    </w:r>
    <w:r>
      <w:rPr>
        <w:rFonts w:ascii="等线" w:hAnsi="等线" w:eastAsia="等线" w:cs="等线"/>
        <w:sz w:val="18"/>
        <w:szCs w:val="18"/>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36DC6">
    <w:pPr>
      <w:spacing w:line="226" w:lineRule="auto"/>
      <w:ind w:firstLine="0" w:firstLineChars="0"/>
      <w:jc w:val="center"/>
      <w:rPr>
        <w:rFonts w:hint="eastAsia" w:ascii="等线" w:hAnsi="等线" w:cs="等线"/>
        <w:sz w:val="18"/>
        <w:szCs w:val="18"/>
      </w:rPr>
    </w:pPr>
    <w:r>
      <mc:AlternateContent>
        <mc:Choice Requires="wps">
          <w:drawing>
            <wp:anchor distT="0" distB="0" distL="114300" distR="114300" simplePos="0" relativeHeight="251746304" behindDoc="0" locked="0" layoutInCell="0" allowOverlap="1">
              <wp:simplePos x="0" y="0"/>
              <wp:positionH relativeFrom="page">
                <wp:posOffset>1123950</wp:posOffset>
              </wp:positionH>
              <wp:positionV relativeFrom="page">
                <wp:posOffset>708660</wp:posOffset>
              </wp:positionV>
              <wp:extent cx="5313680" cy="9525"/>
              <wp:effectExtent l="0" t="0" r="0" b="0"/>
              <wp:wrapNone/>
              <wp:docPr id="45" name="任意多边形 45"/>
              <wp:cNvGraphicFramePr/>
              <a:graphic xmlns:a="http://schemas.openxmlformats.org/drawingml/2006/main">
                <a:graphicData uri="http://schemas.microsoft.com/office/word/2010/wordprocessingShape">
                  <wps:wsp>
                    <wps:cNvSpPr/>
                    <wps:spPr>
                      <a:xfrm>
                        <a:off x="0" y="0"/>
                        <a:ext cx="5313680" cy="9525"/>
                      </a:xfrm>
                      <a:custGeom>
                        <a:avLst/>
                        <a:gdLst/>
                        <a:ahLst/>
                        <a:cxnLst/>
                        <a:rect l="0" t="0" r="0" b="0"/>
                        <a:pathLst>
                          <a:path w="8367" h="15">
                            <a:moveTo>
                              <a:pt x="0" y="14"/>
                            </a:moveTo>
                            <a:lnTo>
                              <a:pt x="8367" y="14"/>
                            </a:lnTo>
                            <a:lnTo>
                              <a:pt x="836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pt;margin-top:55.8pt;height:0.75pt;width:418.4pt;mso-position-horizontal-relative:page;mso-position-vertical-relative:page;z-index:251746304;mso-width-relative:page;mso-height-relative:page;" fillcolor="#000000" filled="t" stroked="f" coordsize="8367,15" o:allowincell="f" o:gfxdata="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mF5/NgAAAAM&#10;AQAADwAAAAAAAAABACAAAAAiAAAAZHJzL2Rvd25yZXYueG1sUEsBAhQAFAAAAAgAh07iQCJVe08c&#10;AgAAnwQAAA4AAAAAAAAAAQAgAAAAJwEAAGRycy9lMm9Eb2MueG1sUEsFBgAAAAAGAAYAWQEAALUF&#10;AAAAAA==&#10;" path="m0,14l8367,14,8367,0,0,0,0,14xe">
              <v:fill on="t" focussize="0,0"/>
              <v:stroke on="f"/>
              <v:imagedata o:title=""/>
              <o:lock v:ext="edit" aspectratio="f"/>
            </v:shape>
          </w:pict>
        </mc:Fallback>
      </mc:AlternateContent>
    </w:r>
    <w:r>
      <w:rPr>
        <w:rFonts w:hint="eastAsia" w:ascii="等线" w:hAnsi="等线" w:eastAsia="等线" w:cs="等线"/>
        <w:spacing w:val="-1"/>
        <w:sz w:val="18"/>
        <w:szCs w:val="18"/>
      </w:rPr>
      <w:t>木垒县雀仁乡正格勒得村2024年养殖小区建设项目环境影响报告书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BCC6C"/>
    <w:multiLevelType w:val="singleLevel"/>
    <w:tmpl w:val="D9BBCC6C"/>
    <w:lvl w:ilvl="0" w:tentative="0">
      <w:start w:val="1"/>
      <w:numFmt w:val="decimal"/>
      <w:suff w:val="nothing"/>
      <w:lvlText w:val="（%1）"/>
      <w:lvlJc w:val="left"/>
    </w:lvl>
  </w:abstractNum>
  <w:abstractNum w:abstractNumId="1">
    <w:nsid w:val="00A2064D"/>
    <w:multiLevelType w:val="multilevel"/>
    <w:tmpl w:val="00A2064D"/>
    <w:lvl w:ilvl="0" w:tentative="0">
      <w:start w:val="1"/>
      <w:numFmt w:val="decimal"/>
      <w:suff w:val="space"/>
      <w:lvlText w:val="%1"/>
      <w:lvlJc w:val="left"/>
      <w:pPr>
        <w:ind w:left="0" w:firstLine="0"/>
      </w:pPr>
      <w:rPr>
        <w:rFonts w:hint="eastAsia" w:ascii="黑体" w:eastAsia="黑体"/>
        <w:b/>
        <w:i w:val="0"/>
        <w:sz w:val="36"/>
        <w:szCs w:val="36"/>
      </w:rPr>
    </w:lvl>
    <w:lvl w:ilvl="1" w:tentative="0">
      <w:start w:val="1"/>
      <w:numFmt w:val="decimal"/>
      <w:suff w:val="space"/>
      <w:lvlText w:val="%1.%2"/>
      <w:lvlJc w:val="left"/>
      <w:pPr>
        <w:ind w:left="0" w:firstLine="0"/>
      </w:pPr>
      <w:rPr>
        <w:rFonts w:hint="default" w:ascii="Times New Roman" w:hAnsi="Times New Roman" w:eastAsia="黑体"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suff w:val="space"/>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130"/>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42C5C27D"/>
    <w:multiLevelType w:val="singleLevel"/>
    <w:tmpl w:val="42C5C27D"/>
    <w:lvl w:ilvl="0" w:tentative="0">
      <w:start w:val="1"/>
      <w:numFmt w:val="decimal"/>
      <w:suff w:val="nothing"/>
      <w:lvlText w:val="（%1）"/>
      <w:lvlJc w:val="left"/>
    </w:lvl>
  </w:abstractNum>
  <w:abstractNum w:abstractNumId="3">
    <w:nsid w:val="47DFA077"/>
    <w:multiLevelType w:val="singleLevel"/>
    <w:tmpl w:val="47DFA077"/>
    <w:lvl w:ilvl="0" w:tentative="0">
      <w:start w:val="8"/>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JiOGYwNDU3MTQxNTI2N2U2NjcwOGRlYThlYTJlNDgifQ=="/>
  </w:docVars>
  <w:rsids>
    <w:rsidRoot w:val="00332B32"/>
    <w:rsid w:val="0000036F"/>
    <w:rsid w:val="0000037F"/>
    <w:rsid w:val="00000BC6"/>
    <w:rsid w:val="00002AB7"/>
    <w:rsid w:val="00002DBA"/>
    <w:rsid w:val="00003628"/>
    <w:rsid w:val="000045A9"/>
    <w:rsid w:val="00004C6C"/>
    <w:rsid w:val="0000552F"/>
    <w:rsid w:val="0000567F"/>
    <w:rsid w:val="00005CE5"/>
    <w:rsid w:val="00005DD8"/>
    <w:rsid w:val="0000629E"/>
    <w:rsid w:val="00006DE7"/>
    <w:rsid w:val="000118E0"/>
    <w:rsid w:val="00012856"/>
    <w:rsid w:val="00012D55"/>
    <w:rsid w:val="000135F4"/>
    <w:rsid w:val="00014425"/>
    <w:rsid w:val="0001451E"/>
    <w:rsid w:val="00014686"/>
    <w:rsid w:val="000148DD"/>
    <w:rsid w:val="00015472"/>
    <w:rsid w:val="00015A3F"/>
    <w:rsid w:val="00015B32"/>
    <w:rsid w:val="00015CD7"/>
    <w:rsid w:val="000167E7"/>
    <w:rsid w:val="00016AF7"/>
    <w:rsid w:val="00020334"/>
    <w:rsid w:val="000205C1"/>
    <w:rsid w:val="00022429"/>
    <w:rsid w:val="0002263F"/>
    <w:rsid w:val="0002277B"/>
    <w:rsid w:val="000227D5"/>
    <w:rsid w:val="00022A97"/>
    <w:rsid w:val="00022C0C"/>
    <w:rsid w:val="00022EB1"/>
    <w:rsid w:val="00022F32"/>
    <w:rsid w:val="0002306F"/>
    <w:rsid w:val="0002373E"/>
    <w:rsid w:val="00024B3C"/>
    <w:rsid w:val="000262BF"/>
    <w:rsid w:val="00026728"/>
    <w:rsid w:val="000268F6"/>
    <w:rsid w:val="000269AD"/>
    <w:rsid w:val="00027773"/>
    <w:rsid w:val="00027CB9"/>
    <w:rsid w:val="000307AA"/>
    <w:rsid w:val="00031AEF"/>
    <w:rsid w:val="00031B94"/>
    <w:rsid w:val="0003204A"/>
    <w:rsid w:val="000323C5"/>
    <w:rsid w:val="00032AAC"/>
    <w:rsid w:val="00033215"/>
    <w:rsid w:val="00033D71"/>
    <w:rsid w:val="000345AD"/>
    <w:rsid w:val="00034814"/>
    <w:rsid w:val="000355D6"/>
    <w:rsid w:val="00035709"/>
    <w:rsid w:val="0003675A"/>
    <w:rsid w:val="00036AE2"/>
    <w:rsid w:val="00036B69"/>
    <w:rsid w:val="00036F82"/>
    <w:rsid w:val="000379D2"/>
    <w:rsid w:val="000406A3"/>
    <w:rsid w:val="0004157A"/>
    <w:rsid w:val="000415FF"/>
    <w:rsid w:val="00042376"/>
    <w:rsid w:val="00042615"/>
    <w:rsid w:val="00042FC1"/>
    <w:rsid w:val="0004532C"/>
    <w:rsid w:val="000457CE"/>
    <w:rsid w:val="000458F0"/>
    <w:rsid w:val="00046F68"/>
    <w:rsid w:val="00047895"/>
    <w:rsid w:val="00047C5F"/>
    <w:rsid w:val="00047C92"/>
    <w:rsid w:val="000503B1"/>
    <w:rsid w:val="00050431"/>
    <w:rsid w:val="00050B4A"/>
    <w:rsid w:val="00051656"/>
    <w:rsid w:val="00051B3B"/>
    <w:rsid w:val="00051C73"/>
    <w:rsid w:val="00052059"/>
    <w:rsid w:val="00052731"/>
    <w:rsid w:val="00053C50"/>
    <w:rsid w:val="000565A6"/>
    <w:rsid w:val="0005749F"/>
    <w:rsid w:val="00057516"/>
    <w:rsid w:val="0005784C"/>
    <w:rsid w:val="00057E0B"/>
    <w:rsid w:val="00057E4F"/>
    <w:rsid w:val="0006078A"/>
    <w:rsid w:val="00061177"/>
    <w:rsid w:val="00061966"/>
    <w:rsid w:val="000622D7"/>
    <w:rsid w:val="00063177"/>
    <w:rsid w:val="00063AFB"/>
    <w:rsid w:val="00064D12"/>
    <w:rsid w:val="00064DA7"/>
    <w:rsid w:val="00064F5C"/>
    <w:rsid w:val="00066278"/>
    <w:rsid w:val="000677AA"/>
    <w:rsid w:val="00070115"/>
    <w:rsid w:val="000701EF"/>
    <w:rsid w:val="000702AA"/>
    <w:rsid w:val="0007034D"/>
    <w:rsid w:val="000705E5"/>
    <w:rsid w:val="00071002"/>
    <w:rsid w:val="0007161B"/>
    <w:rsid w:val="00071657"/>
    <w:rsid w:val="000721D4"/>
    <w:rsid w:val="00072AB7"/>
    <w:rsid w:val="00072BF2"/>
    <w:rsid w:val="00072EEB"/>
    <w:rsid w:val="00073342"/>
    <w:rsid w:val="00073A7D"/>
    <w:rsid w:val="00073B3D"/>
    <w:rsid w:val="000740CD"/>
    <w:rsid w:val="00074FE8"/>
    <w:rsid w:val="000754FE"/>
    <w:rsid w:val="0007766A"/>
    <w:rsid w:val="0008086A"/>
    <w:rsid w:val="00080ADA"/>
    <w:rsid w:val="00081127"/>
    <w:rsid w:val="0008154E"/>
    <w:rsid w:val="00081CE9"/>
    <w:rsid w:val="00082C42"/>
    <w:rsid w:val="00083122"/>
    <w:rsid w:val="0008387B"/>
    <w:rsid w:val="00083B4F"/>
    <w:rsid w:val="00083C4B"/>
    <w:rsid w:val="0008494F"/>
    <w:rsid w:val="00085732"/>
    <w:rsid w:val="00085A2E"/>
    <w:rsid w:val="00086550"/>
    <w:rsid w:val="000867C3"/>
    <w:rsid w:val="000868C8"/>
    <w:rsid w:val="00086E17"/>
    <w:rsid w:val="00086E55"/>
    <w:rsid w:val="00091719"/>
    <w:rsid w:val="000924ED"/>
    <w:rsid w:val="000927BC"/>
    <w:rsid w:val="00092D94"/>
    <w:rsid w:val="000938DC"/>
    <w:rsid w:val="00094119"/>
    <w:rsid w:val="00094A1C"/>
    <w:rsid w:val="00095D49"/>
    <w:rsid w:val="00096093"/>
    <w:rsid w:val="0009676A"/>
    <w:rsid w:val="00097356"/>
    <w:rsid w:val="000A14EF"/>
    <w:rsid w:val="000A1E30"/>
    <w:rsid w:val="000A2064"/>
    <w:rsid w:val="000A2133"/>
    <w:rsid w:val="000A2E76"/>
    <w:rsid w:val="000A38DD"/>
    <w:rsid w:val="000A4D52"/>
    <w:rsid w:val="000A7786"/>
    <w:rsid w:val="000B05CA"/>
    <w:rsid w:val="000B1C7E"/>
    <w:rsid w:val="000B1EC6"/>
    <w:rsid w:val="000B285C"/>
    <w:rsid w:val="000B2EAD"/>
    <w:rsid w:val="000B3B39"/>
    <w:rsid w:val="000B3F5A"/>
    <w:rsid w:val="000B44E9"/>
    <w:rsid w:val="000B4A2E"/>
    <w:rsid w:val="000B4A8D"/>
    <w:rsid w:val="000B5AB1"/>
    <w:rsid w:val="000B61F3"/>
    <w:rsid w:val="000C098F"/>
    <w:rsid w:val="000C09AE"/>
    <w:rsid w:val="000C16E5"/>
    <w:rsid w:val="000C1AC2"/>
    <w:rsid w:val="000C1AFB"/>
    <w:rsid w:val="000C26AA"/>
    <w:rsid w:val="000C26F3"/>
    <w:rsid w:val="000C298B"/>
    <w:rsid w:val="000C3641"/>
    <w:rsid w:val="000C3B28"/>
    <w:rsid w:val="000C3E87"/>
    <w:rsid w:val="000C5BD4"/>
    <w:rsid w:val="000C5D64"/>
    <w:rsid w:val="000C68B8"/>
    <w:rsid w:val="000C77F9"/>
    <w:rsid w:val="000D0166"/>
    <w:rsid w:val="000D1667"/>
    <w:rsid w:val="000D25E4"/>
    <w:rsid w:val="000D290A"/>
    <w:rsid w:val="000D3B84"/>
    <w:rsid w:val="000D47EF"/>
    <w:rsid w:val="000D498B"/>
    <w:rsid w:val="000D4A00"/>
    <w:rsid w:val="000D4C7D"/>
    <w:rsid w:val="000D6018"/>
    <w:rsid w:val="000D6298"/>
    <w:rsid w:val="000D6C73"/>
    <w:rsid w:val="000D7552"/>
    <w:rsid w:val="000E02AE"/>
    <w:rsid w:val="000E04CD"/>
    <w:rsid w:val="000E1E74"/>
    <w:rsid w:val="000E20D0"/>
    <w:rsid w:val="000E65F0"/>
    <w:rsid w:val="000E67AE"/>
    <w:rsid w:val="000E6CE4"/>
    <w:rsid w:val="000E7179"/>
    <w:rsid w:val="000E78F5"/>
    <w:rsid w:val="000E7EE1"/>
    <w:rsid w:val="000F0C55"/>
    <w:rsid w:val="000F1B9E"/>
    <w:rsid w:val="000F20A1"/>
    <w:rsid w:val="000F2796"/>
    <w:rsid w:val="000F2AC4"/>
    <w:rsid w:val="000F3528"/>
    <w:rsid w:val="000F35A4"/>
    <w:rsid w:val="000F380F"/>
    <w:rsid w:val="000F3B17"/>
    <w:rsid w:val="000F415E"/>
    <w:rsid w:val="00101698"/>
    <w:rsid w:val="00101B19"/>
    <w:rsid w:val="00101F9C"/>
    <w:rsid w:val="00102374"/>
    <w:rsid w:val="00102397"/>
    <w:rsid w:val="00103E56"/>
    <w:rsid w:val="00104382"/>
    <w:rsid w:val="00104865"/>
    <w:rsid w:val="00104B3D"/>
    <w:rsid w:val="0010508F"/>
    <w:rsid w:val="001054C9"/>
    <w:rsid w:val="001059F0"/>
    <w:rsid w:val="00105EE8"/>
    <w:rsid w:val="00106311"/>
    <w:rsid w:val="00106572"/>
    <w:rsid w:val="00106B47"/>
    <w:rsid w:val="00107468"/>
    <w:rsid w:val="00110052"/>
    <w:rsid w:val="00110E17"/>
    <w:rsid w:val="00111E6C"/>
    <w:rsid w:val="00112157"/>
    <w:rsid w:val="00112D67"/>
    <w:rsid w:val="0011375F"/>
    <w:rsid w:val="00113DF4"/>
    <w:rsid w:val="00114342"/>
    <w:rsid w:val="00114A7B"/>
    <w:rsid w:val="00114B94"/>
    <w:rsid w:val="00114BA5"/>
    <w:rsid w:val="00114F91"/>
    <w:rsid w:val="00115AB4"/>
    <w:rsid w:val="001160DF"/>
    <w:rsid w:val="001163D9"/>
    <w:rsid w:val="00116B61"/>
    <w:rsid w:val="00116D4A"/>
    <w:rsid w:val="001174A4"/>
    <w:rsid w:val="001175D8"/>
    <w:rsid w:val="001178AF"/>
    <w:rsid w:val="001178D7"/>
    <w:rsid w:val="00117D9C"/>
    <w:rsid w:val="001202FF"/>
    <w:rsid w:val="00120CC6"/>
    <w:rsid w:val="0012104C"/>
    <w:rsid w:val="00122666"/>
    <w:rsid w:val="00122BF7"/>
    <w:rsid w:val="0012314A"/>
    <w:rsid w:val="001236CF"/>
    <w:rsid w:val="001236DE"/>
    <w:rsid w:val="0012392F"/>
    <w:rsid w:val="00123B07"/>
    <w:rsid w:val="00124621"/>
    <w:rsid w:val="00125617"/>
    <w:rsid w:val="00125736"/>
    <w:rsid w:val="0012576E"/>
    <w:rsid w:val="001261F6"/>
    <w:rsid w:val="0012678C"/>
    <w:rsid w:val="00126DB8"/>
    <w:rsid w:val="0012719E"/>
    <w:rsid w:val="0012743C"/>
    <w:rsid w:val="00127646"/>
    <w:rsid w:val="00127B6E"/>
    <w:rsid w:val="00127E24"/>
    <w:rsid w:val="001307DB"/>
    <w:rsid w:val="00131D37"/>
    <w:rsid w:val="00132921"/>
    <w:rsid w:val="00132B62"/>
    <w:rsid w:val="00132D61"/>
    <w:rsid w:val="00134AB5"/>
    <w:rsid w:val="001352DA"/>
    <w:rsid w:val="00135551"/>
    <w:rsid w:val="0013671C"/>
    <w:rsid w:val="00136C01"/>
    <w:rsid w:val="00136C97"/>
    <w:rsid w:val="00137894"/>
    <w:rsid w:val="00137D24"/>
    <w:rsid w:val="00140B69"/>
    <w:rsid w:val="00141759"/>
    <w:rsid w:val="00141B99"/>
    <w:rsid w:val="0014203D"/>
    <w:rsid w:val="0014247C"/>
    <w:rsid w:val="0014280F"/>
    <w:rsid w:val="001428C9"/>
    <w:rsid w:val="00142973"/>
    <w:rsid w:val="00143B5A"/>
    <w:rsid w:val="00144AF7"/>
    <w:rsid w:val="0014552C"/>
    <w:rsid w:val="00145836"/>
    <w:rsid w:val="00145BA7"/>
    <w:rsid w:val="001467F4"/>
    <w:rsid w:val="00146B15"/>
    <w:rsid w:val="00150EC4"/>
    <w:rsid w:val="0015125B"/>
    <w:rsid w:val="001515E2"/>
    <w:rsid w:val="001518F4"/>
    <w:rsid w:val="00151EEB"/>
    <w:rsid w:val="00153344"/>
    <w:rsid w:val="00154162"/>
    <w:rsid w:val="0015441F"/>
    <w:rsid w:val="001549B9"/>
    <w:rsid w:val="00155DE2"/>
    <w:rsid w:val="0015660C"/>
    <w:rsid w:val="00156B5B"/>
    <w:rsid w:val="0015706B"/>
    <w:rsid w:val="00160068"/>
    <w:rsid w:val="00160D6E"/>
    <w:rsid w:val="00162604"/>
    <w:rsid w:val="00162FDC"/>
    <w:rsid w:val="00163718"/>
    <w:rsid w:val="00163B22"/>
    <w:rsid w:val="00163C8F"/>
    <w:rsid w:val="001642C1"/>
    <w:rsid w:val="00164772"/>
    <w:rsid w:val="00164789"/>
    <w:rsid w:val="00164B19"/>
    <w:rsid w:val="00166A76"/>
    <w:rsid w:val="00166C28"/>
    <w:rsid w:val="00167FB0"/>
    <w:rsid w:val="00171481"/>
    <w:rsid w:val="00173329"/>
    <w:rsid w:val="00174234"/>
    <w:rsid w:val="00174BC9"/>
    <w:rsid w:val="0017558D"/>
    <w:rsid w:val="001760BC"/>
    <w:rsid w:val="0017615A"/>
    <w:rsid w:val="001766FF"/>
    <w:rsid w:val="00177506"/>
    <w:rsid w:val="001777A4"/>
    <w:rsid w:val="001800EE"/>
    <w:rsid w:val="00180610"/>
    <w:rsid w:val="00180B85"/>
    <w:rsid w:val="001810EF"/>
    <w:rsid w:val="001812ED"/>
    <w:rsid w:val="00181ED3"/>
    <w:rsid w:val="001821C9"/>
    <w:rsid w:val="001826C0"/>
    <w:rsid w:val="00183CCC"/>
    <w:rsid w:val="00183E14"/>
    <w:rsid w:val="00184887"/>
    <w:rsid w:val="00184A1F"/>
    <w:rsid w:val="00184C13"/>
    <w:rsid w:val="00184E7C"/>
    <w:rsid w:val="00185195"/>
    <w:rsid w:val="00186AF7"/>
    <w:rsid w:val="00186E14"/>
    <w:rsid w:val="00187F78"/>
    <w:rsid w:val="00190C61"/>
    <w:rsid w:val="00190FFD"/>
    <w:rsid w:val="0019360C"/>
    <w:rsid w:val="00193E87"/>
    <w:rsid w:val="00194041"/>
    <w:rsid w:val="00194197"/>
    <w:rsid w:val="00194555"/>
    <w:rsid w:val="001947B4"/>
    <w:rsid w:val="001957C1"/>
    <w:rsid w:val="0019623E"/>
    <w:rsid w:val="001964AF"/>
    <w:rsid w:val="00196A36"/>
    <w:rsid w:val="00196B23"/>
    <w:rsid w:val="001A00BE"/>
    <w:rsid w:val="001A218A"/>
    <w:rsid w:val="001A2F37"/>
    <w:rsid w:val="001A39F3"/>
    <w:rsid w:val="001A605B"/>
    <w:rsid w:val="001A669A"/>
    <w:rsid w:val="001B04E1"/>
    <w:rsid w:val="001B058A"/>
    <w:rsid w:val="001B16AD"/>
    <w:rsid w:val="001B1BBB"/>
    <w:rsid w:val="001B1C74"/>
    <w:rsid w:val="001B248A"/>
    <w:rsid w:val="001B2AD7"/>
    <w:rsid w:val="001B2EDC"/>
    <w:rsid w:val="001B36B7"/>
    <w:rsid w:val="001B389E"/>
    <w:rsid w:val="001B54A7"/>
    <w:rsid w:val="001B622B"/>
    <w:rsid w:val="001B639C"/>
    <w:rsid w:val="001B65AC"/>
    <w:rsid w:val="001B6BF7"/>
    <w:rsid w:val="001B7837"/>
    <w:rsid w:val="001B7F4D"/>
    <w:rsid w:val="001C0F4E"/>
    <w:rsid w:val="001C1AB4"/>
    <w:rsid w:val="001C31E9"/>
    <w:rsid w:val="001C3FC2"/>
    <w:rsid w:val="001C4584"/>
    <w:rsid w:val="001C4E99"/>
    <w:rsid w:val="001C5B98"/>
    <w:rsid w:val="001C6608"/>
    <w:rsid w:val="001C69A3"/>
    <w:rsid w:val="001C708F"/>
    <w:rsid w:val="001C71BD"/>
    <w:rsid w:val="001D0ECF"/>
    <w:rsid w:val="001D107F"/>
    <w:rsid w:val="001D3AF7"/>
    <w:rsid w:val="001D486F"/>
    <w:rsid w:val="001D4E23"/>
    <w:rsid w:val="001D5C78"/>
    <w:rsid w:val="001D5DA3"/>
    <w:rsid w:val="001D5E94"/>
    <w:rsid w:val="001D6E88"/>
    <w:rsid w:val="001D7125"/>
    <w:rsid w:val="001D75DF"/>
    <w:rsid w:val="001D76B5"/>
    <w:rsid w:val="001E17C0"/>
    <w:rsid w:val="001E279D"/>
    <w:rsid w:val="001E2823"/>
    <w:rsid w:val="001E2BBB"/>
    <w:rsid w:val="001E2C92"/>
    <w:rsid w:val="001E2D7B"/>
    <w:rsid w:val="001E33F4"/>
    <w:rsid w:val="001E39A9"/>
    <w:rsid w:val="001E4959"/>
    <w:rsid w:val="001E4F3D"/>
    <w:rsid w:val="001E6CF4"/>
    <w:rsid w:val="001E6FF2"/>
    <w:rsid w:val="001E7709"/>
    <w:rsid w:val="001E7EA8"/>
    <w:rsid w:val="001F0DAF"/>
    <w:rsid w:val="001F0FCD"/>
    <w:rsid w:val="001F11B3"/>
    <w:rsid w:val="001F4534"/>
    <w:rsid w:val="001F60F0"/>
    <w:rsid w:val="001F7BB9"/>
    <w:rsid w:val="001F7F33"/>
    <w:rsid w:val="002008C5"/>
    <w:rsid w:val="002010FA"/>
    <w:rsid w:val="00201E5B"/>
    <w:rsid w:val="00202362"/>
    <w:rsid w:val="0020257C"/>
    <w:rsid w:val="0020323D"/>
    <w:rsid w:val="002032D1"/>
    <w:rsid w:val="00203795"/>
    <w:rsid w:val="00203F09"/>
    <w:rsid w:val="0020438E"/>
    <w:rsid w:val="00204BD5"/>
    <w:rsid w:val="00204D48"/>
    <w:rsid w:val="00204E1F"/>
    <w:rsid w:val="00205509"/>
    <w:rsid w:val="0020597C"/>
    <w:rsid w:val="002068E8"/>
    <w:rsid w:val="00206F28"/>
    <w:rsid w:val="002072D8"/>
    <w:rsid w:val="00207776"/>
    <w:rsid w:val="0021102E"/>
    <w:rsid w:val="00211160"/>
    <w:rsid w:val="00211549"/>
    <w:rsid w:val="002125F0"/>
    <w:rsid w:val="00212F2A"/>
    <w:rsid w:val="002144C9"/>
    <w:rsid w:val="00214C38"/>
    <w:rsid w:val="00215FC8"/>
    <w:rsid w:val="00216565"/>
    <w:rsid w:val="0021686A"/>
    <w:rsid w:val="002206C2"/>
    <w:rsid w:val="0022157B"/>
    <w:rsid w:val="00222CC4"/>
    <w:rsid w:val="00223210"/>
    <w:rsid w:val="00223ECE"/>
    <w:rsid w:val="00223EDD"/>
    <w:rsid w:val="00224032"/>
    <w:rsid w:val="00224437"/>
    <w:rsid w:val="0022484C"/>
    <w:rsid w:val="00225149"/>
    <w:rsid w:val="00225165"/>
    <w:rsid w:val="00225C30"/>
    <w:rsid w:val="00226957"/>
    <w:rsid w:val="00227BB2"/>
    <w:rsid w:val="00227EC8"/>
    <w:rsid w:val="002302E5"/>
    <w:rsid w:val="00230E23"/>
    <w:rsid w:val="00231F92"/>
    <w:rsid w:val="00232811"/>
    <w:rsid w:val="00232E65"/>
    <w:rsid w:val="0023324D"/>
    <w:rsid w:val="0023393F"/>
    <w:rsid w:val="00233D6D"/>
    <w:rsid w:val="00235A8C"/>
    <w:rsid w:val="00235C9C"/>
    <w:rsid w:val="00235F42"/>
    <w:rsid w:val="00236CB3"/>
    <w:rsid w:val="00237437"/>
    <w:rsid w:val="00237871"/>
    <w:rsid w:val="00237C8D"/>
    <w:rsid w:val="0024021D"/>
    <w:rsid w:val="00240416"/>
    <w:rsid w:val="002416CA"/>
    <w:rsid w:val="00242BFD"/>
    <w:rsid w:val="0024416E"/>
    <w:rsid w:val="00244351"/>
    <w:rsid w:val="00244DB6"/>
    <w:rsid w:val="002458DD"/>
    <w:rsid w:val="00245BAD"/>
    <w:rsid w:val="002469E3"/>
    <w:rsid w:val="00246B79"/>
    <w:rsid w:val="00246F13"/>
    <w:rsid w:val="00247C96"/>
    <w:rsid w:val="00250116"/>
    <w:rsid w:val="002513A5"/>
    <w:rsid w:val="00251CF4"/>
    <w:rsid w:val="00251F58"/>
    <w:rsid w:val="00252E78"/>
    <w:rsid w:val="00252E9E"/>
    <w:rsid w:val="00253A2D"/>
    <w:rsid w:val="00253ACB"/>
    <w:rsid w:val="002542A2"/>
    <w:rsid w:val="00254449"/>
    <w:rsid w:val="00254A8A"/>
    <w:rsid w:val="0025502A"/>
    <w:rsid w:val="0025505D"/>
    <w:rsid w:val="00255794"/>
    <w:rsid w:val="00256F1F"/>
    <w:rsid w:val="0025749E"/>
    <w:rsid w:val="00257D5F"/>
    <w:rsid w:val="00260D21"/>
    <w:rsid w:val="00260F06"/>
    <w:rsid w:val="0026102C"/>
    <w:rsid w:val="00261E6C"/>
    <w:rsid w:val="00262510"/>
    <w:rsid w:val="0026456E"/>
    <w:rsid w:val="0026524D"/>
    <w:rsid w:val="00265EB7"/>
    <w:rsid w:val="00266E95"/>
    <w:rsid w:val="0026704A"/>
    <w:rsid w:val="0026738C"/>
    <w:rsid w:val="00267837"/>
    <w:rsid w:val="0026785B"/>
    <w:rsid w:val="00267DC0"/>
    <w:rsid w:val="0027141D"/>
    <w:rsid w:val="00271C1B"/>
    <w:rsid w:val="0027231C"/>
    <w:rsid w:val="00272B20"/>
    <w:rsid w:val="00273AF8"/>
    <w:rsid w:val="002741A6"/>
    <w:rsid w:val="00274C66"/>
    <w:rsid w:val="00275225"/>
    <w:rsid w:val="00276317"/>
    <w:rsid w:val="002770F1"/>
    <w:rsid w:val="002779EE"/>
    <w:rsid w:val="00280554"/>
    <w:rsid w:val="00280C0A"/>
    <w:rsid w:val="00280DE0"/>
    <w:rsid w:val="00281685"/>
    <w:rsid w:val="00281DEB"/>
    <w:rsid w:val="002835EB"/>
    <w:rsid w:val="00283D8A"/>
    <w:rsid w:val="00283ED2"/>
    <w:rsid w:val="00283F21"/>
    <w:rsid w:val="002846C1"/>
    <w:rsid w:val="00285B12"/>
    <w:rsid w:val="00286323"/>
    <w:rsid w:val="002864A6"/>
    <w:rsid w:val="00286628"/>
    <w:rsid w:val="00286BED"/>
    <w:rsid w:val="00287690"/>
    <w:rsid w:val="00287A53"/>
    <w:rsid w:val="0029077E"/>
    <w:rsid w:val="0029125B"/>
    <w:rsid w:val="002921C8"/>
    <w:rsid w:val="00292E8C"/>
    <w:rsid w:val="00293FC3"/>
    <w:rsid w:val="00294D50"/>
    <w:rsid w:val="00295838"/>
    <w:rsid w:val="00295912"/>
    <w:rsid w:val="00295A4A"/>
    <w:rsid w:val="00295CC2"/>
    <w:rsid w:val="00296D73"/>
    <w:rsid w:val="00297128"/>
    <w:rsid w:val="00297BC4"/>
    <w:rsid w:val="002A017E"/>
    <w:rsid w:val="002A0415"/>
    <w:rsid w:val="002A0C5C"/>
    <w:rsid w:val="002A17B7"/>
    <w:rsid w:val="002A3A62"/>
    <w:rsid w:val="002A425A"/>
    <w:rsid w:val="002A5398"/>
    <w:rsid w:val="002A54C7"/>
    <w:rsid w:val="002A5C3E"/>
    <w:rsid w:val="002A5C4E"/>
    <w:rsid w:val="002A7347"/>
    <w:rsid w:val="002A74A7"/>
    <w:rsid w:val="002A79F3"/>
    <w:rsid w:val="002B0449"/>
    <w:rsid w:val="002B0851"/>
    <w:rsid w:val="002B0B61"/>
    <w:rsid w:val="002B0DF6"/>
    <w:rsid w:val="002B0E33"/>
    <w:rsid w:val="002B2A0D"/>
    <w:rsid w:val="002B43A0"/>
    <w:rsid w:val="002B524D"/>
    <w:rsid w:val="002B5628"/>
    <w:rsid w:val="002B6296"/>
    <w:rsid w:val="002B64E1"/>
    <w:rsid w:val="002B6542"/>
    <w:rsid w:val="002B6954"/>
    <w:rsid w:val="002B6A57"/>
    <w:rsid w:val="002B7AD0"/>
    <w:rsid w:val="002C052A"/>
    <w:rsid w:val="002C087A"/>
    <w:rsid w:val="002C0F13"/>
    <w:rsid w:val="002C17AC"/>
    <w:rsid w:val="002C1C13"/>
    <w:rsid w:val="002C254A"/>
    <w:rsid w:val="002C266C"/>
    <w:rsid w:val="002C3198"/>
    <w:rsid w:val="002C4AD4"/>
    <w:rsid w:val="002C534F"/>
    <w:rsid w:val="002C5C01"/>
    <w:rsid w:val="002C6701"/>
    <w:rsid w:val="002C6EA4"/>
    <w:rsid w:val="002C72AE"/>
    <w:rsid w:val="002C7770"/>
    <w:rsid w:val="002C7F45"/>
    <w:rsid w:val="002D220E"/>
    <w:rsid w:val="002D2D51"/>
    <w:rsid w:val="002D3CB1"/>
    <w:rsid w:val="002D4AE3"/>
    <w:rsid w:val="002D5873"/>
    <w:rsid w:val="002E093D"/>
    <w:rsid w:val="002E094B"/>
    <w:rsid w:val="002E0A00"/>
    <w:rsid w:val="002E0E45"/>
    <w:rsid w:val="002E0F5C"/>
    <w:rsid w:val="002E1084"/>
    <w:rsid w:val="002E10EC"/>
    <w:rsid w:val="002E1246"/>
    <w:rsid w:val="002E1481"/>
    <w:rsid w:val="002E1D18"/>
    <w:rsid w:val="002E2264"/>
    <w:rsid w:val="002E3981"/>
    <w:rsid w:val="002E3B4E"/>
    <w:rsid w:val="002E4363"/>
    <w:rsid w:val="002E58EB"/>
    <w:rsid w:val="002E5948"/>
    <w:rsid w:val="002E6700"/>
    <w:rsid w:val="002E6975"/>
    <w:rsid w:val="002E71FF"/>
    <w:rsid w:val="002F10EE"/>
    <w:rsid w:val="002F2529"/>
    <w:rsid w:val="002F28D9"/>
    <w:rsid w:val="002F3C5E"/>
    <w:rsid w:val="002F5544"/>
    <w:rsid w:val="002F647F"/>
    <w:rsid w:val="002F6771"/>
    <w:rsid w:val="002F682E"/>
    <w:rsid w:val="002F6994"/>
    <w:rsid w:val="002F6C4B"/>
    <w:rsid w:val="002F6ECE"/>
    <w:rsid w:val="002F7155"/>
    <w:rsid w:val="002F71A1"/>
    <w:rsid w:val="00301246"/>
    <w:rsid w:val="00302812"/>
    <w:rsid w:val="00302D9C"/>
    <w:rsid w:val="00302E2B"/>
    <w:rsid w:val="003036AA"/>
    <w:rsid w:val="003039FC"/>
    <w:rsid w:val="00303FC0"/>
    <w:rsid w:val="003041C0"/>
    <w:rsid w:val="00304AFE"/>
    <w:rsid w:val="00304C2D"/>
    <w:rsid w:val="00304F03"/>
    <w:rsid w:val="003065CB"/>
    <w:rsid w:val="00306BC9"/>
    <w:rsid w:val="00311A79"/>
    <w:rsid w:val="0031343F"/>
    <w:rsid w:val="0031364C"/>
    <w:rsid w:val="003148BF"/>
    <w:rsid w:val="00314B65"/>
    <w:rsid w:val="00316612"/>
    <w:rsid w:val="0031669D"/>
    <w:rsid w:val="0031781A"/>
    <w:rsid w:val="0032064A"/>
    <w:rsid w:val="0032123F"/>
    <w:rsid w:val="00321436"/>
    <w:rsid w:val="003214A7"/>
    <w:rsid w:val="00322967"/>
    <w:rsid w:val="00322A1E"/>
    <w:rsid w:val="00322EBD"/>
    <w:rsid w:val="003230DD"/>
    <w:rsid w:val="003237C5"/>
    <w:rsid w:val="0032386A"/>
    <w:rsid w:val="00323914"/>
    <w:rsid w:val="00323E37"/>
    <w:rsid w:val="003246A1"/>
    <w:rsid w:val="0032536B"/>
    <w:rsid w:val="003262E5"/>
    <w:rsid w:val="00327A16"/>
    <w:rsid w:val="00330377"/>
    <w:rsid w:val="00331224"/>
    <w:rsid w:val="00331F39"/>
    <w:rsid w:val="003321D9"/>
    <w:rsid w:val="00332B32"/>
    <w:rsid w:val="00332F3A"/>
    <w:rsid w:val="00333AF9"/>
    <w:rsid w:val="00335363"/>
    <w:rsid w:val="00335D0D"/>
    <w:rsid w:val="00335D30"/>
    <w:rsid w:val="00336C74"/>
    <w:rsid w:val="00336DEC"/>
    <w:rsid w:val="003370A3"/>
    <w:rsid w:val="00337774"/>
    <w:rsid w:val="00337EB3"/>
    <w:rsid w:val="0034018B"/>
    <w:rsid w:val="00341E87"/>
    <w:rsid w:val="00341E89"/>
    <w:rsid w:val="0034288E"/>
    <w:rsid w:val="0034348B"/>
    <w:rsid w:val="0034489E"/>
    <w:rsid w:val="00345A44"/>
    <w:rsid w:val="003466E4"/>
    <w:rsid w:val="003470E0"/>
    <w:rsid w:val="003470E4"/>
    <w:rsid w:val="003474BB"/>
    <w:rsid w:val="00350FED"/>
    <w:rsid w:val="00351720"/>
    <w:rsid w:val="00351C89"/>
    <w:rsid w:val="00351F1D"/>
    <w:rsid w:val="00351F93"/>
    <w:rsid w:val="0035201F"/>
    <w:rsid w:val="003528BC"/>
    <w:rsid w:val="003532B6"/>
    <w:rsid w:val="00353B4A"/>
    <w:rsid w:val="0035424F"/>
    <w:rsid w:val="00354D31"/>
    <w:rsid w:val="00355550"/>
    <w:rsid w:val="00355874"/>
    <w:rsid w:val="0035603C"/>
    <w:rsid w:val="00356295"/>
    <w:rsid w:val="003567E9"/>
    <w:rsid w:val="0035686C"/>
    <w:rsid w:val="0036027B"/>
    <w:rsid w:val="00360FB8"/>
    <w:rsid w:val="003614CB"/>
    <w:rsid w:val="00361E25"/>
    <w:rsid w:val="00362725"/>
    <w:rsid w:val="003629A1"/>
    <w:rsid w:val="0036576A"/>
    <w:rsid w:val="003664D0"/>
    <w:rsid w:val="00366B76"/>
    <w:rsid w:val="00366F1C"/>
    <w:rsid w:val="003678BC"/>
    <w:rsid w:val="00370A6B"/>
    <w:rsid w:val="00370F15"/>
    <w:rsid w:val="003723D9"/>
    <w:rsid w:val="00373209"/>
    <w:rsid w:val="003736D0"/>
    <w:rsid w:val="00374BE8"/>
    <w:rsid w:val="00375181"/>
    <w:rsid w:val="0037547A"/>
    <w:rsid w:val="00376890"/>
    <w:rsid w:val="0038175E"/>
    <w:rsid w:val="00385373"/>
    <w:rsid w:val="003866B5"/>
    <w:rsid w:val="00387418"/>
    <w:rsid w:val="00387FA9"/>
    <w:rsid w:val="00390AE9"/>
    <w:rsid w:val="003917D4"/>
    <w:rsid w:val="003921C7"/>
    <w:rsid w:val="0039267B"/>
    <w:rsid w:val="0039410E"/>
    <w:rsid w:val="00394588"/>
    <w:rsid w:val="0039482B"/>
    <w:rsid w:val="00394D2B"/>
    <w:rsid w:val="003950EE"/>
    <w:rsid w:val="00396B9D"/>
    <w:rsid w:val="00397310"/>
    <w:rsid w:val="00397606"/>
    <w:rsid w:val="003979A6"/>
    <w:rsid w:val="00397AB1"/>
    <w:rsid w:val="00397D15"/>
    <w:rsid w:val="003A06FB"/>
    <w:rsid w:val="003A0A07"/>
    <w:rsid w:val="003A1A19"/>
    <w:rsid w:val="003A298B"/>
    <w:rsid w:val="003A397E"/>
    <w:rsid w:val="003A4A52"/>
    <w:rsid w:val="003A532D"/>
    <w:rsid w:val="003A53B2"/>
    <w:rsid w:val="003A5DF8"/>
    <w:rsid w:val="003A6785"/>
    <w:rsid w:val="003A6D33"/>
    <w:rsid w:val="003A6FB3"/>
    <w:rsid w:val="003A7868"/>
    <w:rsid w:val="003A78E5"/>
    <w:rsid w:val="003A7948"/>
    <w:rsid w:val="003B17CA"/>
    <w:rsid w:val="003B1D0A"/>
    <w:rsid w:val="003B254E"/>
    <w:rsid w:val="003B2BE1"/>
    <w:rsid w:val="003B3A55"/>
    <w:rsid w:val="003B4009"/>
    <w:rsid w:val="003B40A1"/>
    <w:rsid w:val="003B4201"/>
    <w:rsid w:val="003B4AB1"/>
    <w:rsid w:val="003B4EB0"/>
    <w:rsid w:val="003B6683"/>
    <w:rsid w:val="003B7B46"/>
    <w:rsid w:val="003B7B8C"/>
    <w:rsid w:val="003C07AB"/>
    <w:rsid w:val="003C17B0"/>
    <w:rsid w:val="003C1EDA"/>
    <w:rsid w:val="003C22A4"/>
    <w:rsid w:val="003C465C"/>
    <w:rsid w:val="003C4CAE"/>
    <w:rsid w:val="003C4F1B"/>
    <w:rsid w:val="003C5537"/>
    <w:rsid w:val="003C5972"/>
    <w:rsid w:val="003C6167"/>
    <w:rsid w:val="003C6C48"/>
    <w:rsid w:val="003C70F4"/>
    <w:rsid w:val="003C7868"/>
    <w:rsid w:val="003D0140"/>
    <w:rsid w:val="003D0539"/>
    <w:rsid w:val="003D0E97"/>
    <w:rsid w:val="003D0EBB"/>
    <w:rsid w:val="003D2083"/>
    <w:rsid w:val="003D20E2"/>
    <w:rsid w:val="003D33CB"/>
    <w:rsid w:val="003D39C2"/>
    <w:rsid w:val="003D39D0"/>
    <w:rsid w:val="003D4D8F"/>
    <w:rsid w:val="003D4FF0"/>
    <w:rsid w:val="003D57D9"/>
    <w:rsid w:val="003D69FB"/>
    <w:rsid w:val="003D6B1C"/>
    <w:rsid w:val="003D73FF"/>
    <w:rsid w:val="003D79B8"/>
    <w:rsid w:val="003D7C12"/>
    <w:rsid w:val="003D7D9F"/>
    <w:rsid w:val="003E0771"/>
    <w:rsid w:val="003E13CF"/>
    <w:rsid w:val="003E23A9"/>
    <w:rsid w:val="003E29E4"/>
    <w:rsid w:val="003E2BC8"/>
    <w:rsid w:val="003E31E0"/>
    <w:rsid w:val="003E3F63"/>
    <w:rsid w:val="003E507B"/>
    <w:rsid w:val="003E5E9F"/>
    <w:rsid w:val="003E71BA"/>
    <w:rsid w:val="003E72EC"/>
    <w:rsid w:val="003E7D44"/>
    <w:rsid w:val="003E7E17"/>
    <w:rsid w:val="003F039C"/>
    <w:rsid w:val="003F0938"/>
    <w:rsid w:val="003F0D05"/>
    <w:rsid w:val="003F127B"/>
    <w:rsid w:val="003F1421"/>
    <w:rsid w:val="003F1502"/>
    <w:rsid w:val="003F15AA"/>
    <w:rsid w:val="003F2C8F"/>
    <w:rsid w:val="003F2CBC"/>
    <w:rsid w:val="003F369D"/>
    <w:rsid w:val="003F38C2"/>
    <w:rsid w:val="003F39ED"/>
    <w:rsid w:val="003F4E20"/>
    <w:rsid w:val="003F5D87"/>
    <w:rsid w:val="003F78EB"/>
    <w:rsid w:val="00400119"/>
    <w:rsid w:val="0040026B"/>
    <w:rsid w:val="0040125F"/>
    <w:rsid w:val="00401813"/>
    <w:rsid w:val="00401979"/>
    <w:rsid w:val="0040236E"/>
    <w:rsid w:val="00402854"/>
    <w:rsid w:val="00402B63"/>
    <w:rsid w:val="00402CB8"/>
    <w:rsid w:val="00403951"/>
    <w:rsid w:val="004039F3"/>
    <w:rsid w:val="00405499"/>
    <w:rsid w:val="004055A8"/>
    <w:rsid w:val="00405907"/>
    <w:rsid w:val="00406EF1"/>
    <w:rsid w:val="00406F45"/>
    <w:rsid w:val="00407031"/>
    <w:rsid w:val="00410527"/>
    <w:rsid w:val="004115F3"/>
    <w:rsid w:val="00412B06"/>
    <w:rsid w:val="00413DE9"/>
    <w:rsid w:val="004143F4"/>
    <w:rsid w:val="00414D7D"/>
    <w:rsid w:val="00415637"/>
    <w:rsid w:val="004157BA"/>
    <w:rsid w:val="00415936"/>
    <w:rsid w:val="00415AA9"/>
    <w:rsid w:val="00416530"/>
    <w:rsid w:val="00416720"/>
    <w:rsid w:val="00416C79"/>
    <w:rsid w:val="004170F3"/>
    <w:rsid w:val="00417362"/>
    <w:rsid w:val="00417626"/>
    <w:rsid w:val="00417B4C"/>
    <w:rsid w:val="00420718"/>
    <w:rsid w:val="00421F21"/>
    <w:rsid w:val="0042339A"/>
    <w:rsid w:val="00423D91"/>
    <w:rsid w:val="00424E05"/>
    <w:rsid w:val="004263BA"/>
    <w:rsid w:val="00427026"/>
    <w:rsid w:val="0042726D"/>
    <w:rsid w:val="004274A8"/>
    <w:rsid w:val="004305AB"/>
    <w:rsid w:val="004305B3"/>
    <w:rsid w:val="0043064D"/>
    <w:rsid w:val="004311B9"/>
    <w:rsid w:val="00431549"/>
    <w:rsid w:val="00431DBA"/>
    <w:rsid w:val="004322EF"/>
    <w:rsid w:val="004324AA"/>
    <w:rsid w:val="004329D9"/>
    <w:rsid w:val="0043392C"/>
    <w:rsid w:val="004341B0"/>
    <w:rsid w:val="00434422"/>
    <w:rsid w:val="00434C47"/>
    <w:rsid w:val="00434F89"/>
    <w:rsid w:val="004429B8"/>
    <w:rsid w:val="0044379B"/>
    <w:rsid w:val="00444834"/>
    <w:rsid w:val="00444DED"/>
    <w:rsid w:val="00445175"/>
    <w:rsid w:val="00445BA5"/>
    <w:rsid w:val="00445BF1"/>
    <w:rsid w:val="00446193"/>
    <w:rsid w:val="00446298"/>
    <w:rsid w:val="00446B82"/>
    <w:rsid w:val="00450B1C"/>
    <w:rsid w:val="00452884"/>
    <w:rsid w:val="00452965"/>
    <w:rsid w:val="00452E69"/>
    <w:rsid w:val="0045300A"/>
    <w:rsid w:val="0045340F"/>
    <w:rsid w:val="0045389F"/>
    <w:rsid w:val="00454F74"/>
    <w:rsid w:val="00455D64"/>
    <w:rsid w:val="0045779D"/>
    <w:rsid w:val="004601DD"/>
    <w:rsid w:val="00460407"/>
    <w:rsid w:val="004610B1"/>
    <w:rsid w:val="00462884"/>
    <w:rsid w:val="004643AD"/>
    <w:rsid w:val="00464718"/>
    <w:rsid w:val="00464BE0"/>
    <w:rsid w:val="004651F9"/>
    <w:rsid w:val="00465ACD"/>
    <w:rsid w:val="00466A29"/>
    <w:rsid w:val="00466D47"/>
    <w:rsid w:val="004676E7"/>
    <w:rsid w:val="004677B3"/>
    <w:rsid w:val="00467C80"/>
    <w:rsid w:val="00467DC5"/>
    <w:rsid w:val="004703E3"/>
    <w:rsid w:val="00470534"/>
    <w:rsid w:val="00470BA7"/>
    <w:rsid w:val="004711E1"/>
    <w:rsid w:val="004746F0"/>
    <w:rsid w:val="004757E1"/>
    <w:rsid w:val="00475DAE"/>
    <w:rsid w:val="00476A97"/>
    <w:rsid w:val="004772CE"/>
    <w:rsid w:val="00477513"/>
    <w:rsid w:val="0047794D"/>
    <w:rsid w:val="00477FD2"/>
    <w:rsid w:val="004801D6"/>
    <w:rsid w:val="0048022E"/>
    <w:rsid w:val="0048202B"/>
    <w:rsid w:val="00482192"/>
    <w:rsid w:val="004822DE"/>
    <w:rsid w:val="004823C3"/>
    <w:rsid w:val="004828E3"/>
    <w:rsid w:val="00482D8F"/>
    <w:rsid w:val="004831D3"/>
    <w:rsid w:val="00483502"/>
    <w:rsid w:val="00484A0B"/>
    <w:rsid w:val="00485905"/>
    <w:rsid w:val="004861B3"/>
    <w:rsid w:val="004901FF"/>
    <w:rsid w:val="0049051D"/>
    <w:rsid w:val="00491366"/>
    <w:rsid w:val="00491D7D"/>
    <w:rsid w:val="004922ED"/>
    <w:rsid w:val="004925A5"/>
    <w:rsid w:val="00492CBF"/>
    <w:rsid w:val="00493A6E"/>
    <w:rsid w:val="00493D15"/>
    <w:rsid w:val="004948DF"/>
    <w:rsid w:val="00495789"/>
    <w:rsid w:val="00496F8D"/>
    <w:rsid w:val="0049757F"/>
    <w:rsid w:val="004A025A"/>
    <w:rsid w:val="004A02EB"/>
    <w:rsid w:val="004A0754"/>
    <w:rsid w:val="004A1940"/>
    <w:rsid w:val="004A1B09"/>
    <w:rsid w:val="004A1DAE"/>
    <w:rsid w:val="004A1FC7"/>
    <w:rsid w:val="004A2D44"/>
    <w:rsid w:val="004A3287"/>
    <w:rsid w:val="004A4F71"/>
    <w:rsid w:val="004A524F"/>
    <w:rsid w:val="004A53CE"/>
    <w:rsid w:val="004A54E6"/>
    <w:rsid w:val="004A56CE"/>
    <w:rsid w:val="004A5745"/>
    <w:rsid w:val="004A5C0B"/>
    <w:rsid w:val="004A6D96"/>
    <w:rsid w:val="004A75DA"/>
    <w:rsid w:val="004B1001"/>
    <w:rsid w:val="004B11A6"/>
    <w:rsid w:val="004B1233"/>
    <w:rsid w:val="004B12E4"/>
    <w:rsid w:val="004B17D1"/>
    <w:rsid w:val="004B351F"/>
    <w:rsid w:val="004B3B23"/>
    <w:rsid w:val="004B520E"/>
    <w:rsid w:val="004B53B2"/>
    <w:rsid w:val="004B6765"/>
    <w:rsid w:val="004B74E1"/>
    <w:rsid w:val="004B7B45"/>
    <w:rsid w:val="004B7C85"/>
    <w:rsid w:val="004C10C5"/>
    <w:rsid w:val="004C17EE"/>
    <w:rsid w:val="004C251D"/>
    <w:rsid w:val="004C2599"/>
    <w:rsid w:val="004C3953"/>
    <w:rsid w:val="004C39F8"/>
    <w:rsid w:val="004C3C86"/>
    <w:rsid w:val="004C4560"/>
    <w:rsid w:val="004C56BB"/>
    <w:rsid w:val="004C5786"/>
    <w:rsid w:val="004C7C63"/>
    <w:rsid w:val="004D0297"/>
    <w:rsid w:val="004D18B1"/>
    <w:rsid w:val="004D2E64"/>
    <w:rsid w:val="004D415A"/>
    <w:rsid w:val="004D43BE"/>
    <w:rsid w:val="004D44EC"/>
    <w:rsid w:val="004D5E5D"/>
    <w:rsid w:val="004D6ED6"/>
    <w:rsid w:val="004D7921"/>
    <w:rsid w:val="004D7B7B"/>
    <w:rsid w:val="004E13F3"/>
    <w:rsid w:val="004E1C97"/>
    <w:rsid w:val="004E1CC8"/>
    <w:rsid w:val="004E1FDB"/>
    <w:rsid w:val="004E2718"/>
    <w:rsid w:val="004E2D68"/>
    <w:rsid w:val="004E2E14"/>
    <w:rsid w:val="004E38AC"/>
    <w:rsid w:val="004E42DA"/>
    <w:rsid w:val="004E5259"/>
    <w:rsid w:val="004E5EA9"/>
    <w:rsid w:val="004E6731"/>
    <w:rsid w:val="004F09DF"/>
    <w:rsid w:val="004F291C"/>
    <w:rsid w:val="004F450A"/>
    <w:rsid w:val="004F476C"/>
    <w:rsid w:val="004F4C20"/>
    <w:rsid w:val="004F4C26"/>
    <w:rsid w:val="004F4DFE"/>
    <w:rsid w:val="004F5323"/>
    <w:rsid w:val="004F5D3A"/>
    <w:rsid w:val="004F648E"/>
    <w:rsid w:val="004F6EC9"/>
    <w:rsid w:val="004F7D7D"/>
    <w:rsid w:val="0050104E"/>
    <w:rsid w:val="00504044"/>
    <w:rsid w:val="005041CB"/>
    <w:rsid w:val="00505381"/>
    <w:rsid w:val="00505824"/>
    <w:rsid w:val="00505A00"/>
    <w:rsid w:val="00505CA2"/>
    <w:rsid w:val="00506B0C"/>
    <w:rsid w:val="00506EB7"/>
    <w:rsid w:val="0050765B"/>
    <w:rsid w:val="00510552"/>
    <w:rsid w:val="005117D7"/>
    <w:rsid w:val="00511E90"/>
    <w:rsid w:val="0051397F"/>
    <w:rsid w:val="00513B74"/>
    <w:rsid w:val="0051601B"/>
    <w:rsid w:val="00516B7B"/>
    <w:rsid w:val="0051709D"/>
    <w:rsid w:val="0051738A"/>
    <w:rsid w:val="00517F32"/>
    <w:rsid w:val="0052084E"/>
    <w:rsid w:val="005218CB"/>
    <w:rsid w:val="0052281A"/>
    <w:rsid w:val="00522FB4"/>
    <w:rsid w:val="00523194"/>
    <w:rsid w:val="00524144"/>
    <w:rsid w:val="005251F6"/>
    <w:rsid w:val="005252FE"/>
    <w:rsid w:val="00525DD5"/>
    <w:rsid w:val="00525EB8"/>
    <w:rsid w:val="0052735A"/>
    <w:rsid w:val="00527585"/>
    <w:rsid w:val="00527850"/>
    <w:rsid w:val="005300F2"/>
    <w:rsid w:val="00530500"/>
    <w:rsid w:val="00530A30"/>
    <w:rsid w:val="005317E3"/>
    <w:rsid w:val="0053196C"/>
    <w:rsid w:val="00532514"/>
    <w:rsid w:val="00533309"/>
    <w:rsid w:val="00533B4E"/>
    <w:rsid w:val="00534128"/>
    <w:rsid w:val="00535525"/>
    <w:rsid w:val="00535FA2"/>
    <w:rsid w:val="005366E1"/>
    <w:rsid w:val="00536D1A"/>
    <w:rsid w:val="00540BBD"/>
    <w:rsid w:val="00541C24"/>
    <w:rsid w:val="00542D4C"/>
    <w:rsid w:val="0054487E"/>
    <w:rsid w:val="00544F56"/>
    <w:rsid w:val="00545954"/>
    <w:rsid w:val="00545C0A"/>
    <w:rsid w:val="00546B9C"/>
    <w:rsid w:val="00547101"/>
    <w:rsid w:val="00547C9C"/>
    <w:rsid w:val="0055085A"/>
    <w:rsid w:val="00550D77"/>
    <w:rsid w:val="0055220C"/>
    <w:rsid w:val="0055273D"/>
    <w:rsid w:val="00553556"/>
    <w:rsid w:val="00553B4C"/>
    <w:rsid w:val="00554B03"/>
    <w:rsid w:val="0055546E"/>
    <w:rsid w:val="0055599B"/>
    <w:rsid w:val="00555D91"/>
    <w:rsid w:val="00555E0B"/>
    <w:rsid w:val="005568A8"/>
    <w:rsid w:val="00556D50"/>
    <w:rsid w:val="00557003"/>
    <w:rsid w:val="005571AB"/>
    <w:rsid w:val="00557262"/>
    <w:rsid w:val="00557842"/>
    <w:rsid w:val="005600AF"/>
    <w:rsid w:val="00561F5A"/>
    <w:rsid w:val="0056229E"/>
    <w:rsid w:val="005629FC"/>
    <w:rsid w:val="00562B3F"/>
    <w:rsid w:val="00562C6E"/>
    <w:rsid w:val="00563286"/>
    <w:rsid w:val="0056330D"/>
    <w:rsid w:val="005633AD"/>
    <w:rsid w:val="005645BC"/>
    <w:rsid w:val="00564B21"/>
    <w:rsid w:val="0056514C"/>
    <w:rsid w:val="0056564E"/>
    <w:rsid w:val="005658CE"/>
    <w:rsid w:val="005672A9"/>
    <w:rsid w:val="0056757D"/>
    <w:rsid w:val="00567B0E"/>
    <w:rsid w:val="00567DB8"/>
    <w:rsid w:val="00570D79"/>
    <w:rsid w:val="005713BA"/>
    <w:rsid w:val="00572DA4"/>
    <w:rsid w:val="00572E4D"/>
    <w:rsid w:val="00575E9D"/>
    <w:rsid w:val="005760A6"/>
    <w:rsid w:val="005764CC"/>
    <w:rsid w:val="00576DC0"/>
    <w:rsid w:val="00576FD8"/>
    <w:rsid w:val="00577A8F"/>
    <w:rsid w:val="00577C7B"/>
    <w:rsid w:val="00577EC4"/>
    <w:rsid w:val="00580193"/>
    <w:rsid w:val="0058075C"/>
    <w:rsid w:val="005816D8"/>
    <w:rsid w:val="005819BF"/>
    <w:rsid w:val="00581A94"/>
    <w:rsid w:val="00582C5E"/>
    <w:rsid w:val="005831F5"/>
    <w:rsid w:val="00583245"/>
    <w:rsid w:val="005832A6"/>
    <w:rsid w:val="00583965"/>
    <w:rsid w:val="00583D98"/>
    <w:rsid w:val="005842DB"/>
    <w:rsid w:val="00584CB5"/>
    <w:rsid w:val="005858DE"/>
    <w:rsid w:val="0058590F"/>
    <w:rsid w:val="005859BA"/>
    <w:rsid w:val="00586577"/>
    <w:rsid w:val="005866C1"/>
    <w:rsid w:val="005868DA"/>
    <w:rsid w:val="0058767A"/>
    <w:rsid w:val="00587BCC"/>
    <w:rsid w:val="005902AA"/>
    <w:rsid w:val="00591868"/>
    <w:rsid w:val="00591AC6"/>
    <w:rsid w:val="00592FA4"/>
    <w:rsid w:val="005933EF"/>
    <w:rsid w:val="00593ED2"/>
    <w:rsid w:val="0059469C"/>
    <w:rsid w:val="0059608F"/>
    <w:rsid w:val="005963D4"/>
    <w:rsid w:val="00596D67"/>
    <w:rsid w:val="0059714F"/>
    <w:rsid w:val="00597C2B"/>
    <w:rsid w:val="00597C71"/>
    <w:rsid w:val="00597E32"/>
    <w:rsid w:val="005A08EA"/>
    <w:rsid w:val="005A0E65"/>
    <w:rsid w:val="005A167E"/>
    <w:rsid w:val="005A233B"/>
    <w:rsid w:val="005A278D"/>
    <w:rsid w:val="005A2E8C"/>
    <w:rsid w:val="005A3D29"/>
    <w:rsid w:val="005A3FB0"/>
    <w:rsid w:val="005A4325"/>
    <w:rsid w:val="005A5608"/>
    <w:rsid w:val="005A65D6"/>
    <w:rsid w:val="005A68A5"/>
    <w:rsid w:val="005A69F1"/>
    <w:rsid w:val="005A6E80"/>
    <w:rsid w:val="005A727D"/>
    <w:rsid w:val="005A745C"/>
    <w:rsid w:val="005A7D7E"/>
    <w:rsid w:val="005B155B"/>
    <w:rsid w:val="005B1B71"/>
    <w:rsid w:val="005B1E08"/>
    <w:rsid w:val="005B31A9"/>
    <w:rsid w:val="005B34FB"/>
    <w:rsid w:val="005B3F70"/>
    <w:rsid w:val="005B3FF8"/>
    <w:rsid w:val="005B4825"/>
    <w:rsid w:val="005B4982"/>
    <w:rsid w:val="005B5166"/>
    <w:rsid w:val="005B53CD"/>
    <w:rsid w:val="005B5DF7"/>
    <w:rsid w:val="005B6A0F"/>
    <w:rsid w:val="005B6A83"/>
    <w:rsid w:val="005B6EE9"/>
    <w:rsid w:val="005B7EF0"/>
    <w:rsid w:val="005C0049"/>
    <w:rsid w:val="005C1724"/>
    <w:rsid w:val="005C3752"/>
    <w:rsid w:val="005C4722"/>
    <w:rsid w:val="005C4FB5"/>
    <w:rsid w:val="005C553F"/>
    <w:rsid w:val="005C5706"/>
    <w:rsid w:val="005C7922"/>
    <w:rsid w:val="005C7EA1"/>
    <w:rsid w:val="005D0A33"/>
    <w:rsid w:val="005D3630"/>
    <w:rsid w:val="005D50C9"/>
    <w:rsid w:val="005D5594"/>
    <w:rsid w:val="005D5A14"/>
    <w:rsid w:val="005D5B7B"/>
    <w:rsid w:val="005D6110"/>
    <w:rsid w:val="005D6428"/>
    <w:rsid w:val="005D66D1"/>
    <w:rsid w:val="005D72C5"/>
    <w:rsid w:val="005D7AA6"/>
    <w:rsid w:val="005E03A9"/>
    <w:rsid w:val="005E0962"/>
    <w:rsid w:val="005E1209"/>
    <w:rsid w:val="005E18ED"/>
    <w:rsid w:val="005E2268"/>
    <w:rsid w:val="005E22E3"/>
    <w:rsid w:val="005E2660"/>
    <w:rsid w:val="005E27FB"/>
    <w:rsid w:val="005E32D3"/>
    <w:rsid w:val="005E3796"/>
    <w:rsid w:val="005E5008"/>
    <w:rsid w:val="005E5720"/>
    <w:rsid w:val="005E6896"/>
    <w:rsid w:val="005E6897"/>
    <w:rsid w:val="005E6DCE"/>
    <w:rsid w:val="005E71F2"/>
    <w:rsid w:val="005F074F"/>
    <w:rsid w:val="005F1291"/>
    <w:rsid w:val="005F13F8"/>
    <w:rsid w:val="005F229B"/>
    <w:rsid w:val="005F2D1F"/>
    <w:rsid w:val="005F4069"/>
    <w:rsid w:val="005F4281"/>
    <w:rsid w:val="005F42D1"/>
    <w:rsid w:val="005F4404"/>
    <w:rsid w:val="005F46A7"/>
    <w:rsid w:val="005F484E"/>
    <w:rsid w:val="005F4A38"/>
    <w:rsid w:val="005F5030"/>
    <w:rsid w:val="005F5AE5"/>
    <w:rsid w:val="005F6063"/>
    <w:rsid w:val="005F6B24"/>
    <w:rsid w:val="005F7063"/>
    <w:rsid w:val="005F7137"/>
    <w:rsid w:val="005F796B"/>
    <w:rsid w:val="006002E1"/>
    <w:rsid w:val="0060052E"/>
    <w:rsid w:val="00601116"/>
    <w:rsid w:val="0060132F"/>
    <w:rsid w:val="00601EB2"/>
    <w:rsid w:val="006020F3"/>
    <w:rsid w:val="00603F8B"/>
    <w:rsid w:val="00604488"/>
    <w:rsid w:val="006049A9"/>
    <w:rsid w:val="0060560D"/>
    <w:rsid w:val="00605941"/>
    <w:rsid w:val="00606759"/>
    <w:rsid w:val="00606AB9"/>
    <w:rsid w:val="00607104"/>
    <w:rsid w:val="0060715C"/>
    <w:rsid w:val="00610639"/>
    <w:rsid w:val="006106A4"/>
    <w:rsid w:val="006108D3"/>
    <w:rsid w:val="00610D43"/>
    <w:rsid w:val="0061141E"/>
    <w:rsid w:val="00611B39"/>
    <w:rsid w:val="00612A21"/>
    <w:rsid w:val="006140DA"/>
    <w:rsid w:val="00614AC7"/>
    <w:rsid w:val="00614E15"/>
    <w:rsid w:val="006158CE"/>
    <w:rsid w:val="006159BA"/>
    <w:rsid w:val="00616236"/>
    <w:rsid w:val="0061660C"/>
    <w:rsid w:val="00616623"/>
    <w:rsid w:val="00616774"/>
    <w:rsid w:val="006210D6"/>
    <w:rsid w:val="00621BC9"/>
    <w:rsid w:val="00621F1E"/>
    <w:rsid w:val="0062203D"/>
    <w:rsid w:val="00622BE9"/>
    <w:rsid w:val="0062302B"/>
    <w:rsid w:val="00623B6A"/>
    <w:rsid w:val="00623BB6"/>
    <w:rsid w:val="00624A44"/>
    <w:rsid w:val="00624ADF"/>
    <w:rsid w:val="006266DA"/>
    <w:rsid w:val="00627EC0"/>
    <w:rsid w:val="00630556"/>
    <w:rsid w:val="00630D06"/>
    <w:rsid w:val="006311AB"/>
    <w:rsid w:val="00631284"/>
    <w:rsid w:val="00631355"/>
    <w:rsid w:val="0063174C"/>
    <w:rsid w:val="00631868"/>
    <w:rsid w:val="00632072"/>
    <w:rsid w:val="00633429"/>
    <w:rsid w:val="00633546"/>
    <w:rsid w:val="00634157"/>
    <w:rsid w:val="0063557A"/>
    <w:rsid w:val="00636F19"/>
    <w:rsid w:val="006374B3"/>
    <w:rsid w:val="00637ED7"/>
    <w:rsid w:val="006409AD"/>
    <w:rsid w:val="006419FF"/>
    <w:rsid w:val="00641BAB"/>
    <w:rsid w:val="006420D6"/>
    <w:rsid w:val="00642350"/>
    <w:rsid w:val="006426BA"/>
    <w:rsid w:val="00644FB9"/>
    <w:rsid w:val="006450F9"/>
    <w:rsid w:val="00646CA6"/>
    <w:rsid w:val="00647382"/>
    <w:rsid w:val="00650244"/>
    <w:rsid w:val="00650444"/>
    <w:rsid w:val="00650B31"/>
    <w:rsid w:val="00650D82"/>
    <w:rsid w:val="00652A29"/>
    <w:rsid w:val="00653E54"/>
    <w:rsid w:val="00653FB5"/>
    <w:rsid w:val="00655D62"/>
    <w:rsid w:val="006565DF"/>
    <w:rsid w:val="00657C25"/>
    <w:rsid w:val="006605E3"/>
    <w:rsid w:val="0066060B"/>
    <w:rsid w:val="0066103B"/>
    <w:rsid w:val="0066196E"/>
    <w:rsid w:val="006620BF"/>
    <w:rsid w:val="00662328"/>
    <w:rsid w:val="00662E33"/>
    <w:rsid w:val="006633E6"/>
    <w:rsid w:val="00663CF0"/>
    <w:rsid w:val="00663D29"/>
    <w:rsid w:val="00664263"/>
    <w:rsid w:val="006645D0"/>
    <w:rsid w:val="0066466F"/>
    <w:rsid w:val="00664722"/>
    <w:rsid w:val="0066512B"/>
    <w:rsid w:val="00665D7F"/>
    <w:rsid w:val="0066603E"/>
    <w:rsid w:val="00666B86"/>
    <w:rsid w:val="00666C38"/>
    <w:rsid w:val="00666D61"/>
    <w:rsid w:val="00666F81"/>
    <w:rsid w:val="00667DB6"/>
    <w:rsid w:val="006702CE"/>
    <w:rsid w:val="00670689"/>
    <w:rsid w:val="006706BC"/>
    <w:rsid w:val="00671D46"/>
    <w:rsid w:val="00672EC9"/>
    <w:rsid w:val="00672FCB"/>
    <w:rsid w:val="006732E3"/>
    <w:rsid w:val="00673A87"/>
    <w:rsid w:val="006748A3"/>
    <w:rsid w:val="006762EB"/>
    <w:rsid w:val="006765A0"/>
    <w:rsid w:val="00677889"/>
    <w:rsid w:val="00677DC3"/>
    <w:rsid w:val="006801D7"/>
    <w:rsid w:val="00680569"/>
    <w:rsid w:val="00680860"/>
    <w:rsid w:val="00680B31"/>
    <w:rsid w:val="0068143C"/>
    <w:rsid w:val="0068243C"/>
    <w:rsid w:val="0068302D"/>
    <w:rsid w:val="006830A3"/>
    <w:rsid w:val="00683E9B"/>
    <w:rsid w:val="006845FD"/>
    <w:rsid w:val="006851B9"/>
    <w:rsid w:val="00685547"/>
    <w:rsid w:val="00686B39"/>
    <w:rsid w:val="0068734E"/>
    <w:rsid w:val="00690FD0"/>
    <w:rsid w:val="0069221C"/>
    <w:rsid w:val="00692FE9"/>
    <w:rsid w:val="006938B4"/>
    <w:rsid w:val="0069411D"/>
    <w:rsid w:val="006945F0"/>
    <w:rsid w:val="00696A99"/>
    <w:rsid w:val="00697BF0"/>
    <w:rsid w:val="006A059A"/>
    <w:rsid w:val="006A1398"/>
    <w:rsid w:val="006A14F5"/>
    <w:rsid w:val="006A1675"/>
    <w:rsid w:val="006A283E"/>
    <w:rsid w:val="006A3B1D"/>
    <w:rsid w:val="006A3DAC"/>
    <w:rsid w:val="006A47E0"/>
    <w:rsid w:val="006A5B05"/>
    <w:rsid w:val="006A5DDE"/>
    <w:rsid w:val="006A6993"/>
    <w:rsid w:val="006B0B38"/>
    <w:rsid w:val="006B1206"/>
    <w:rsid w:val="006B1816"/>
    <w:rsid w:val="006B1CAF"/>
    <w:rsid w:val="006B1FB9"/>
    <w:rsid w:val="006B41BD"/>
    <w:rsid w:val="006B4755"/>
    <w:rsid w:val="006B4974"/>
    <w:rsid w:val="006B4DD8"/>
    <w:rsid w:val="006B67FA"/>
    <w:rsid w:val="006B6820"/>
    <w:rsid w:val="006B6C69"/>
    <w:rsid w:val="006C015E"/>
    <w:rsid w:val="006C0923"/>
    <w:rsid w:val="006C1062"/>
    <w:rsid w:val="006C1538"/>
    <w:rsid w:val="006C24AC"/>
    <w:rsid w:val="006C2F5E"/>
    <w:rsid w:val="006C4AC6"/>
    <w:rsid w:val="006C5020"/>
    <w:rsid w:val="006C5B54"/>
    <w:rsid w:val="006C5D8B"/>
    <w:rsid w:val="006C5F94"/>
    <w:rsid w:val="006C61F4"/>
    <w:rsid w:val="006C6EC3"/>
    <w:rsid w:val="006C7407"/>
    <w:rsid w:val="006C7874"/>
    <w:rsid w:val="006C7D99"/>
    <w:rsid w:val="006C7FE6"/>
    <w:rsid w:val="006D02AC"/>
    <w:rsid w:val="006D0EAE"/>
    <w:rsid w:val="006D1221"/>
    <w:rsid w:val="006D1303"/>
    <w:rsid w:val="006D1EE6"/>
    <w:rsid w:val="006D26AC"/>
    <w:rsid w:val="006D4B86"/>
    <w:rsid w:val="006D548D"/>
    <w:rsid w:val="006D6D6A"/>
    <w:rsid w:val="006D777D"/>
    <w:rsid w:val="006E04EB"/>
    <w:rsid w:val="006E1A9B"/>
    <w:rsid w:val="006E38D1"/>
    <w:rsid w:val="006E4595"/>
    <w:rsid w:val="006E6020"/>
    <w:rsid w:val="006E78F5"/>
    <w:rsid w:val="006E7C09"/>
    <w:rsid w:val="006F061D"/>
    <w:rsid w:val="006F112B"/>
    <w:rsid w:val="006F13B7"/>
    <w:rsid w:val="006F216D"/>
    <w:rsid w:val="006F25D4"/>
    <w:rsid w:val="006F2F2B"/>
    <w:rsid w:val="006F371C"/>
    <w:rsid w:val="006F4051"/>
    <w:rsid w:val="006F4222"/>
    <w:rsid w:val="006F5551"/>
    <w:rsid w:val="006F5BB0"/>
    <w:rsid w:val="006F5C10"/>
    <w:rsid w:val="006F5DD6"/>
    <w:rsid w:val="006F5DF8"/>
    <w:rsid w:val="006F60E8"/>
    <w:rsid w:val="006F69A3"/>
    <w:rsid w:val="006F7755"/>
    <w:rsid w:val="006F7E52"/>
    <w:rsid w:val="00700707"/>
    <w:rsid w:val="007008C8"/>
    <w:rsid w:val="00700F3D"/>
    <w:rsid w:val="00701299"/>
    <w:rsid w:val="00701DCB"/>
    <w:rsid w:val="00703237"/>
    <w:rsid w:val="00703486"/>
    <w:rsid w:val="0070357F"/>
    <w:rsid w:val="00703824"/>
    <w:rsid w:val="00703955"/>
    <w:rsid w:val="00704402"/>
    <w:rsid w:val="00704538"/>
    <w:rsid w:val="00705468"/>
    <w:rsid w:val="00706B20"/>
    <w:rsid w:val="00706D1E"/>
    <w:rsid w:val="00707F24"/>
    <w:rsid w:val="00711ED9"/>
    <w:rsid w:val="007127E2"/>
    <w:rsid w:val="00712BC9"/>
    <w:rsid w:val="00713904"/>
    <w:rsid w:val="00713B67"/>
    <w:rsid w:val="007157E0"/>
    <w:rsid w:val="00715933"/>
    <w:rsid w:val="00715C9F"/>
    <w:rsid w:val="007161D7"/>
    <w:rsid w:val="007166BD"/>
    <w:rsid w:val="0071677A"/>
    <w:rsid w:val="00717A38"/>
    <w:rsid w:val="00717C8F"/>
    <w:rsid w:val="00717CEB"/>
    <w:rsid w:val="00720EE3"/>
    <w:rsid w:val="00721852"/>
    <w:rsid w:val="00721CFC"/>
    <w:rsid w:val="00721FBE"/>
    <w:rsid w:val="0072348E"/>
    <w:rsid w:val="007237E1"/>
    <w:rsid w:val="00723C35"/>
    <w:rsid w:val="00724532"/>
    <w:rsid w:val="0072529E"/>
    <w:rsid w:val="007258EC"/>
    <w:rsid w:val="00725AA1"/>
    <w:rsid w:val="007265BD"/>
    <w:rsid w:val="007266F8"/>
    <w:rsid w:val="00726BDF"/>
    <w:rsid w:val="00730773"/>
    <w:rsid w:val="00730A18"/>
    <w:rsid w:val="0073119F"/>
    <w:rsid w:val="0073128A"/>
    <w:rsid w:val="00731BBD"/>
    <w:rsid w:val="007327C5"/>
    <w:rsid w:val="00732A3F"/>
    <w:rsid w:val="007337F7"/>
    <w:rsid w:val="00733A6C"/>
    <w:rsid w:val="00733E00"/>
    <w:rsid w:val="007344B2"/>
    <w:rsid w:val="0073466E"/>
    <w:rsid w:val="00734AB8"/>
    <w:rsid w:val="00735033"/>
    <w:rsid w:val="00735600"/>
    <w:rsid w:val="00735715"/>
    <w:rsid w:val="00735A24"/>
    <w:rsid w:val="00735E1F"/>
    <w:rsid w:val="00736B5A"/>
    <w:rsid w:val="00736EDD"/>
    <w:rsid w:val="0073777B"/>
    <w:rsid w:val="00737FE5"/>
    <w:rsid w:val="00740190"/>
    <w:rsid w:val="0074052D"/>
    <w:rsid w:val="007405E9"/>
    <w:rsid w:val="0074077A"/>
    <w:rsid w:val="0074089C"/>
    <w:rsid w:val="00741718"/>
    <w:rsid w:val="007420D9"/>
    <w:rsid w:val="007433D2"/>
    <w:rsid w:val="007438F9"/>
    <w:rsid w:val="00743C21"/>
    <w:rsid w:val="00747650"/>
    <w:rsid w:val="00747B8D"/>
    <w:rsid w:val="00747F1D"/>
    <w:rsid w:val="00750541"/>
    <w:rsid w:val="00751007"/>
    <w:rsid w:val="00751698"/>
    <w:rsid w:val="007517C0"/>
    <w:rsid w:val="007519A8"/>
    <w:rsid w:val="007522FE"/>
    <w:rsid w:val="00752794"/>
    <w:rsid w:val="0075422C"/>
    <w:rsid w:val="00754553"/>
    <w:rsid w:val="0075614F"/>
    <w:rsid w:val="00756682"/>
    <w:rsid w:val="00756975"/>
    <w:rsid w:val="00757BBD"/>
    <w:rsid w:val="00757EFA"/>
    <w:rsid w:val="00760867"/>
    <w:rsid w:val="00760C65"/>
    <w:rsid w:val="00761484"/>
    <w:rsid w:val="0076197B"/>
    <w:rsid w:val="007625E4"/>
    <w:rsid w:val="007629AA"/>
    <w:rsid w:val="00762A0D"/>
    <w:rsid w:val="00763385"/>
    <w:rsid w:val="007633CF"/>
    <w:rsid w:val="007636AC"/>
    <w:rsid w:val="00763C1F"/>
    <w:rsid w:val="00764765"/>
    <w:rsid w:val="00764E24"/>
    <w:rsid w:val="007650A1"/>
    <w:rsid w:val="00765397"/>
    <w:rsid w:val="00765967"/>
    <w:rsid w:val="007663AD"/>
    <w:rsid w:val="007668FA"/>
    <w:rsid w:val="0076703E"/>
    <w:rsid w:val="007673AF"/>
    <w:rsid w:val="007674EE"/>
    <w:rsid w:val="007700DC"/>
    <w:rsid w:val="007713BE"/>
    <w:rsid w:val="0077331E"/>
    <w:rsid w:val="007737C6"/>
    <w:rsid w:val="00775E80"/>
    <w:rsid w:val="00776895"/>
    <w:rsid w:val="00776A4F"/>
    <w:rsid w:val="00777164"/>
    <w:rsid w:val="0078099A"/>
    <w:rsid w:val="00780F16"/>
    <w:rsid w:val="00781B5D"/>
    <w:rsid w:val="00781CD7"/>
    <w:rsid w:val="007827D0"/>
    <w:rsid w:val="0078336C"/>
    <w:rsid w:val="00783906"/>
    <w:rsid w:val="00783B23"/>
    <w:rsid w:val="00783B95"/>
    <w:rsid w:val="00784C69"/>
    <w:rsid w:val="0078513B"/>
    <w:rsid w:val="007856E2"/>
    <w:rsid w:val="00786152"/>
    <w:rsid w:val="0078622E"/>
    <w:rsid w:val="00787196"/>
    <w:rsid w:val="00787A20"/>
    <w:rsid w:val="00790700"/>
    <w:rsid w:val="0079173F"/>
    <w:rsid w:val="00791BB8"/>
    <w:rsid w:val="00791DC6"/>
    <w:rsid w:val="00791F2E"/>
    <w:rsid w:val="0079251C"/>
    <w:rsid w:val="007936D0"/>
    <w:rsid w:val="00793A5C"/>
    <w:rsid w:val="00793C51"/>
    <w:rsid w:val="00794D38"/>
    <w:rsid w:val="007958E5"/>
    <w:rsid w:val="0079613F"/>
    <w:rsid w:val="007961F7"/>
    <w:rsid w:val="007965C4"/>
    <w:rsid w:val="00796F90"/>
    <w:rsid w:val="007A0DB2"/>
    <w:rsid w:val="007A0E6B"/>
    <w:rsid w:val="007A2382"/>
    <w:rsid w:val="007A27B0"/>
    <w:rsid w:val="007A2ED7"/>
    <w:rsid w:val="007A2FCB"/>
    <w:rsid w:val="007A30DC"/>
    <w:rsid w:val="007A31CE"/>
    <w:rsid w:val="007A3580"/>
    <w:rsid w:val="007A4A1C"/>
    <w:rsid w:val="007A5146"/>
    <w:rsid w:val="007A55BF"/>
    <w:rsid w:val="007A56CB"/>
    <w:rsid w:val="007A592B"/>
    <w:rsid w:val="007A5D11"/>
    <w:rsid w:val="007A5D3F"/>
    <w:rsid w:val="007A624D"/>
    <w:rsid w:val="007A6931"/>
    <w:rsid w:val="007B0808"/>
    <w:rsid w:val="007B0C8F"/>
    <w:rsid w:val="007B1643"/>
    <w:rsid w:val="007B1CB8"/>
    <w:rsid w:val="007B2975"/>
    <w:rsid w:val="007B2D20"/>
    <w:rsid w:val="007B3B9B"/>
    <w:rsid w:val="007B5121"/>
    <w:rsid w:val="007B549A"/>
    <w:rsid w:val="007B67A6"/>
    <w:rsid w:val="007B698F"/>
    <w:rsid w:val="007B7B7D"/>
    <w:rsid w:val="007C1044"/>
    <w:rsid w:val="007C13E6"/>
    <w:rsid w:val="007C1BC0"/>
    <w:rsid w:val="007C5CEA"/>
    <w:rsid w:val="007C5F53"/>
    <w:rsid w:val="007C64A2"/>
    <w:rsid w:val="007C698B"/>
    <w:rsid w:val="007C72B6"/>
    <w:rsid w:val="007C7379"/>
    <w:rsid w:val="007C745E"/>
    <w:rsid w:val="007D0D9C"/>
    <w:rsid w:val="007D127A"/>
    <w:rsid w:val="007D1FA7"/>
    <w:rsid w:val="007D4701"/>
    <w:rsid w:val="007D55B4"/>
    <w:rsid w:val="007D5606"/>
    <w:rsid w:val="007D72B2"/>
    <w:rsid w:val="007D7C80"/>
    <w:rsid w:val="007E042F"/>
    <w:rsid w:val="007E0B79"/>
    <w:rsid w:val="007E1051"/>
    <w:rsid w:val="007E2231"/>
    <w:rsid w:val="007E23B9"/>
    <w:rsid w:val="007E2EF1"/>
    <w:rsid w:val="007E34A2"/>
    <w:rsid w:val="007E37F7"/>
    <w:rsid w:val="007E3A7E"/>
    <w:rsid w:val="007E3EB8"/>
    <w:rsid w:val="007E5595"/>
    <w:rsid w:val="007E62BF"/>
    <w:rsid w:val="007E684E"/>
    <w:rsid w:val="007E6D1B"/>
    <w:rsid w:val="007E76CC"/>
    <w:rsid w:val="007F104D"/>
    <w:rsid w:val="007F154F"/>
    <w:rsid w:val="007F265A"/>
    <w:rsid w:val="007F2C86"/>
    <w:rsid w:val="007F31CA"/>
    <w:rsid w:val="007F5102"/>
    <w:rsid w:val="007F5337"/>
    <w:rsid w:val="007F57CB"/>
    <w:rsid w:val="007F6A34"/>
    <w:rsid w:val="00800526"/>
    <w:rsid w:val="00800BF7"/>
    <w:rsid w:val="00800C3D"/>
    <w:rsid w:val="00800DCB"/>
    <w:rsid w:val="008021E8"/>
    <w:rsid w:val="00802386"/>
    <w:rsid w:val="00802E27"/>
    <w:rsid w:val="00803094"/>
    <w:rsid w:val="00803898"/>
    <w:rsid w:val="00803DD1"/>
    <w:rsid w:val="0080414E"/>
    <w:rsid w:val="00804565"/>
    <w:rsid w:val="008045CE"/>
    <w:rsid w:val="00804935"/>
    <w:rsid w:val="008056EC"/>
    <w:rsid w:val="00805BE2"/>
    <w:rsid w:val="00805E31"/>
    <w:rsid w:val="00805E70"/>
    <w:rsid w:val="00806338"/>
    <w:rsid w:val="008067DB"/>
    <w:rsid w:val="00807D54"/>
    <w:rsid w:val="00810FE3"/>
    <w:rsid w:val="00811E08"/>
    <w:rsid w:val="00812DA5"/>
    <w:rsid w:val="008130A9"/>
    <w:rsid w:val="008148C2"/>
    <w:rsid w:val="00814EB8"/>
    <w:rsid w:val="00814F43"/>
    <w:rsid w:val="00814FA3"/>
    <w:rsid w:val="008151DA"/>
    <w:rsid w:val="00815397"/>
    <w:rsid w:val="00815CDB"/>
    <w:rsid w:val="008162D4"/>
    <w:rsid w:val="00816A7E"/>
    <w:rsid w:val="00816B94"/>
    <w:rsid w:val="00816D47"/>
    <w:rsid w:val="00817D4B"/>
    <w:rsid w:val="00820B86"/>
    <w:rsid w:val="00820E95"/>
    <w:rsid w:val="00821CB4"/>
    <w:rsid w:val="008224A6"/>
    <w:rsid w:val="008224AB"/>
    <w:rsid w:val="00822559"/>
    <w:rsid w:val="00823D9F"/>
    <w:rsid w:val="0082627A"/>
    <w:rsid w:val="00826559"/>
    <w:rsid w:val="0082737C"/>
    <w:rsid w:val="008307C9"/>
    <w:rsid w:val="00831F40"/>
    <w:rsid w:val="008322EC"/>
    <w:rsid w:val="008327FF"/>
    <w:rsid w:val="00832F92"/>
    <w:rsid w:val="00834BF2"/>
    <w:rsid w:val="00834FAA"/>
    <w:rsid w:val="00835B10"/>
    <w:rsid w:val="00836346"/>
    <w:rsid w:val="00837AA0"/>
    <w:rsid w:val="00840098"/>
    <w:rsid w:val="00841B74"/>
    <w:rsid w:val="00842662"/>
    <w:rsid w:val="00843177"/>
    <w:rsid w:val="00844683"/>
    <w:rsid w:val="0084495F"/>
    <w:rsid w:val="00844B55"/>
    <w:rsid w:val="00846A59"/>
    <w:rsid w:val="00846AC3"/>
    <w:rsid w:val="00847EB6"/>
    <w:rsid w:val="00851445"/>
    <w:rsid w:val="00852026"/>
    <w:rsid w:val="00852395"/>
    <w:rsid w:val="008524B7"/>
    <w:rsid w:val="00852B85"/>
    <w:rsid w:val="0085312B"/>
    <w:rsid w:val="008533A9"/>
    <w:rsid w:val="00853794"/>
    <w:rsid w:val="00853D13"/>
    <w:rsid w:val="0085463B"/>
    <w:rsid w:val="00854A9C"/>
    <w:rsid w:val="00854B9E"/>
    <w:rsid w:val="008551F2"/>
    <w:rsid w:val="0085597F"/>
    <w:rsid w:val="00855FA8"/>
    <w:rsid w:val="00856A90"/>
    <w:rsid w:val="00856B05"/>
    <w:rsid w:val="00860402"/>
    <w:rsid w:val="0086074F"/>
    <w:rsid w:val="00861512"/>
    <w:rsid w:val="00863343"/>
    <w:rsid w:val="008636F2"/>
    <w:rsid w:val="0086396B"/>
    <w:rsid w:val="008653E3"/>
    <w:rsid w:val="008653EA"/>
    <w:rsid w:val="008668A6"/>
    <w:rsid w:val="00866F0F"/>
    <w:rsid w:val="00866F8D"/>
    <w:rsid w:val="00867B09"/>
    <w:rsid w:val="008702CE"/>
    <w:rsid w:val="00871A32"/>
    <w:rsid w:val="008720FA"/>
    <w:rsid w:val="00872AE3"/>
    <w:rsid w:val="00873498"/>
    <w:rsid w:val="00873583"/>
    <w:rsid w:val="0087404C"/>
    <w:rsid w:val="008742B3"/>
    <w:rsid w:val="00874A52"/>
    <w:rsid w:val="00874B31"/>
    <w:rsid w:val="0087586C"/>
    <w:rsid w:val="00876DE4"/>
    <w:rsid w:val="00877645"/>
    <w:rsid w:val="0087784F"/>
    <w:rsid w:val="00877CBA"/>
    <w:rsid w:val="00880CAA"/>
    <w:rsid w:val="00883200"/>
    <w:rsid w:val="00884761"/>
    <w:rsid w:val="00885B38"/>
    <w:rsid w:val="00886D67"/>
    <w:rsid w:val="008876CF"/>
    <w:rsid w:val="00887FA6"/>
    <w:rsid w:val="00890006"/>
    <w:rsid w:val="00890A56"/>
    <w:rsid w:val="00890C5E"/>
    <w:rsid w:val="00892395"/>
    <w:rsid w:val="008924EE"/>
    <w:rsid w:val="0089264C"/>
    <w:rsid w:val="00892850"/>
    <w:rsid w:val="008938CC"/>
    <w:rsid w:val="00894422"/>
    <w:rsid w:val="008947A6"/>
    <w:rsid w:val="0089605C"/>
    <w:rsid w:val="008967C7"/>
    <w:rsid w:val="00897436"/>
    <w:rsid w:val="00897586"/>
    <w:rsid w:val="00897BE1"/>
    <w:rsid w:val="008A01EB"/>
    <w:rsid w:val="008A0FE3"/>
    <w:rsid w:val="008A28C6"/>
    <w:rsid w:val="008A2C8F"/>
    <w:rsid w:val="008A3C62"/>
    <w:rsid w:val="008A3C77"/>
    <w:rsid w:val="008A423D"/>
    <w:rsid w:val="008A545E"/>
    <w:rsid w:val="008A5649"/>
    <w:rsid w:val="008A59A1"/>
    <w:rsid w:val="008A6096"/>
    <w:rsid w:val="008A6350"/>
    <w:rsid w:val="008A66E8"/>
    <w:rsid w:val="008A68C9"/>
    <w:rsid w:val="008A6F71"/>
    <w:rsid w:val="008B0921"/>
    <w:rsid w:val="008B09DF"/>
    <w:rsid w:val="008B0A69"/>
    <w:rsid w:val="008B0EE2"/>
    <w:rsid w:val="008B1302"/>
    <w:rsid w:val="008B1B35"/>
    <w:rsid w:val="008B1B39"/>
    <w:rsid w:val="008B1E7A"/>
    <w:rsid w:val="008B2AF0"/>
    <w:rsid w:val="008B482A"/>
    <w:rsid w:val="008B4DEB"/>
    <w:rsid w:val="008B5E77"/>
    <w:rsid w:val="008B7DCC"/>
    <w:rsid w:val="008B7F16"/>
    <w:rsid w:val="008C12BC"/>
    <w:rsid w:val="008C1488"/>
    <w:rsid w:val="008C1514"/>
    <w:rsid w:val="008C1522"/>
    <w:rsid w:val="008C18FF"/>
    <w:rsid w:val="008C1C87"/>
    <w:rsid w:val="008C20B3"/>
    <w:rsid w:val="008C2779"/>
    <w:rsid w:val="008C38F5"/>
    <w:rsid w:val="008C39D0"/>
    <w:rsid w:val="008C3D55"/>
    <w:rsid w:val="008C442C"/>
    <w:rsid w:val="008C6A9D"/>
    <w:rsid w:val="008C7974"/>
    <w:rsid w:val="008D0D90"/>
    <w:rsid w:val="008D1C59"/>
    <w:rsid w:val="008D1EDB"/>
    <w:rsid w:val="008D2998"/>
    <w:rsid w:val="008D2C28"/>
    <w:rsid w:val="008D2D58"/>
    <w:rsid w:val="008D3260"/>
    <w:rsid w:val="008D38EB"/>
    <w:rsid w:val="008D3C06"/>
    <w:rsid w:val="008D42DB"/>
    <w:rsid w:val="008D4A54"/>
    <w:rsid w:val="008D5286"/>
    <w:rsid w:val="008D5402"/>
    <w:rsid w:val="008D5C78"/>
    <w:rsid w:val="008D6976"/>
    <w:rsid w:val="008D7060"/>
    <w:rsid w:val="008D7077"/>
    <w:rsid w:val="008D792F"/>
    <w:rsid w:val="008D7CD5"/>
    <w:rsid w:val="008D7F0A"/>
    <w:rsid w:val="008E125C"/>
    <w:rsid w:val="008E2CD3"/>
    <w:rsid w:val="008E2E50"/>
    <w:rsid w:val="008E313A"/>
    <w:rsid w:val="008E3596"/>
    <w:rsid w:val="008E39D8"/>
    <w:rsid w:val="008E48E4"/>
    <w:rsid w:val="008E4E30"/>
    <w:rsid w:val="008E4F30"/>
    <w:rsid w:val="008E5581"/>
    <w:rsid w:val="008E627E"/>
    <w:rsid w:val="008E6BE2"/>
    <w:rsid w:val="008E7243"/>
    <w:rsid w:val="008E7469"/>
    <w:rsid w:val="008F0C7A"/>
    <w:rsid w:val="008F12EF"/>
    <w:rsid w:val="008F21FC"/>
    <w:rsid w:val="008F2474"/>
    <w:rsid w:val="008F30BC"/>
    <w:rsid w:val="008F344D"/>
    <w:rsid w:val="008F4046"/>
    <w:rsid w:val="008F471C"/>
    <w:rsid w:val="008F4990"/>
    <w:rsid w:val="008F5B05"/>
    <w:rsid w:val="008F6C15"/>
    <w:rsid w:val="008F7451"/>
    <w:rsid w:val="008F7BE6"/>
    <w:rsid w:val="008F7C1A"/>
    <w:rsid w:val="0090014B"/>
    <w:rsid w:val="00900B62"/>
    <w:rsid w:val="00901627"/>
    <w:rsid w:val="00901F2F"/>
    <w:rsid w:val="00901FB1"/>
    <w:rsid w:val="009037FF"/>
    <w:rsid w:val="00904897"/>
    <w:rsid w:val="00904A4A"/>
    <w:rsid w:val="00905095"/>
    <w:rsid w:val="0090549C"/>
    <w:rsid w:val="00905CA1"/>
    <w:rsid w:val="00906165"/>
    <w:rsid w:val="00906D30"/>
    <w:rsid w:val="00910D27"/>
    <w:rsid w:val="00910D53"/>
    <w:rsid w:val="00910D7E"/>
    <w:rsid w:val="00911162"/>
    <w:rsid w:val="009123C1"/>
    <w:rsid w:val="00912A3C"/>
    <w:rsid w:val="00913286"/>
    <w:rsid w:val="00914339"/>
    <w:rsid w:val="00914755"/>
    <w:rsid w:val="00914A79"/>
    <w:rsid w:val="00914D68"/>
    <w:rsid w:val="009150B8"/>
    <w:rsid w:val="009154BC"/>
    <w:rsid w:val="009155BA"/>
    <w:rsid w:val="00916A5E"/>
    <w:rsid w:val="00916B13"/>
    <w:rsid w:val="00916ED5"/>
    <w:rsid w:val="00917495"/>
    <w:rsid w:val="009176E3"/>
    <w:rsid w:val="00920A3E"/>
    <w:rsid w:val="00920BF4"/>
    <w:rsid w:val="00922A13"/>
    <w:rsid w:val="00923909"/>
    <w:rsid w:val="00923921"/>
    <w:rsid w:val="00923A8A"/>
    <w:rsid w:val="00924AD4"/>
    <w:rsid w:val="00925234"/>
    <w:rsid w:val="00925C84"/>
    <w:rsid w:val="00926D3C"/>
    <w:rsid w:val="009275A6"/>
    <w:rsid w:val="00930B9D"/>
    <w:rsid w:val="00931467"/>
    <w:rsid w:val="00931B4A"/>
    <w:rsid w:val="00931E74"/>
    <w:rsid w:val="009325D7"/>
    <w:rsid w:val="009329F2"/>
    <w:rsid w:val="00932BAC"/>
    <w:rsid w:val="009334CD"/>
    <w:rsid w:val="009336F4"/>
    <w:rsid w:val="0093370A"/>
    <w:rsid w:val="009345C7"/>
    <w:rsid w:val="009347D3"/>
    <w:rsid w:val="00936908"/>
    <w:rsid w:val="00936DBB"/>
    <w:rsid w:val="00937351"/>
    <w:rsid w:val="00937CE9"/>
    <w:rsid w:val="009411EA"/>
    <w:rsid w:val="00941386"/>
    <w:rsid w:val="0094165A"/>
    <w:rsid w:val="00941E1B"/>
    <w:rsid w:val="00942B29"/>
    <w:rsid w:val="009434FE"/>
    <w:rsid w:val="0094351E"/>
    <w:rsid w:val="00943FA2"/>
    <w:rsid w:val="009440E1"/>
    <w:rsid w:val="009445AD"/>
    <w:rsid w:val="009445B3"/>
    <w:rsid w:val="00945831"/>
    <w:rsid w:val="00946407"/>
    <w:rsid w:val="00947230"/>
    <w:rsid w:val="00947652"/>
    <w:rsid w:val="00947974"/>
    <w:rsid w:val="00952961"/>
    <w:rsid w:val="009533A6"/>
    <w:rsid w:val="00953825"/>
    <w:rsid w:val="009541FE"/>
    <w:rsid w:val="009546FA"/>
    <w:rsid w:val="0095490E"/>
    <w:rsid w:val="00956F58"/>
    <w:rsid w:val="00960CE1"/>
    <w:rsid w:val="00960D31"/>
    <w:rsid w:val="00961C90"/>
    <w:rsid w:val="00961FCA"/>
    <w:rsid w:val="00962B85"/>
    <w:rsid w:val="00962E0B"/>
    <w:rsid w:val="00962E2E"/>
    <w:rsid w:val="009640A0"/>
    <w:rsid w:val="009642BE"/>
    <w:rsid w:val="00964FD5"/>
    <w:rsid w:val="0096502A"/>
    <w:rsid w:val="0096647B"/>
    <w:rsid w:val="00966A6E"/>
    <w:rsid w:val="00967382"/>
    <w:rsid w:val="00967AB6"/>
    <w:rsid w:val="0097015E"/>
    <w:rsid w:val="0097060F"/>
    <w:rsid w:val="0097062C"/>
    <w:rsid w:val="00970925"/>
    <w:rsid w:val="009714F2"/>
    <w:rsid w:val="009715B8"/>
    <w:rsid w:val="00972579"/>
    <w:rsid w:val="00972BD9"/>
    <w:rsid w:val="00973893"/>
    <w:rsid w:val="00973BBA"/>
    <w:rsid w:val="009747A1"/>
    <w:rsid w:val="0097618C"/>
    <w:rsid w:val="00976B7D"/>
    <w:rsid w:val="00977EF7"/>
    <w:rsid w:val="0098052E"/>
    <w:rsid w:val="009830D0"/>
    <w:rsid w:val="009832FA"/>
    <w:rsid w:val="00983C7E"/>
    <w:rsid w:val="009843DB"/>
    <w:rsid w:val="0098580E"/>
    <w:rsid w:val="00986C55"/>
    <w:rsid w:val="00986F48"/>
    <w:rsid w:val="0098764B"/>
    <w:rsid w:val="00987E5E"/>
    <w:rsid w:val="00990155"/>
    <w:rsid w:val="00990EB0"/>
    <w:rsid w:val="009920D8"/>
    <w:rsid w:val="00992E1C"/>
    <w:rsid w:val="00994D8D"/>
    <w:rsid w:val="009953C9"/>
    <w:rsid w:val="00996A53"/>
    <w:rsid w:val="00996E55"/>
    <w:rsid w:val="00996FF8"/>
    <w:rsid w:val="00997310"/>
    <w:rsid w:val="00997D75"/>
    <w:rsid w:val="009A0036"/>
    <w:rsid w:val="009A019B"/>
    <w:rsid w:val="009A0D10"/>
    <w:rsid w:val="009A10A3"/>
    <w:rsid w:val="009A11AB"/>
    <w:rsid w:val="009A209C"/>
    <w:rsid w:val="009A21C3"/>
    <w:rsid w:val="009A2975"/>
    <w:rsid w:val="009A3ACA"/>
    <w:rsid w:val="009A4866"/>
    <w:rsid w:val="009A541A"/>
    <w:rsid w:val="009A5742"/>
    <w:rsid w:val="009A6E43"/>
    <w:rsid w:val="009A7B88"/>
    <w:rsid w:val="009B048C"/>
    <w:rsid w:val="009B1611"/>
    <w:rsid w:val="009B3DA0"/>
    <w:rsid w:val="009B45B7"/>
    <w:rsid w:val="009B63B9"/>
    <w:rsid w:val="009B6775"/>
    <w:rsid w:val="009B6E4D"/>
    <w:rsid w:val="009B6F70"/>
    <w:rsid w:val="009B7472"/>
    <w:rsid w:val="009B784B"/>
    <w:rsid w:val="009C0052"/>
    <w:rsid w:val="009C01D5"/>
    <w:rsid w:val="009C0200"/>
    <w:rsid w:val="009C0DFD"/>
    <w:rsid w:val="009C1AA4"/>
    <w:rsid w:val="009C1E0F"/>
    <w:rsid w:val="009C2CF2"/>
    <w:rsid w:val="009C301D"/>
    <w:rsid w:val="009C3257"/>
    <w:rsid w:val="009C3AA9"/>
    <w:rsid w:val="009C3C62"/>
    <w:rsid w:val="009C413F"/>
    <w:rsid w:val="009C42D1"/>
    <w:rsid w:val="009C7623"/>
    <w:rsid w:val="009D1D7F"/>
    <w:rsid w:val="009D38FA"/>
    <w:rsid w:val="009D3A86"/>
    <w:rsid w:val="009D3D72"/>
    <w:rsid w:val="009D4503"/>
    <w:rsid w:val="009D4D68"/>
    <w:rsid w:val="009D7186"/>
    <w:rsid w:val="009D7BE7"/>
    <w:rsid w:val="009E03DE"/>
    <w:rsid w:val="009E1317"/>
    <w:rsid w:val="009E1E79"/>
    <w:rsid w:val="009E244F"/>
    <w:rsid w:val="009E421D"/>
    <w:rsid w:val="009E4929"/>
    <w:rsid w:val="009E5178"/>
    <w:rsid w:val="009E59FB"/>
    <w:rsid w:val="009E5C9E"/>
    <w:rsid w:val="009E6BA6"/>
    <w:rsid w:val="009E7533"/>
    <w:rsid w:val="009F096D"/>
    <w:rsid w:val="009F0B4C"/>
    <w:rsid w:val="009F10E7"/>
    <w:rsid w:val="009F1396"/>
    <w:rsid w:val="009F1405"/>
    <w:rsid w:val="009F21F9"/>
    <w:rsid w:val="009F2977"/>
    <w:rsid w:val="009F2A0F"/>
    <w:rsid w:val="009F40C2"/>
    <w:rsid w:val="009F4311"/>
    <w:rsid w:val="009F4A89"/>
    <w:rsid w:val="009F556A"/>
    <w:rsid w:val="009F5E1C"/>
    <w:rsid w:val="00A0005C"/>
    <w:rsid w:val="00A00555"/>
    <w:rsid w:val="00A006C4"/>
    <w:rsid w:val="00A0097E"/>
    <w:rsid w:val="00A00E40"/>
    <w:rsid w:val="00A00F93"/>
    <w:rsid w:val="00A0128A"/>
    <w:rsid w:val="00A048B2"/>
    <w:rsid w:val="00A050B0"/>
    <w:rsid w:val="00A0528A"/>
    <w:rsid w:val="00A05B45"/>
    <w:rsid w:val="00A07425"/>
    <w:rsid w:val="00A07580"/>
    <w:rsid w:val="00A07B2E"/>
    <w:rsid w:val="00A07FA2"/>
    <w:rsid w:val="00A103ED"/>
    <w:rsid w:val="00A11095"/>
    <w:rsid w:val="00A118E0"/>
    <w:rsid w:val="00A11B03"/>
    <w:rsid w:val="00A12467"/>
    <w:rsid w:val="00A126E2"/>
    <w:rsid w:val="00A131FC"/>
    <w:rsid w:val="00A13732"/>
    <w:rsid w:val="00A1494D"/>
    <w:rsid w:val="00A15E71"/>
    <w:rsid w:val="00A175DF"/>
    <w:rsid w:val="00A179A9"/>
    <w:rsid w:val="00A17B37"/>
    <w:rsid w:val="00A17ED9"/>
    <w:rsid w:val="00A20E9B"/>
    <w:rsid w:val="00A21FF7"/>
    <w:rsid w:val="00A2396A"/>
    <w:rsid w:val="00A24323"/>
    <w:rsid w:val="00A248FC"/>
    <w:rsid w:val="00A25448"/>
    <w:rsid w:val="00A25595"/>
    <w:rsid w:val="00A266B3"/>
    <w:rsid w:val="00A269A7"/>
    <w:rsid w:val="00A3059A"/>
    <w:rsid w:val="00A31BD2"/>
    <w:rsid w:val="00A31D0C"/>
    <w:rsid w:val="00A321E5"/>
    <w:rsid w:val="00A322A6"/>
    <w:rsid w:val="00A326AE"/>
    <w:rsid w:val="00A3279E"/>
    <w:rsid w:val="00A32A91"/>
    <w:rsid w:val="00A33A3B"/>
    <w:rsid w:val="00A3409C"/>
    <w:rsid w:val="00A3510D"/>
    <w:rsid w:val="00A35288"/>
    <w:rsid w:val="00A352BC"/>
    <w:rsid w:val="00A36721"/>
    <w:rsid w:val="00A36A2B"/>
    <w:rsid w:val="00A37FAF"/>
    <w:rsid w:val="00A405EE"/>
    <w:rsid w:val="00A40FCE"/>
    <w:rsid w:val="00A414C5"/>
    <w:rsid w:val="00A41BA7"/>
    <w:rsid w:val="00A422E8"/>
    <w:rsid w:val="00A42B8A"/>
    <w:rsid w:val="00A4322B"/>
    <w:rsid w:val="00A43921"/>
    <w:rsid w:val="00A43BBC"/>
    <w:rsid w:val="00A44765"/>
    <w:rsid w:val="00A44C02"/>
    <w:rsid w:val="00A46782"/>
    <w:rsid w:val="00A468A3"/>
    <w:rsid w:val="00A47B71"/>
    <w:rsid w:val="00A5080D"/>
    <w:rsid w:val="00A51B0D"/>
    <w:rsid w:val="00A51C86"/>
    <w:rsid w:val="00A51EC8"/>
    <w:rsid w:val="00A54AD1"/>
    <w:rsid w:val="00A54F15"/>
    <w:rsid w:val="00A54F43"/>
    <w:rsid w:val="00A5517A"/>
    <w:rsid w:val="00A55646"/>
    <w:rsid w:val="00A55884"/>
    <w:rsid w:val="00A57BAE"/>
    <w:rsid w:val="00A604DA"/>
    <w:rsid w:val="00A60CD7"/>
    <w:rsid w:val="00A6153E"/>
    <w:rsid w:val="00A61A13"/>
    <w:rsid w:val="00A61E0C"/>
    <w:rsid w:val="00A61FF6"/>
    <w:rsid w:val="00A63B3E"/>
    <w:rsid w:val="00A64594"/>
    <w:rsid w:val="00A6538B"/>
    <w:rsid w:val="00A6559D"/>
    <w:rsid w:val="00A655B6"/>
    <w:rsid w:val="00A65997"/>
    <w:rsid w:val="00A65E79"/>
    <w:rsid w:val="00A675F0"/>
    <w:rsid w:val="00A70075"/>
    <w:rsid w:val="00A70B36"/>
    <w:rsid w:val="00A70C7F"/>
    <w:rsid w:val="00A70E97"/>
    <w:rsid w:val="00A710DD"/>
    <w:rsid w:val="00A7158B"/>
    <w:rsid w:val="00A71BF5"/>
    <w:rsid w:val="00A7279D"/>
    <w:rsid w:val="00A7360B"/>
    <w:rsid w:val="00A74791"/>
    <w:rsid w:val="00A75552"/>
    <w:rsid w:val="00A76608"/>
    <w:rsid w:val="00A77982"/>
    <w:rsid w:val="00A807B1"/>
    <w:rsid w:val="00A808F9"/>
    <w:rsid w:val="00A810B9"/>
    <w:rsid w:val="00A81670"/>
    <w:rsid w:val="00A820F6"/>
    <w:rsid w:val="00A8363C"/>
    <w:rsid w:val="00A8391B"/>
    <w:rsid w:val="00A847D0"/>
    <w:rsid w:val="00A847DE"/>
    <w:rsid w:val="00A84D3D"/>
    <w:rsid w:val="00A85A33"/>
    <w:rsid w:val="00A876E7"/>
    <w:rsid w:val="00A909D6"/>
    <w:rsid w:val="00A912EB"/>
    <w:rsid w:val="00A913C9"/>
    <w:rsid w:val="00A91AFA"/>
    <w:rsid w:val="00A92386"/>
    <w:rsid w:val="00A93E8C"/>
    <w:rsid w:val="00A94CC4"/>
    <w:rsid w:val="00A95C44"/>
    <w:rsid w:val="00A970BE"/>
    <w:rsid w:val="00AA02E1"/>
    <w:rsid w:val="00AA0709"/>
    <w:rsid w:val="00AA104E"/>
    <w:rsid w:val="00AA157B"/>
    <w:rsid w:val="00AA19A9"/>
    <w:rsid w:val="00AA2784"/>
    <w:rsid w:val="00AA2BB5"/>
    <w:rsid w:val="00AA3160"/>
    <w:rsid w:val="00AA3257"/>
    <w:rsid w:val="00AA4935"/>
    <w:rsid w:val="00AA4BD2"/>
    <w:rsid w:val="00AA4CC4"/>
    <w:rsid w:val="00AA5E7F"/>
    <w:rsid w:val="00AA626F"/>
    <w:rsid w:val="00AA6521"/>
    <w:rsid w:val="00AA686D"/>
    <w:rsid w:val="00AA6ECD"/>
    <w:rsid w:val="00AA7C3A"/>
    <w:rsid w:val="00AA7E07"/>
    <w:rsid w:val="00AB018C"/>
    <w:rsid w:val="00AB0D22"/>
    <w:rsid w:val="00AB0EDE"/>
    <w:rsid w:val="00AB11BA"/>
    <w:rsid w:val="00AB13E9"/>
    <w:rsid w:val="00AB17E8"/>
    <w:rsid w:val="00AB2DB1"/>
    <w:rsid w:val="00AB30FE"/>
    <w:rsid w:val="00AB3461"/>
    <w:rsid w:val="00AB4543"/>
    <w:rsid w:val="00AB4950"/>
    <w:rsid w:val="00AB524A"/>
    <w:rsid w:val="00AB53B8"/>
    <w:rsid w:val="00AB56E8"/>
    <w:rsid w:val="00AB5EEA"/>
    <w:rsid w:val="00AB6063"/>
    <w:rsid w:val="00AB699E"/>
    <w:rsid w:val="00AB6F37"/>
    <w:rsid w:val="00AB7515"/>
    <w:rsid w:val="00AB78DD"/>
    <w:rsid w:val="00AC0263"/>
    <w:rsid w:val="00AC07E3"/>
    <w:rsid w:val="00AC13D6"/>
    <w:rsid w:val="00AC13F2"/>
    <w:rsid w:val="00AC1486"/>
    <w:rsid w:val="00AC4269"/>
    <w:rsid w:val="00AC4EEB"/>
    <w:rsid w:val="00AC5F09"/>
    <w:rsid w:val="00AC6604"/>
    <w:rsid w:val="00AC6D61"/>
    <w:rsid w:val="00AC710E"/>
    <w:rsid w:val="00AD0398"/>
    <w:rsid w:val="00AD112A"/>
    <w:rsid w:val="00AD1A66"/>
    <w:rsid w:val="00AD3008"/>
    <w:rsid w:val="00AD30F9"/>
    <w:rsid w:val="00AD3303"/>
    <w:rsid w:val="00AD3839"/>
    <w:rsid w:val="00AD4597"/>
    <w:rsid w:val="00AD487E"/>
    <w:rsid w:val="00AD5CCA"/>
    <w:rsid w:val="00AD7590"/>
    <w:rsid w:val="00AE0715"/>
    <w:rsid w:val="00AE0C48"/>
    <w:rsid w:val="00AE176D"/>
    <w:rsid w:val="00AE1774"/>
    <w:rsid w:val="00AE2593"/>
    <w:rsid w:val="00AE3400"/>
    <w:rsid w:val="00AE3CCC"/>
    <w:rsid w:val="00AE4628"/>
    <w:rsid w:val="00AE6D0C"/>
    <w:rsid w:val="00AE7680"/>
    <w:rsid w:val="00AE7C1F"/>
    <w:rsid w:val="00AF035B"/>
    <w:rsid w:val="00AF0771"/>
    <w:rsid w:val="00AF1258"/>
    <w:rsid w:val="00AF27A3"/>
    <w:rsid w:val="00AF30D3"/>
    <w:rsid w:val="00AF3A3D"/>
    <w:rsid w:val="00AF4BCF"/>
    <w:rsid w:val="00AF66BD"/>
    <w:rsid w:val="00AF79EA"/>
    <w:rsid w:val="00B00483"/>
    <w:rsid w:val="00B0051D"/>
    <w:rsid w:val="00B0071F"/>
    <w:rsid w:val="00B00C57"/>
    <w:rsid w:val="00B00C8B"/>
    <w:rsid w:val="00B00C94"/>
    <w:rsid w:val="00B012E8"/>
    <w:rsid w:val="00B01811"/>
    <w:rsid w:val="00B01C50"/>
    <w:rsid w:val="00B02253"/>
    <w:rsid w:val="00B0261E"/>
    <w:rsid w:val="00B0277F"/>
    <w:rsid w:val="00B02A9B"/>
    <w:rsid w:val="00B03E52"/>
    <w:rsid w:val="00B04906"/>
    <w:rsid w:val="00B04A96"/>
    <w:rsid w:val="00B053B6"/>
    <w:rsid w:val="00B05890"/>
    <w:rsid w:val="00B06432"/>
    <w:rsid w:val="00B0693C"/>
    <w:rsid w:val="00B06A2C"/>
    <w:rsid w:val="00B07E6E"/>
    <w:rsid w:val="00B07EFE"/>
    <w:rsid w:val="00B10109"/>
    <w:rsid w:val="00B10354"/>
    <w:rsid w:val="00B1052F"/>
    <w:rsid w:val="00B11297"/>
    <w:rsid w:val="00B114F6"/>
    <w:rsid w:val="00B1154F"/>
    <w:rsid w:val="00B11D0D"/>
    <w:rsid w:val="00B11D7F"/>
    <w:rsid w:val="00B12626"/>
    <w:rsid w:val="00B128F4"/>
    <w:rsid w:val="00B1324A"/>
    <w:rsid w:val="00B13506"/>
    <w:rsid w:val="00B160FE"/>
    <w:rsid w:val="00B16813"/>
    <w:rsid w:val="00B16BB3"/>
    <w:rsid w:val="00B16F43"/>
    <w:rsid w:val="00B174AF"/>
    <w:rsid w:val="00B177EE"/>
    <w:rsid w:val="00B20A52"/>
    <w:rsid w:val="00B20C7B"/>
    <w:rsid w:val="00B217CC"/>
    <w:rsid w:val="00B21816"/>
    <w:rsid w:val="00B222F2"/>
    <w:rsid w:val="00B228F8"/>
    <w:rsid w:val="00B23A1D"/>
    <w:rsid w:val="00B242BE"/>
    <w:rsid w:val="00B24404"/>
    <w:rsid w:val="00B24C22"/>
    <w:rsid w:val="00B25546"/>
    <w:rsid w:val="00B2638A"/>
    <w:rsid w:val="00B27050"/>
    <w:rsid w:val="00B30804"/>
    <w:rsid w:val="00B30A7F"/>
    <w:rsid w:val="00B3105D"/>
    <w:rsid w:val="00B32959"/>
    <w:rsid w:val="00B342F1"/>
    <w:rsid w:val="00B35159"/>
    <w:rsid w:val="00B35428"/>
    <w:rsid w:val="00B37E06"/>
    <w:rsid w:val="00B401BB"/>
    <w:rsid w:val="00B40316"/>
    <w:rsid w:val="00B40962"/>
    <w:rsid w:val="00B40C9E"/>
    <w:rsid w:val="00B411D9"/>
    <w:rsid w:val="00B41B57"/>
    <w:rsid w:val="00B41CFC"/>
    <w:rsid w:val="00B4283B"/>
    <w:rsid w:val="00B43640"/>
    <w:rsid w:val="00B43FC5"/>
    <w:rsid w:val="00B4599C"/>
    <w:rsid w:val="00B45BFB"/>
    <w:rsid w:val="00B45C3B"/>
    <w:rsid w:val="00B4689E"/>
    <w:rsid w:val="00B46C88"/>
    <w:rsid w:val="00B47267"/>
    <w:rsid w:val="00B47732"/>
    <w:rsid w:val="00B47A05"/>
    <w:rsid w:val="00B503D5"/>
    <w:rsid w:val="00B504C0"/>
    <w:rsid w:val="00B50580"/>
    <w:rsid w:val="00B50A6E"/>
    <w:rsid w:val="00B50CB7"/>
    <w:rsid w:val="00B5123B"/>
    <w:rsid w:val="00B51441"/>
    <w:rsid w:val="00B52E5C"/>
    <w:rsid w:val="00B53DB3"/>
    <w:rsid w:val="00B5416E"/>
    <w:rsid w:val="00B543ED"/>
    <w:rsid w:val="00B5533C"/>
    <w:rsid w:val="00B567A5"/>
    <w:rsid w:val="00B57530"/>
    <w:rsid w:val="00B61391"/>
    <w:rsid w:val="00B61402"/>
    <w:rsid w:val="00B6169D"/>
    <w:rsid w:val="00B62A99"/>
    <w:rsid w:val="00B6328F"/>
    <w:rsid w:val="00B6354A"/>
    <w:rsid w:val="00B63D4B"/>
    <w:rsid w:val="00B63DD3"/>
    <w:rsid w:val="00B64A73"/>
    <w:rsid w:val="00B653B9"/>
    <w:rsid w:val="00B65862"/>
    <w:rsid w:val="00B65C65"/>
    <w:rsid w:val="00B661F0"/>
    <w:rsid w:val="00B66AB9"/>
    <w:rsid w:val="00B67BFF"/>
    <w:rsid w:val="00B7004D"/>
    <w:rsid w:val="00B70A16"/>
    <w:rsid w:val="00B70D50"/>
    <w:rsid w:val="00B711CB"/>
    <w:rsid w:val="00B73842"/>
    <w:rsid w:val="00B73A76"/>
    <w:rsid w:val="00B7498F"/>
    <w:rsid w:val="00B7525F"/>
    <w:rsid w:val="00B7565B"/>
    <w:rsid w:val="00B7619B"/>
    <w:rsid w:val="00B766CC"/>
    <w:rsid w:val="00B76BD3"/>
    <w:rsid w:val="00B76BD9"/>
    <w:rsid w:val="00B76C48"/>
    <w:rsid w:val="00B770AF"/>
    <w:rsid w:val="00B805D8"/>
    <w:rsid w:val="00B81589"/>
    <w:rsid w:val="00B81B9E"/>
    <w:rsid w:val="00B823B2"/>
    <w:rsid w:val="00B8253A"/>
    <w:rsid w:val="00B83001"/>
    <w:rsid w:val="00B831AD"/>
    <w:rsid w:val="00B83223"/>
    <w:rsid w:val="00B84415"/>
    <w:rsid w:val="00B8471E"/>
    <w:rsid w:val="00B858BD"/>
    <w:rsid w:val="00B85A0E"/>
    <w:rsid w:val="00B86773"/>
    <w:rsid w:val="00B878EB"/>
    <w:rsid w:val="00B901F6"/>
    <w:rsid w:val="00B90328"/>
    <w:rsid w:val="00B90468"/>
    <w:rsid w:val="00B90546"/>
    <w:rsid w:val="00B91528"/>
    <w:rsid w:val="00B915DA"/>
    <w:rsid w:val="00B918C9"/>
    <w:rsid w:val="00B91F6F"/>
    <w:rsid w:val="00B926CE"/>
    <w:rsid w:val="00B93C7A"/>
    <w:rsid w:val="00B93DD1"/>
    <w:rsid w:val="00B9407E"/>
    <w:rsid w:val="00B94468"/>
    <w:rsid w:val="00B94EA4"/>
    <w:rsid w:val="00B94EF1"/>
    <w:rsid w:val="00B9563F"/>
    <w:rsid w:val="00B95D51"/>
    <w:rsid w:val="00BA017F"/>
    <w:rsid w:val="00BA0D8D"/>
    <w:rsid w:val="00BA16D7"/>
    <w:rsid w:val="00BA24FB"/>
    <w:rsid w:val="00BA29F4"/>
    <w:rsid w:val="00BA3BC7"/>
    <w:rsid w:val="00BA3EF7"/>
    <w:rsid w:val="00BA435A"/>
    <w:rsid w:val="00BA599F"/>
    <w:rsid w:val="00BA5A07"/>
    <w:rsid w:val="00BA5E18"/>
    <w:rsid w:val="00BA7503"/>
    <w:rsid w:val="00BA7522"/>
    <w:rsid w:val="00BA7EF9"/>
    <w:rsid w:val="00BB05D7"/>
    <w:rsid w:val="00BB0F34"/>
    <w:rsid w:val="00BB14A1"/>
    <w:rsid w:val="00BB3A5B"/>
    <w:rsid w:val="00BB3AC8"/>
    <w:rsid w:val="00BB4E36"/>
    <w:rsid w:val="00BB54F1"/>
    <w:rsid w:val="00BB5612"/>
    <w:rsid w:val="00BB6564"/>
    <w:rsid w:val="00BB69BA"/>
    <w:rsid w:val="00BB6F1D"/>
    <w:rsid w:val="00BB7B6C"/>
    <w:rsid w:val="00BB7BE1"/>
    <w:rsid w:val="00BB7DA9"/>
    <w:rsid w:val="00BC042D"/>
    <w:rsid w:val="00BC0A91"/>
    <w:rsid w:val="00BC0D22"/>
    <w:rsid w:val="00BC1206"/>
    <w:rsid w:val="00BC1787"/>
    <w:rsid w:val="00BC17FB"/>
    <w:rsid w:val="00BC2169"/>
    <w:rsid w:val="00BC2F82"/>
    <w:rsid w:val="00BC3162"/>
    <w:rsid w:val="00BC46F5"/>
    <w:rsid w:val="00BC48C1"/>
    <w:rsid w:val="00BC5713"/>
    <w:rsid w:val="00BC5EA8"/>
    <w:rsid w:val="00BC6A80"/>
    <w:rsid w:val="00BC7AA0"/>
    <w:rsid w:val="00BC7B0D"/>
    <w:rsid w:val="00BD05DF"/>
    <w:rsid w:val="00BD08C1"/>
    <w:rsid w:val="00BD0E3A"/>
    <w:rsid w:val="00BD0F24"/>
    <w:rsid w:val="00BD1275"/>
    <w:rsid w:val="00BD1E04"/>
    <w:rsid w:val="00BD365E"/>
    <w:rsid w:val="00BD3C3C"/>
    <w:rsid w:val="00BD492D"/>
    <w:rsid w:val="00BD5392"/>
    <w:rsid w:val="00BD591D"/>
    <w:rsid w:val="00BD5BCA"/>
    <w:rsid w:val="00BD6956"/>
    <w:rsid w:val="00BD76C5"/>
    <w:rsid w:val="00BD79E0"/>
    <w:rsid w:val="00BD7BA6"/>
    <w:rsid w:val="00BE13FE"/>
    <w:rsid w:val="00BE1464"/>
    <w:rsid w:val="00BE182A"/>
    <w:rsid w:val="00BE183D"/>
    <w:rsid w:val="00BE18BE"/>
    <w:rsid w:val="00BE360E"/>
    <w:rsid w:val="00BE3D02"/>
    <w:rsid w:val="00BE3D29"/>
    <w:rsid w:val="00BE433F"/>
    <w:rsid w:val="00BE4820"/>
    <w:rsid w:val="00BE4FA7"/>
    <w:rsid w:val="00BE50DD"/>
    <w:rsid w:val="00BE55D4"/>
    <w:rsid w:val="00BE5BEA"/>
    <w:rsid w:val="00BE5FDE"/>
    <w:rsid w:val="00BE7098"/>
    <w:rsid w:val="00BE775F"/>
    <w:rsid w:val="00BF01EB"/>
    <w:rsid w:val="00BF0218"/>
    <w:rsid w:val="00BF044E"/>
    <w:rsid w:val="00BF0BDE"/>
    <w:rsid w:val="00BF1618"/>
    <w:rsid w:val="00BF2040"/>
    <w:rsid w:val="00BF2F4D"/>
    <w:rsid w:val="00BF3DDD"/>
    <w:rsid w:val="00BF50C5"/>
    <w:rsid w:val="00BF5316"/>
    <w:rsid w:val="00BF615B"/>
    <w:rsid w:val="00BF7A06"/>
    <w:rsid w:val="00BF7F8D"/>
    <w:rsid w:val="00C00487"/>
    <w:rsid w:val="00C01A68"/>
    <w:rsid w:val="00C01AC6"/>
    <w:rsid w:val="00C020A2"/>
    <w:rsid w:val="00C03E7E"/>
    <w:rsid w:val="00C04BD4"/>
    <w:rsid w:val="00C05B01"/>
    <w:rsid w:val="00C06C9A"/>
    <w:rsid w:val="00C104BE"/>
    <w:rsid w:val="00C109FF"/>
    <w:rsid w:val="00C10F66"/>
    <w:rsid w:val="00C1172D"/>
    <w:rsid w:val="00C119A6"/>
    <w:rsid w:val="00C11A6B"/>
    <w:rsid w:val="00C12894"/>
    <w:rsid w:val="00C12961"/>
    <w:rsid w:val="00C12ACE"/>
    <w:rsid w:val="00C13291"/>
    <w:rsid w:val="00C139D3"/>
    <w:rsid w:val="00C15A14"/>
    <w:rsid w:val="00C16707"/>
    <w:rsid w:val="00C171FD"/>
    <w:rsid w:val="00C20A67"/>
    <w:rsid w:val="00C21F02"/>
    <w:rsid w:val="00C22747"/>
    <w:rsid w:val="00C238A0"/>
    <w:rsid w:val="00C23928"/>
    <w:rsid w:val="00C250A6"/>
    <w:rsid w:val="00C26598"/>
    <w:rsid w:val="00C2671D"/>
    <w:rsid w:val="00C26F32"/>
    <w:rsid w:val="00C277BB"/>
    <w:rsid w:val="00C30B90"/>
    <w:rsid w:val="00C30FEC"/>
    <w:rsid w:val="00C31C8F"/>
    <w:rsid w:val="00C337E2"/>
    <w:rsid w:val="00C3428E"/>
    <w:rsid w:val="00C342A5"/>
    <w:rsid w:val="00C345A2"/>
    <w:rsid w:val="00C34AD1"/>
    <w:rsid w:val="00C34C9C"/>
    <w:rsid w:val="00C35C7B"/>
    <w:rsid w:val="00C35D42"/>
    <w:rsid w:val="00C36306"/>
    <w:rsid w:val="00C367DC"/>
    <w:rsid w:val="00C36A62"/>
    <w:rsid w:val="00C37223"/>
    <w:rsid w:val="00C37344"/>
    <w:rsid w:val="00C40FAC"/>
    <w:rsid w:val="00C41707"/>
    <w:rsid w:val="00C41B25"/>
    <w:rsid w:val="00C42020"/>
    <w:rsid w:val="00C4232F"/>
    <w:rsid w:val="00C42F2B"/>
    <w:rsid w:val="00C43744"/>
    <w:rsid w:val="00C438FE"/>
    <w:rsid w:val="00C43C2F"/>
    <w:rsid w:val="00C44164"/>
    <w:rsid w:val="00C444E4"/>
    <w:rsid w:val="00C452F5"/>
    <w:rsid w:val="00C45EDF"/>
    <w:rsid w:val="00C47D29"/>
    <w:rsid w:val="00C502BE"/>
    <w:rsid w:val="00C51CC6"/>
    <w:rsid w:val="00C51D0A"/>
    <w:rsid w:val="00C53A12"/>
    <w:rsid w:val="00C53F70"/>
    <w:rsid w:val="00C558E1"/>
    <w:rsid w:val="00C55FCD"/>
    <w:rsid w:val="00C56507"/>
    <w:rsid w:val="00C56B3D"/>
    <w:rsid w:val="00C56E8F"/>
    <w:rsid w:val="00C574D2"/>
    <w:rsid w:val="00C601AE"/>
    <w:rsid w:val="00C61C51"/>
    <w:rsid w:val="00C61DBE"/>
    <w:rsid w:val="00C62135"/>
    <w:rsid w:val="00C62232"/>
    <w:rsid w:val="00C627CE"/>
    <w:rsid w:val="00C631E1"/>
    <w:rsid w:val="00C632C7"/>
    <w:rsid w:val="00C634AE"/>
    <w:rsid w:val="00C63EFE"/>
    <w:rsid w:val="00C63FA7"/>
    <w:rsid w:val="00C642DD"/>
    <w:rsid w:val="00C64DFF"/>
    <w:rsid w:val="00C64F9C"/>
    <w:rsid w:val="00C652B7"/>
    <w:rsid w:val="00C652E2"/>
    <w:rsid w:val="00C66646"/>
    <w:rsid w:val="00C67AF8"/>
    <w:rsid w:val="00C70134"/>
    <w:rsid w:val="00C7021E"/>
    <w:rsid w:val="00C7103C"/>
    <w:rsid w:val="00C72037"/>
    <w:rsid w:val="00C726AB"/>
    <w:rsid w:val="00C732AF"/>
    <w:rsid w:val="00C7442D"/>
    <w:rsid w:val="00C747E0"/>
    <w:rsid w:val="00C74F97"/>
    <w:rsid w:val="00C75318"/>
    <w:rsid w:val="00C75BD1"/>
    <w:rsid w:val="00C75E3E"/>
    <w:rsid w:val="00C7667C"/>
    <w:rsid w:val="00C76702"/>
    <w:rsid w:val="00C76711"/>
    <w:rsid w:val="00C76ABB"/>
    <w:rsid w:val="00C775E2"/>
    <w:rsid w:val="00C80B18"/>
    <w:rsid w:val="00C80B23"/>
    <w:rsid w:val="00C816FC"/>
    <w:rsid w:val="00C81BCF"/>
    <w:rsid w:val="00C81BF4"/>
    <w:rsid w:val="00C81E87"/>
    <w:rsid w:val="00C82E24"/>
    <w:rsid w:val="00C83AE3"/>
    <w:rsid w:val="00C83E16"/>
    <w:rsid w:val="00C84255"/>
    <w:rsid w:val="00C842C6"/>
    <w:rsid w:val="00C84AA7"/>
    <w:rsid w:val="00C8562D"/>
    <w:rsid w:val="00C85C24"/>
    <w:rsid w:val="00C86515"/>
    <w:rsid w:val="00C8705A"/>
    <w:rsid w:val="00C87733"/>
    <w:rsid w:val="00C87891"/>
    <w:rsid w:val="00C87EDF"/>
    <w:rsid w:val="00C905D0"/>
    <w:rsid w:val="00C907E0"/>
    <w:rsid w:val="00C9157A"/>
    <w:rsid w:val="00C9258F"/>
    <w:rsid w:val="00C92802"/>
    <w:rsid w:val="00C9294B"/>
    <w:rsid w:val="00C93658"/>
    <w:rsid w:val="00C93CC0"/>
    <w:rsid w:val="00C93E59"/>
    <w:rsid w:val="00C955B2"/>
    <w:rsid w:val="00C95F71"/>
    <w:rsid w:val="00C9619C"/>
    <w:rsid w:val="00C96751"/>
    <w:rsid w:val="00C97DEB"/>
    <w:rsid w:val="00CA06EF"/>
    <w:rsid w:val="00CA1047"/>
    <w:rsid w:val="00CA1247"/>
    <w:rsid w:val="00CA3056"/>
    <w:rsid w:val="00CA3D81"/>
    <w:rsid w:val="00CA4A1F"/>
    <w:rsid w:val="00CA5043"/>
    <w:rsid w:val="00CA5697"/>
    <w:rsid w:val="00CA56C1"/>
    <w:rsid w:val="00CA5BE3"/>
    <w:rsid w:val="00CA68FD"/>
    <w:rsid w:val="00CA7ECD"/>
    <w:rsid w:val="00CB01DA"/>
    <w:rsid w:val="00CB0690"/>
    <w:rsid w:val="00CB06F4"/>
    <w:rsid w:val="00CB1281"/>
    <w:rsid w:val="00CB13B4"/>
    <w:rsid w:val="00CB16A3"/>
    <w:rsid w:val="00CB2277"/>
    <w:rsid w:val="00CB22B3"/>
    <w:rsid w:val="00CB2832"/>
    <w:rsid w:val="00CB2891"/>
    <w:rsid w:val="00CB2A4F"/>
    <w:rsid w:val="00CB36EB"/>
    <w:rsid w:val="00CB38E7"/>
    <w:rsid w:val="00CB3CA2"/>
    <w:rsid w:val="00CB41FB"/>
    <w:rsid w:val="00CB4363"/>
    <w:rsid w:val="00CB462C"/>
    <w:rsid w:val="00CB4E51"/>
    <w:rsid w:val="00CB627F"/>
    <w:rsid w:val="00CB66A2"/>
    <w:rsid w:val="00CB6FBB"/>
    <w:rsid w:val="00CB7119"/>
    <w:rsid w:val="00CB7166"/>
    <w:rsid w:val="00CB7CD9"/>
    <w:rsid w:val="00CC01D6"/>
    <w:rsid w:val="00CC0B97"/>
    <w:rsid w:val="00CC175E"/>
    <w:rsid w:val="00CC1C95"/>
    <w:rsid w:val="00CC265C"/>
    <w:rsid w:val="00CC528E"/>
    <w:rsid w:val="00CC66C4"/>
    <w:rsid w:val="00CC6D6E"/>
    <w:rsid w:val="00CC7A1D"/>
    <w:rsid w:val="00CD0BDB"/>
    <w:rsid w:val="00CD12C6"/>
    <w:rsid w:val="00CD13AA"/>
    <w:rsid w:val="00CD156A"/>
    <w:rsid w:val="00CD2537"/>
    <w:rsid w:val="00CD3332"/>
    <w:rsid w:val="00CD33A2"/>
    <w:rsid w:val="00CD33FE"/>
    <w:rsid w:val="00CD3754"/>
    <w:rsid w:val="00CD3B01"/>
    <w:rsid w:val="00CD3B10"/>
    <w:rsid w:val="00CD4098"/>
    <w:rsid w:val="00CD4157"/>
    <w:rsid w:val="00CD4302"/>
    <w:rsid w:val="00CD4438"/>
    <w:rsid w:val="00CD57D1"/>
    <w:rsid w:val="00CD5875"/>
    <w:rsid w:val="00CD5F40"/>
    <w:rsid w:val="00CD654D"/>
    <w:rsid w:val="00CD708E"/>
    <w:rsid w:val="00CD73A2"/>
    <w:rsid w:val="00CD73EB"/>
    <w:rsid w:val="00CD769C"/>
    <w:rsid w:val="00CD793D"/>
    <w:rsid w:val="00CE07AE"/>
    <w:rsid w:val="00CE116E"/>
    <w:rsid w:val="00CE15F4"/>
    <w:rsid w:val="00CE16B1"/>
    <w:rsid w:val="00CE20DD"/>
    <w:rsid w:val="00CE2569"/>
    <w:rsid w:val="00CE2C10"/>
    <w:rsid w:val="00CE3401"/>
    <w:rsid w:val="00CE3566"/>
    <w:rsid w:val="00CE391C"/>
    <w:rsid w:val="00CE427F"/>
    <w:rsid w:val="00CE4DA4"/>
    <w:rsid w:val="00CE5293"/>
    <w:rsid w:val="00CE5303"/>
    <w:rsid w:val="00CE5800"/>
    <w:rsid w:val="00CE6C76"/>
    <w:rsid w:val="00CE716F"/>
    <w:rsid w:val="00CE7B6A"/>
    <w:rsid w:val="00CF029E"/>
    <w:rsid w:val="00CF093F"/>
    <w:rsid w:val="00CF0D54"/>
    <w:rsid w:val="00CF0F12"/>
    <w:rsid w:val="00CF3345"/>
    <w:rsid w:val="00CF3518"/>
    <w:rsid w:val="00CF353E"/>
    <w:rsid w:val="00CF39CB"/>
    <w:rsid w:val="00CF40C9"/>
    <w:rsid w:val="00CF4728"/>
    <w:rsid w:val="00CF4A5D"/>
    <w:rsid w:val="00CF540F"/>
    <w:rsid w:val="00CF61D4"/>
    <w:rsid w:val="00CF715A"/>
    <w:rsid w:val="00D00565"/>
    <w:rsid w:val="00D01235"/>
    <w:rsid w:val="00D01412"/>
    <w:rsid w:val="00D018AF"/>
    <w:rsid w:val="00D019DE"/>
    <w:rsid w:val="00D02CFE"/>
    <w:rsid w:val="00D03B5C"/>
    <w:rsid w:val="00D04153"/>
    <w:rsid w:val="00D04691"/>
    <w:rsid w:val="00D04F4B"/>
    <w:rsid w:val="00D050E4"/>
    <w:rsid w:val="00D071ED"/>
    <w:rsid w:val="00D07CC9"/>
    <w:rsid w:val="00D07D7A"/>
    <w:rsid w:val="00D1258C"/>
    <w:rsid w:val="00D12A1A"/>
    <w:rsid w:val="00D1303F"/>
    <w:rsid w:val="00D130A0"/>
    <w:rsid w:val="00D13DFD"/>
    <w:rsid w:val="00D144C7"/>
    <w:rsid w:val="00D145EA"/>
    <w:rsid w:val="00D150A4"/>
    <w:rsid w:val="00D1547E"/>
    <w:rsid w:val="00D15514"/>
    <w:rsid w:val="00D15F21"/>
    <w:rsid w:val="00D162B6"/>
    <w:rsid w:val="00D164C1"/>
    <w:rsid w:val="00D16585"/>
    <w:rsid w:val="00D16856"/>
    <w:rsid w:val="00D16DF7"/>
    <w:rsid w:val="00D172F6"/>
    <w:rsid w:val="00D20CD0"/>
    <w:rsid w:val="00D20D6A"/>
    <w:rsid w:val="00D21749"/>
    <w:rsid w:val="00D22FD4"/>
    <w:rsid w:val="00D23609"/>
    <w:rsid w:val="00D24622"/>
    <w:rsid w:val="00D3011B"/>
    <w:rsid w:val="00D30206"/>
    <w:rsid w:val="00D3047E"/>
    <w:rsid w:val="00D30D61"/>
    <w:rsid w:val="00D30D8D"/>
    <w:rsid w:val="00D32347"/>
    <w:rsid w:val="00D32629"/>
    <w:rsid w:val="00D32D7C"/>
    <w:rsid w:val="00D352CB"/>
    <w:rsid w:val="00D35BD6"/>
    <w:rsid w:val="00D363D6"/>
    <w:rsid w:val="00D40C25"/>
    <w:rsid w:val="00D41D12"/>
    <w:rsid w:val="00D43F77"/>
    <w:rsid w:val="00D4412A"/>
    <w:rsid w:val="00D45240"/>
    <w:rsid w:val="00D459DF"/>
    <w:rsid w:val="00D466D7"/>
    <w:rsid w:val="00D47106"/>
    <w:rsid w:val="00D4783F"/>
    <w:rsid w:val="00D501E2"/>
    <w:rsid w:val="00D502D8"/>
    <w:rsid w:val="00D529EE"/>
    <w:rsid w:val="00D53696"/>
    <w:rsid w:val="00D53C0D"/>
    <w:rsid w:val="00D54877"/>
    <w:rsid w:val="00D55E04"/>
    <w:rsid w:val="00D57356"/>
    <w:rsid w:val="00D57D4E"/>
    <w:rsid w:val="00D60806"/>
    <w:rsid w:val="00D610A0"/>
    <w:rsid w:val="00D610CC"/>
    <w:rsid w:val="00D6141D"/>
    <w:rsid w:val="00D61606"/>
    <w:rsid w:val="00D618DA"/>
    <w:rsid w:val="00D61F64"/>
    <w:rsid w:val="00D62F27"/>
    <w:rsid w:val="00D637A7"/>
    <w:rsid w:val="00D63D49"/>
    <w:rsid w:val="00D63F4E"/>
    <w:rsid w:val="00D66551"/>
    <w:rsid w:val="00D669DE"/>
    <w:rsid w:val="00D67518"/>
    <w:rsid w:val="00D676B7"/>
    <w:rsid w:val="00D731B0"/>
    <w:rsid w:val="00D7329C"/>
    <w:rsid w:val="00D73A1F"/>
    <w:rsid w:val="00D743FD"/>
    <w:rsid w:val="00D74509"/>
    <w:rsid w:val="00D74CF1"/>
    <w:rsid w:val="00D75136"/>
    <w:rsid w:val="00D75E87"/>
    <w:rsid w:val="00D760FE"/>
    <w:rsid w:val="00D761F6"/>
    <w:rsid w:val="00D76695"/>
    <w:rsid w:val="00D76AFB"/>
    <w:rsid w:val="00D77F35"/>
    <w:rsid w:val="00D81640"/>
    <w:rsid w:val="00D830B3"/>
    <w:rsid w:val="00D83EFF"/>
    <w:rsid w:val="00D85831"/>
    <w:rsid w:val="00D85975"/>
    <w:rsid w:val="00D864A3"/>
    <w:rsid w:val="00D86CC3"/>
    <w:rsid w:val="00D86D4B"/>
    <w:rsid w:val="00D86F98"/>
    <w:rsid w:val="00D87022"/>
    <w:rsid w:val="00D8747D"/>
    <w:rsid w:val="00D87646"/>
    <w:rsid w:val="00D87833"/>
    <w:rsid w:val="00D90192"/>
    <w:rsid w:val="00D90418"/>
    <w:rsid w:val="00D90491"/>
    <w:rsid w:val="00D91591"/>
    <w:rsid w:val="00D91C44"/>
    <w:rsid w:val="00D92364"/>
    <w:rsid w:val="00D92F40"/>
    <w:rsid w:val="00D932CC"/>
    <w:rsid w:val="00D94951"/>
    <w:rsid w:val="00D9506D"/>
    <w:rsid w:val="00D95B31"/>
    <w:rsid w:val="00D96513"/>
    <w:rsid w:val="00D96764"/>
    <w:rsid w:val="00D97B03"/>
    <w:rsid w:val="00DA069D"/>
    <w:rsid w:val="00DA2AD9"/>
    <w:rsid w:val="00DA2C48"/>
    <w:rsid w:val="00DA2DE8"/>
    <w:rsid w:val="00DA2F2A"/>
    <w:rsid w:val="00DA3474"/>
    <w:rsid w:val="00DA4918"/>
    <w:rsid w:val="00DA54CE"/>
    <w:rsid w:val="00DA5868"/>
    <w:rsid w:val="00DA5D2A"/>
    <w:rsid w:val="00DA6D71"/>
    <w:rsid w:val="00DA6FC1"/>
    <w:rsid w:val="00DA772C"/>
    <w:rsid w:val="00DA7DE9"/>
    <w:rsid w:val="00DB013B"/>
    <w:rsid w:val="00DB023C"/>
    <w:rsid w:val="00DB1552"/>
    <w:rsid w:val="00DB1FF0"/>
    <w:rsid w:val="00DB2234"/>
    <w:rsid w:val="00DB274D"/>
    <w:rsid w:val="00DB3597"/>
    <w:rsid w:val="00DB3C67"/>
    <w:rsid w:val="00DB5108"/>
    <w:rsid w:val="00DB5F49"/>
    <w:rsid w:val="00DB677B"/>
    <w:rsid w:val="00DC0C12"/>
    <w:rsid w:val="00DC1F17"/>
    <w:rsid w:val="00DC448D"/>
    <w:rsid w:val="00DC5084"/>
    <w:rsid w:val="00DC5465"/>
    <w:rsid w:val="00DC614C"/>
    <w:rsid w:val="00DC6D92"/>
    <w:rsid w:val="00DC71A5"/>
    <w:rsid w:val="00DD0800"/>
    <w:rsid w:val="00DD0EE3"/>
    <w:rsid w:val="00DD1542"/>
    <w:rsid w:val="00DD1C69"/>
    <w:rsid w:val="00DD2ABA"/>
    <w:rsid w:val="00DD3209"/>
    <w:rsid w:val="00DD3526"/>
    <w:rsid w:val="00DD4AED"/>
    <w:rsid w:val="00DD5740"/>
    <w:rsid w:val="00DD68C9"/>
    <w:rsid w:val="00DD6D8B"/>
    <w:rsid w:val="00DD7388"/>
    <w:rsid w:val="00DD7CB9"/>
    <w:rsid w:val="00DE03FE"/>
    <w:rsid w:val="00DE0ED7"/>
    <w:rsid w:val="00DE1FA1"/>
    <w:rsid w:val="00DE1FAA"/>
    <w:rsid w:val="00DE2072"/>
    <w:rsid w:val="00DE3436"/>
    <w:rsid w:val="00DE48B0"/>
    <w:rsid w:val="00DE4C53"/>
    <w:rsid w:val="00DE4DF4"/>
    <w:rsid w:val="00DE4E26"/>
    <w:rsid w:val="00DE6C48"/>
    <w:rsid w:val="00DE794A"/>
    <w:rsid w:val="00DF097B"/>
    <w:rsid w:val="00DF1DCB"/>
    <w:rsid w:val="00DF1E0E"/>
    <w:rsid w:val="00DF27C5"/>
    <w:rsid w:val="00DF32BE"/>
    <w:rsid w:val="00DF4E44"/>
    <w:rsid w:val="00DF64AB"/>
    <w:rsid w:val="00E01D44"/>
    <w:rsid w:val="00E041F8"/>
    <w:rsid w:val="00E04AA0"/>
    <w:rsid w:val="00E055A6"/>
    <w:rsid w:val="00E05B81"/>
    <w:rsid w:val="00E06524"/>
    <w:rsid w:val="00E0657D"/>
    <w:rsid w:val="00E06DC1"/>
    <w:rsid w:val="00E06FD5"/>
    <w:rsid w:val="00E079B1"/>
    <w:rsid w:val="00E07E20"/>
    <w:rsid w:val="00E07E97"/>
    <w:rsid w:val="00E1140A"/>
    <w:rsid w:val="00E114D7"/>
    <w:rsid w:val="00E11FF1"/>
    <w:rsid w:val="00E11FF8"/>
    <w:rsid w:val="00E12CDB"/>
    <w:rsid w:val="00E138E1"/>
    <w:rsid w:val="00E13D80"/>
    <w:rsid w:val="00E1420A"/>
    <w:rsid w:val="00E15345"/>
    <w:rsid w:val="00E159C6"/>
    <w:rsid w:val="00E15A67"/>
    <w:rsid w:val="00E169AA"/>
    <w:rsid w:val="00E172C3"/>
    <w:rsid w:val="00E17AA4"/>
    <w:rsid w:val="00E17BB8"/>
    <w:rsid w:val="00E22BED"/>
    <w:rsid w:val="00E22D40"/>
    <w:rsid w:val="00E23C6F"/>
    <w:rsid w:val="00E24766"/>
    <w:rsid w:val="00E24E4A"/>
    <w:rsid w:val="00E25327"/>
    <w:rsid w:val="00E25917"/>
    <w:rsid w:val="00E26596"/>
    <w:rsid w:val="00E266A5"/>
    <w:rsid w:val="00E279C0"/>
    <w:rsid w:val="00E27FD3"/>
    <w:rsid w:val="00E31715"/>
    <w:rsid w:val="00E3340D"/>
    <w:rsid w:val="00E33999"/>
    <w:rsid w:val="00E33B39"/>
    <w:rsid w:val="00E340DB"/>
    <w:rsid w:val="00E343A6"/>
    <w:rsid w:val="00E35514"/>
    <w:rsid w:val="00E359F1"/>
    <w:rsid w:val="00E35CD0"/>
    <w:rsid w:val="00E3658D"/>
    <w:rsid w:val="00E3664C"/>
    <w:rsid w:val="00E3695F"/>
    <w:rsid w:val="00E407D1"/>
    <w:rsid w:val="00E409C9"/>
    <w:rsid w:val="00E40CC7"/>
    <w:rsid w:val="00E42F0A"/>
    <w:rsid w:val="00E43507"/>
    <w:rsid w:val="00E4414E"/>
    <w:rsid w:val="00E44B11"/>
    <w:rsid w:val="00E44B81"/>
    <w:rsid w:val="00E458B4"/>
    <w:rsid w:val="00E46FFA"/>
    <w:rsid w:val="00E47F0F"/>
    <w:rsid w:val="00E5024A"/>
    <w:rsid w:val="00E50AC0"/>
    <w:rsid w:val="00E51846"/>
    <w:rsid w:val="00E51F5A"/>
    <w:rsid w:val="00E52609"/>
    <w:rsid w:val="00E53427"/>
    <w:rsid w:val="00E53F26"/>
    <w:rsid w:val="00E54AB8"/>
    <w:rsid w:val="00E55B0A"/>
    <w:rsid w:val="00E55CA5"/>
    <w:rsid w:val="00E56D04"/>
    <w:rsid w:val="00E5709D"/>
    <w:rsid w:val="00E5789A"/>
    <w:rsid w:val="00E6016F"/>
    <w:rsid w:val="00E6022E"/>
    <w:rsid w:val="00E6043A"/>
    <w:rsid w:val="00E62021"/>
    <w:rsid w:val="00E628AA"/>
    <w:rsid w:val="00E629D4"/>
    <w:rsid w:val="00E62B2C"/>
    <w:rsid w:val="00E63909"/>
    <w:rsid w:val="00E63A2C"/>
    <w:rsid w:val="00E64B03"/>
    <w:rsid w:val="00E64BAE"/>
    <w:rsid w:val="00E65375"/>
    <w:rsid w:val="00E6602B"/>
    <w:rsid w:val="00E660DE"/>
    <w:rsid w:val="00E66404"/>
    <w:rsid w:val="00E669F1"/>
    <w:rsid w:val="00E66D49"/>
    <w:rsid w:val="00E675E7"/>
    <w:rsid w:val="00E67AB2"/>
    <w:rsid w:val="00E67C43"/>
    <w:rsid w:val="00E700DA"/>
    <w:rsid w:val="00E700F4"/>
    <w:rsid w:val="00E7158A"/>
    <w:rsid w:val="00E72ABF"/>
    <w:rsid w:val="00E72B31"/>
    <w:rsid w:val="00E7357D"/>
    <w:rsid w:val="00E736C5"/>
    <w:rsid w:val="00E74E9B"/>
    <w:rsid w:val="00E756AB"/>
    <w:rsid w:val="00E756ED"/>
    <w:rsid w:val="00E760D9"/>
    <w:rsid w:val="00E76A06"/>
    <w:rsid w:val="00E76F09"/>
    <w:rsid w:val="00E77332"/>
    <w:rsid w:val="00E81373"/>
    <w:rsid w:val="00E81525"/>
    <w:rsid w:val="00E81FCF"/>
    <w:rsid w:val="00E82338"/>
    <w:rsid w:val="00E828E2"/>
    <w:rsid w:val="00E82E3D"/>
    <w:rsid w:val="00E83016"/>
    <w:rsid w:val="00E830FA"/>
    <w:rsid w:val="00E837AC"/>
    <w:rsid w:val="00E83D2A"/>
    <w:rsid w:val="00E847A5"/>
    <w:rsid w:val="00E849CB"/>
    <w:rsid w:val="00E84CA6"/>
    <w:rsid w:val="00E85AAF"/>
    <w:rsid w:val="00E86212"/>
    <w:rsid w:val="00E8632B"/>
    <w:rsid w:val="00E91DFA"/>
    <w:rsid w:val="00E91FB0"/>
    <w:rsid w:val="00E92CDF"/>
    <w:rsid w:val="00E930F6"/>
    <w:rsid w:val="00E94524"/>
    <w:rsid w:val="00E94AB8"/>
    <w:rsid w:val="00E94D09"/>
    <w:rsid w:val="00E94F25"/>
    <w:rsid w:val="00E95425"/>
    <w:rsid w:val="00E9672F"/>
    <w:rsid w:val="00E96B44"/>
    <w:rsid w:val="00E96FCB"/>
    <w:rsid w:val="00E9739A"/>
    <w:rsid w:val="00E973AB"/>
    <w:rsid w:val="00E97D50"/>
    <w:rsid w:val="00E97EA8"/>
    <w:rsid w:val="00EA2DA9"/>
    <w:rsid w:val="00EA2DFC"/>
    <w:rsid w:val="00EA2E14"/>
    <w:rsid w:val="00EA2F5D"/>
    <w:rsid w:val="00EA2FF0"/>
    <w:rsid w:val="00EA3919"/>
    <w:rsid w:val="00EA3F14"/>
    <w:rsid w:val="00EA3FEA"/>
    <w:rsid w:val="00EA4373"/>
    <w:rsid w:val="00EA4A6C"/>
    <w:rsid w:val="00EA56DA"/>
    <w:rsid w:val="00EA5A8E"/>
    <w:rsid w:val="00EA680C"/>
    <w:rsid w:val="00EA727E"/>
    <w:rsid w:val="00EA78DC"/>
    <w:rsid w:val="00EB0C96"/>
    <w:rsid w:val="00EB197F"/>
    <w:rsid w:val="00EB21C5"/>
    <w:rsid w:val="00EB2725"/>
    <w:rsid w:val="00EB2927"/>
    <w:rsid w:val="00EB2B8B"/>
    <w:rsid w:val="00EB2E3B"/>
    <w:rsid w:val="00EB2F6C"/>
    <w:rsid w:val="00EB3890"/>
    <w:rsid w:val="00EB4965"/>
    <w:rsid w:val="00EB5179"/>
    <w:rsid w:val="00EB5545"/>
    <w:rsid w:val="00EB5A76"/>
    <w:rsid w:val="00EB5C8A"/>
    <w:rsid w:val="00EB646E"/>
    <w:rsid w:val="00EB6A7F"/>
    <w:rsid w:val="00EB6C23"/>
    <w:rsid w:val="00EB6CF6"/>
    <w:rsid w:val="00EB6E46"/>
    <w:rsid w:val="00EB7CB1"/>
    <w:rsid w:val="00EC09C1"/>
    <w:rsid w:val="00EC1E23"/>
    <w:rsid w:val="00EC222F"/>
    <w:rsid w:val="00EC2A39"/>
    <w:rsid w:val="00EC2C92"/>
    <w:rsid w:val="00EC3F0D"/>
    <w:rsid w:val="00EC435F"/>
    <w:rsid w:val="00EC4DE1"/>
    <w:rsid w:val="00EC59DD"/>
    <w:rsid w:val="00EC6136"/>
    <w:rsid w:val="00EC6698"/>
    <w:rsid w:val="00EC66E5"/>
    <w:rsid w:val="00EC687E"/>
    <w:rsid w:val="00EC6A98"/>
    <w:rsid w:val="00EC6AE3"/>
    <w:rsid w:val="00EC7EEF"/>
    <w:rsid w:val="00ED0ABC"/>
    <w:rsid w:val="00ED1733"/>
    <w:rsid w:val="00ED24D4"/>
    <w:rsid w:val="00ED2DA7"/>
    <w:rsid w:val="00ED2F83"/>
    <w:rsid w:val="00ED3AE4"/>
    <w:rsid w:val="00ED4052"/>
    <w:rsid w:val="00ED4087"/>
    <w:rsid w:val="00ED508F"/>
    <w:rsid w:val="00ED63D5"/>
    <w:rsid w:val="00ED6885"/>
    <w:rsid w:val="00ED70A4"/>
    <w:rsid w:val="00ED70DE"/>
    <w:rsid w:val="00ED7C4B"/>
    <w:rsid w:val="00EE02B4"/>
    <w:rsid w:val="00EE042F"/>
    <w:rsid w:val="00EE0453"/>
    <w:rsid w:val="00EE0E13"/>
    <w:rsid w:val="00EE1014"/>
    <w:rsid w:val="00EE10A1"/>
    <w:rsid w:val="00EE139D"/>
    <w:rsid w:val="00EE1F59"/>
    <w:rsid w:val="00EE2716"/>
    <w:rsid w:val="00EE359B"/>
    <w:rsid w:val="00EE3694"/>
    <w:rsid w:val="00EE38C0"/>
    <w:rsid w:val="00EE3CBF"/>
    <w:rsid w:val="00EE414C"/>
    <w:rsid w:val="00EE4965"/>
    <w:rsid w:val="00EE4A65"/>
    <w:rsid w:val="00EE4D80"/>
    <w:rsid w:val="00EE5625"/>
    <w:rsid w:val="00EE5D73"/>
    <w:rsid w:val="00EE6D0B"/>
    <w:rsid w:val="00EE6F35"/>
    <w:rsid w:val="00EE72A4"/>
    <w:rsid w:val="00EE7422"/>
    <w:rsid w:val="00EE75BD"/>
    <w:rsid w:val="00EE77B8"/>
    <w:rsid w:val="00EE7948"/>
    <w:rsid w:val="00EE7B69"/>
    <w:rsid w:val="00EE7E46"/>
    <w:rsid w:val="00EF0A56"/>
    <w:rsid w:val="00EF0A6A"/>
    <w:rsid w:val="00EF0ECD"/>
    <w:rsid w:val="00EF1F14"/>
    <w:rsid w:val="00EF2FD7"/>
    <w:rsid w:val="00EF33E5"/>
    <w:rsid w:val="00EF37E8"/>
    <w:rsid w:val="00EF3837"/>
    <w:rsid w:val="00EF5090"/>
    <w:rsid w:val="00EF5B9D"/>
    <w:rsid w:val="00EF5D46"/>
    <w:rsid w:val="00EF62FD"/>
    <w:rsid w:val="00EF6430"/>
    <w:rsid w:val="00EF68E6"/>
    <w:rsid w:val="00EF7045"/>
    <w:rsid w:val="00EF7086"/>
    <w:rsid w:val="00EF798F"/>
    <w:rsid w:val="00F00FD5"/>
    <w:rsid w:val="00F023F5"/>
    <w:rsid w:val="00F026DA"/>
    <w:rsid w:val="00F02C4A"/>
    <w:rsid w:val="00F04DDE"/>
    <w:rsid w:val="00F04F2D"/>
    <w:rsid w:val="00F0526E"/>
    <w:rsid w:val="00F064E6"/>
    <w:rsid w:val="00F077E4"/>
    <w:rsid w:val="00F07D54"/>
    <w:rsid w:val="00F1130B"/>
    <w:rsid w:val="00F130AC"/>
    <w:rsid w:val="00F1350C"/>
    <w:rsid w:val="00F13663"/>
    <w:rsid w:val="00F13CCE"/>
    <w:rsid w:val="00F13EE6"/>
    <w:rsid w:val="00F14453"/>
    <w:rsid w:val="00F14914"/>
    <w:rsid w:val="00F14E26"/>
    <w:rsid w:val="00F14E68"/>
    <w:rsid w:val="00F15809"/>
    <w:rsid w:val="00F15AA5"/>
    <w:rsid w:val="00F16044"/>
    <w:rsid w:val="00F16E51"/>
    <w:rsid w:val="00F201E2"/>
    <w:rsid w:val="00F202EF"/>
    <w:rsid w:val="00F20323"/>
    <w:rsid w:val="00F217A9"/>
    <w:rsid w:val="00F224A2"/>
    <w:rsid w:val="00F23B10"/>
    <w:rsid w:val="00F23BE5"/>
    <w:rsid w:val="00F23C71"/>
    <w:rsid w:val="00F23D8E"/>
    <w:rsid w:val="00F2402A"/>
    <w:rsid w:val="00F24AFE"/>
    <w:rsid w:val="00F24D4D"/>
    <w:rsid w:val="00F25986"/>
    <w:rsid w:val="00F2691E"/>
    <w:rsid w:val="00F26BDE"/>
    <w:rsid w:val="00F277DC"/>
    <w:rsid w:val="00F27BE1"/>
    <w:rsid w:val="00F301A2"/>
    <w:rsid w:val="00F31527"/>
    <w:rsid w:val="00F31D54"/>
    <w:rsid w:val="00F31EED"/>
    <w:rsid w:val="00F32688"/>
    <w:rsid w:val="00F32E01"/>
    <w:rsid w:val="00F33091"/>
    <w:rsid w:val="00F352C9"/>
    <w:rsid w:val="00F35EB0"/>
    <w:rsid w:val="00F35F75"/>
    <w:rsid w:val="00F36585"/>
    <w:rsid w:val="00F366D2"/>
    <w:rsid w:val="00F367AE"/>
    <w:rsid w:val="00F36B87"/>
    <w:rsid w:val="00F404E8"/>
    <w:rsid w:val="00F4052B"/>
    <w:rsid w:val="00F4069E"/>
    <w:rsid w:val="00F40A53"/>
    <w:rsid w:val="00F41762"/>
    <w:rsid w:val="00F418F3"/>
    <w:rsid w:val="00F4192B"/>
    <w:rsid w:val="00F41AF4"/>
    <w:rsid w:val="00F42B3F"/>
    <w:rsid w:val="00F42E1D"/>
    <w:rsid w:val="00F4303F"/>
    <w:rsid w:val="00F44EB3"/>
    <w:rsid w:val="00F44FDC"/>
    <w:rsid w:val="00F45EC1"/>
    <w:rsid w:val="00F460B0"/>
    <w:rsid w:val="00F460D6"/>
    <w:rsid w:val="00F46182"/>
    <w:rsid w:val="00F500CE"/>
    <w:rsid w:val="00F50CE5"/>
    <w:rsid w:val="00F50F4E"/>
    <w:rsid w:val="00F52029"/>
    <w:rsid w:val="00F52E48"/>
    <w:rsid w:val="00F53691"/>
    <w:rsid w:val="00F536E0"/>
    <w:rsid w:val="00F545DA"/>
    <w:rsid w:val="00F54A7D"/>
    <w:rsid w:val="00F54E6B"/>
    <w:rsid w:val="00F54ECF"/>
    <w:rsid w:val="00F5624C"/>
    <w:rsid w:val="00F568FA"/>
    <w:rsid w:val="00F57F61"/>
    <w:rsid w:val="00F60653"/>
    <w:rsid w:val="00F60A7E"/>
    <w:rsid w:val="00F60DB8"/>
    <w:rsid w:val="00F612A2"/>
    <w:rsid w:val="00F61751"/>
    <w:rsid w:val="00F62AC1"/>
    <w:rsid w:val="00F63930"/>
    <w:rsid w:val="00F63C38"/>
    <w:rsid w:val="00F63F43"/>
    <w:rsid w:val="00F64BEC"/>
    <w:rsid w:val="00F64E02"/>
    <w:rsid w:val="00F65206"/>
    <w:rsid w:val="00F65F33"/>
    <w:rsid w:val="00F662BA"/>
    <w:rsid w:val="00F6645C"/>
    <w:rsid w:val="00F67195"/>
    <w:rsid w:val="00F70012"/>
    <w:rsid w:val="00F70155"/>
    <w:rsid w:val="00F711AD"/>
    <w:rsid w:val="00F71740"/>
    <w:rsid w:val="00F735E2"/>
    <w:rsid w:val="00F74563"/>
    <w:rsid w:val="00F7484D"/>
    <w:rsid w:val="00F75427"/>
    <w:rsid w:val="00F757DB"/>
    <w:rsid w:val="00F75D5D"/>
    <w:rsid w:val="00F75F79"/>
    <w:rsid w:val="00F76ADC"/>
    <w:rsid w:val="00F77021"/>
    <w:rsid w:val="00F77212"/>
    <w:rsid w:val="00F77AB8"/>
    <w:rsid w:val="00F8045F"/>
    <w:rsid w:val="00F804D4"/>
    <w:rsid w:val="00F809A4"/>
    <w:rsid w:val="00F80EB0"/>
    <w:rsid w:val="00F814A5"/>
    <w:rsid w:val="00F82645"/>
    <w:rsid w:val="00F82853"/>
    <w:rsid w:val="00F8289C"/>
    <w:rsid w:val="00F82E00"/>
    <w:rsid w:val="00F836DC"/>
    <w:rsid w:val="00F843D8"/>
    <w:rsid w:val="00F845EC"/>
    <w:rsid w:val="00F858B2"/>
    <w:rsid w:val="00F871A5"/>
    <w:rsid w:val="00F875CB"/>
    <w:rsid w:val="00F876A3"/>
    <w:rsid w:val="00F877DC"/>
    <w:rsid w:val="00F905BB"/>
    <w:rsid w:val="00F9171A"/>
    <w:rsid w:val="00F91A1E"/>
    <w:rsid w:val="00F91B64"/>
    <w:rsid w:val="00F92690"/>
    <w:rsid w:val="00F927C0"/>
    <w:rsid w:val="00F93EDB"/>
    <w:rsid w:val="00F94DC0"/>
    <w:rsid w:val="00F96063"/>
    <w:rsid w:val="00F9737D"/>
    <w:rsid w:val="00F97A08"/>
    <w:rsid w:val="00F97F89"/>
    <w:rsid w:val="00FA01B1"/>
    <w:rsid w:val="00FA2F5A"/>
    <w:rsid w:val="00FA2F9B"/>
    <w:rsid w:val="00FA3000"/>
    <w:rsid w:val="00FA3692"/>
    <w:rsid w:val="00FA4435"/>
    <w:rsid w:val="00FA63CD"/>
    <w:rsid w:val="00FA66BF"/>
    <w:rsid w:val="00FA6A23"/>
    <w:rsid w:val="00FA6F45"/>
    <w:rsid w:val="00FA72FC"/>
    <w:rsid w:val="00FB074B"/>
    <w:rsid w:val="00FB0FB0"/>
    <w:rsid w:val="00FB1B66"/>
    <w:rsid w:val="00FB1EE2"/>
    <w:rsid w:val="00FB24EA"/>
    <w:rsid w:val="00FB3F53"/>
    <w:rsid w:val="00FB4144"/>
    <w:rsid w:val="00FB432D"/>
    <w:rsid w:val="00FB4423"/>
    <w:rsid w:val="00FB4447"/>
    <w:rsid w:val="00FB57BE"/>
    <w:rsid w:val="00FB705D"/>
    <w:rsid w:val="00FB76FF"/>
    <w:rsid w:val="00FB7FF2"/>
    <w:rsid w:val="00FC0FE3"/>
    <w:rsid w:val="00FC1466"/>
    <w:rsid w:val="00FC265B"/>
    <w:rsid w:val="00FC2CDC"/>
    <w:rsid w:val="00FC2DED"/>
    <w:rsid w:val="00FC3028"/>
    <w:rsid w:val="00FC318B"/>
    <w:rsid w:val="00FC321D"/>
    <w:rsid w:val="00FC3826"/>
    <w:rsid w:val="00FC3A4D"/>
    <w:rsid w:val="00FC4752"/>
    <w:rsid w:val="00FC48C7"/>
    <w:rsid w:val="00FC5A2B"/>
    <w:rsid w:val="00FC5A51"/>
    <w:rsid w:val="00FC5D67"/>
    <w:rsid w:val="00FC6086"/>
    <w:rsid w:val="00FC6469"/>
    <w:rsid w:val="00FC7467"/>
    <w:rsid w:val="00FC76E5"/>
    <w:rsid w:val="00FC7E86"/>
    <w:rsid w:val="00FD1F26"/>
    <w:rsid w:val="00FD1FBB"/>
    <w:rsid w:val="00FD2117"/>
    <w:rsid w:val="00FD25BA"/>
    <w:rsid w:val="00FD2F19"/>
    <w:rsid w:val="00FD3042"/>
    <w:rsid w:val="00FD315C"/>
    <w:rsid w:val="00FD44D6"/>
    <w:rsid w:val="00FD45A7"/>
    <w:rsid w:val="00FD4C85"/>
    <w:rsid w:val="00FD5931"/>
    <w:rsid w:val="00FD5D0B"/>
    <w:rsid w:val="00FD5E6A"/>
    <w:rsid w:val="00FD5FB3"/>
    <w:rsid w:val="00FD6B05"/>
    <w:rsid w:val="00FD7A63"/>
    <w:rsid w:val="00FE0310"/>
    <w:rsid w:val="00FE0313"/>
    <w:rsid w:val="00FE0480"/>
    <w:rsid w:val="00FE099E"/>
    <w:rsid w:val="00FE2545"/>
    <w:rsid w:val="00FE255C"/>
    <w:rsid w:val="00FE2628"/>
    <w:rsid w:val="00FE2873"/>
    <w:rsid w:val="00FE2AE6"/>
    <w:rsid w:val="00FE2CC5"/>
    <w:rsid w:val="00FE367E"/>
    <w:rsid w:val="00FE3E05"/>
    <w:rsid w:val="00FE442F"/>
    <w:rsid w:val="00FE4669"/>
    <w:rsid w:val="00FE48AD"/>
    <w:rsid w:val="00FE48B5"/>
    <w:rsid w:val="00FE4945"/>
    <w:rsid w:val="00FE4B59"/>
    <w:rsid w:val="00FE4CCD"/>
    <w:rsid w:val="00FE5548"/>
    <w:rsid w:val="00FE5967"/>
    <w:rsid w:val="00FF18D8"/>
    <w:rsid w:val="00FF18FC"/>
    <w:rsid w:val="00FF251A"/>
    <w:rsid w:val="00FF277B"/>
    <w:rsid w:val="00FF306B"/>
    <w:rsid w:val="00FF345F"/>
    <w:rsid w:val="00FF366F"/>
    <w:rsid w:val="00FF5FA1"/>
    <w:rsid w:val="00FF602C"/>
    <w:rsid w:val="00FF604A"/>
    <w:rsid w:val="00FF6DA3"/>
    <w:rsid w:val="00FF73FD"/>
    <w:rsid w:val="00FF7515"/>
    <w:rsid w:val="00FF7585"/>
    <w:rsid w:val="00FF7C58"/>
    <w:rsid w:val="00FF7F46"/>
    <w:rsid w:val="046B75E4"/>
    <w:rsid w:val="06B50B51"/>
    <w:rsid w:val="0759798C"/>
    <w:rsid w:val="078F3CEB"/>
    <w:rsid w:val="08703B1D"/>
    <w:rsid w:val="0A83424A"/>
    <w:rsid w:val="0EA37951"/>
    <w:rsid w:val="10171C53"/>
    <w:rsid w:val="119C6B21"/>
    <w:rsid w:val="12C12B83"/>
    <w:rsid w:val="151605A2"/>
    <w:rsid w:val="16AE6412"/>
    <w:rsid w:val="16FB120E"/>
    <w:rsid w:val="17C61180"/>
    <w:rsid w:val="1AFF547D"/>
    <w:rsid w:val="1D3B30CD"/>
    <w:rsid w:val="1F3529F6"/>
    <w:rsid w:val="1F6015F5"/>
    <w:rsid w:val="22BA621C"/>
    <w:rsid w:val="25B85CB3"/>
    <w:rsid w:val="266F3F4B"/>
    <w:rsid w:val="26AA0CA4"/>
    <w:rsid w:val="26B46F33"/>
    <w:rsid w:val="26D70E09"/>
    <w:rsid w:val="27450D73"/>
    <w:rsid w:val="27CD5619"/>
    <w:rsid w:val="28F1037E"/>
    <w:rsid w:val="29226D4F"/>
    <w:rsid w:val="2A60790E"/>
    <w:rsid w:val="2B750CC4"/>
    <w:rsid w:val="2BFB71FB"/>
    <w:rsid w:val="2C0252FF"/>
    <w:rsid w:val="2C111364"/>
    <w:rsid w:val="2CF36F6A"/>
    <w:rsid w:val="2D647313"/>
    <w:rsid w:val="2D724C29"/>
    <w:rsid w:val="2DE43DEE"/>
    <w:rsid w:val="31647E94"/>
    <w:rsid w:val="31BC6543"/>
    <w:rsid w:val="32E35964"/>
    <w:rsid w:val="33DD2692"/>
    <w:rsid w:val="342F1CEC"/>
    <w:rsid w:val="36D85DBD"/>
    <w:rsid w:val="3A7F1A7E"/>
    <w:rsid w:val="3AB00402"/>
    <w:rsid w:val="3C4E4BE5"/>
    <w:rsid w:val="3D476B7A"/>
    <w:rsid w:val="40FD5773"/>
    <w:rsid w:val="412052D0"/>
    <w:rsid w:val="4140013E"/>
    <w:rsid w:val="41E94C48"/>
    <w:rsid w:val="42FF5598"/>
    <w:rsid w:val="451E1594"/>
    <w:rsid w:val="46150282"/>
    <w:rsid w:val="46D12463"/>
    <w:rsid w:val="485A6485"/>
    <w:rsid w:val="4B475AEE"/>
    <w:rsid w:val="4DC10006"/>
    <w:rsid w:val="4F3A7F2B"/>
    <w:rsid w:val="5076449B"/>
    <w:rsid w:val="50BA79CF"/>
    <w:rsid w:val="52D70926"/>
    <w:rsid w:val="54CC49DF"/>
    <w:rsid w:val="55613455"/>
    <w:rsid w:val="56180662"/>
    <w:rsid w:val="57492DEB"/>
    <w:rsid w:val="5A7B3BDC"/>
    <w:rsid w:val="61EF28C6"/>
    <w:rsid w:val="62CE3110"/>
    <w:rsid w:val="69CD0EEA"/>
    <w:rsid w:val="6CA16BF5"/>
    <w:rsid w:val="6EA40D70"/>
    <w:rsid w:val="6FF25D4B"/>
    <w:rsid w:val="74FC78C0"/>
    <w:rsid w:val="754E640B"/>
    <w:rsid w:val="781B17CE"/>
    <w:rsid w:val="7D526B00"/>
    <w:rsid w:val="7D8732EE"/>
    <w:rsid w:val="7E7E4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styleId="3">
    <w:name w:val="heading 1"/>
    <w:basedOn w:val="1"/>
    <w:next w:val="1"/>
    <w:link w:val="45"/>
    <w:qFormat/>
    <w:uiPriority w:val="0"/>
    <w:pPr>
      <w:keepNext/>
      <w:keepLines/>
      <w:spacing w:before="120" w:after="120"/>
      <w:ind w:firstLine="0" w:firstLineChars="0"/>
      <w:jc w:val="left"/>
      <w:outlineLvl w:val="0"/>
    </w:pPr>
    <w:rPr>
      <w:b/>
      <w:bCs/>
      <w:kern w:val="44"/>
      <w:sz w:val="32"/>
      <w:szCs w:val="44"/>
    </w:rPr>
  </w:style>
  <w:style w:type="paragraph" w:styleId="4">
    <w:name w:val="heading 2"/>
    <w:basedOn w:val="1"/>
    <w:next w:val="1"/>
    <w:link w:val="46"/>
    <w:unhideWhenUsed/>
    <w:qFormat/>
    <w:uiPriority w:val="0"/>
    <w:pPr>
      <w:keepNext/>
      <w:keepLines/>
      <w:spacing w:before="120" w:after="120"/>
      <w:ind w:firstLine="0" w:firstLineChars="0"/>
      <w:jc w:val="left"/>
      <w:outlineLvl w:val="1"/>
    </w:pPr>
    <w:rPr>
      <w:rFonts w:cstheme="majorBidi"/>
      <w:b/>
      <w:bCs/>
      <w:sz w:val="30"/>
      <w:szCs w:val="32"/>
    </w:rPr>
  </w:style>
  <w:style w:type="paragraph" w:styleId="5">
    <w:name w:val="heading 3"/>
    <w:basedOn w:val="1"/>
    <w:next w:val="1"/>
    <w:link w:val="47"/>
    <w:unhideWhenUsed/>
    <w:qFormat/>
    <w:uiPriority w:val="0"/>
    <w:pPr>
      <w:keepNext/>
      <w:keepLines/>
      <w:spacing w:before="120" w:after="120"/>
      <w:ind w:firstLine="0" w:firstLineChars="0"/>
      <w:outlineLvl w:val="2"/>
    </w:pPr>
    <w:rPr>
      <w:b/>
      <w:bCs/>
      <w:sz w:val="28"/>
      <w:szCs w:val="32"/>
    </w:rPr>
  </w:style>
  <w:style w:type="paragraph" w:styleId="6">
    <w:name w:val="heading 4"/>
    <w:basedOn w:val="1"/>
    <w:next w:val="1"/>
    <w:link w:val="48"/>
    <w:unhideWhenUsed/>
    <w:qFormat/>
    <w:uiPriority w:val="0"/>
    <w:pPr>
      <w:keepNext/>
      <w:keepLines/>
      <w:spacing w:before="120" w:after="120"/>
      <w:outlineLvl w:val="3"/>
    </w:pPr>
    <w:rPr>
      <w:rFonts w:cstheme="majorBidi"/>
      <w:b/>
      <w:bCs/>
      <w:szCs w:val="28"/>
    </w:rPr>
  </w:style>
  <w:style w:type="paragraph" w:styleId="7">
    <w:name w:val="heading 5"/>
    <w:basedOn w:val="1"/>
    <w:next w:val="1"/>
    <w:link w:val="60"/>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 w:val="21"/>
      <w:szCs w:val="22"/>
    </w:rPr>
  </w:style>
  <w:style w:type="paragraph" w:styleId="9">
    <w:name w:val="Normal Indent"/>
    <w:basedOn w:val="1"/>
    <w:next w:val="10"/>
    <w:qFormat/>
    <w:uiPriority w:val="0"/>
    <w:pPr>
      <w:adjustRightInd w:val="0"/>
      <w:snapToGrid w:val="0"/>
      <w:spacing w:line="300" w:lineRule="auto"/>
      <w:ind w:firstLine="420" w:firstLineChars="0"/>
    </w:pPr>
    <w:rPr>
      <w:rFonts w:ascii="宋体" w:hAnsi="PMingLiU"/>
      <w:kern w:val="2"/>
      <w:sz w:val="21"/>
      <w:szCs w:val="24"/>
    </w:rPr>
  </w:style>
  <w:style w:type="paragraph" w:customStyle="1" w:styleId="10">
    <w:name w:val="Char Char Char Char Char Char Char Char Char1 Char"/>
    <w:basedOn w:val="1"/>
    <w:autoRedefine/>
    <w:qFormat/>
    <w:uiPriority w:val="0"/>
    <w:rPr>
      <w:rFonts w:hAnsi="宋体" w:cs="宋体"/>
      <w:szCs w:val="24"/>
    </w:rPr>
  </w:style>
  <w:style w:type="paragraph" w:styleId="11">
    <w:name w:val="caption"/>
    <w:basedOn w:val="1"/>
    <w:next w:val="1"/>
    <w:link w:val="166"/>
    <w:qFormat/>
    <w:uiPriority w:val="35"/>
    <w:pPr>
      <w:spacing w:before="120" w:after="120"/>
      <w:ind w:firstLine="0" w:firstLineChars="0"/>
      <w:jc w:val="center"/>
    </w:pPr>
    <w:rPr>
      <w:rFonts w:cstheme="majorBidi"/>
      <w:b/>
      <w:sz w:val="21"/>
    </w:rPr>
  </w:style>
  <w:style w:type="paragraph" w:styleId="12">
    <w:name w:val="annotation text"/>
    <w:basedOn w:val="1"/>
    <w:link w:val="96"/>
    <w:qFormat/>
    <w:uiPriority w:val="0"/>
    <w:pPr>
      <w:spacing w:line="320" w:lineRule="exact"/>
      <w:ind w:firstLine="0" w:firstLineChars="0"/>
      <w:jc w:val="left"/>
    </w:pPr>
    <w:rPr>
      <w:kern w:val="2"/>
      <w:sz w:val="21"/>
      <w:szCs w:val="22"/>
    </w:rPr>
  </w:style>
  <w:style w:type="paragraph" w:styleId="13">
    <w:name w:val="Body Text"/>
    <w:basedOn w:val="1"/>
    <w:link w:val="94"/>
    <w:qFormat/>
    <w:uiPriority w:val="0"/>
    <w:pPr>
      <w:widowControl/>
      <w:spacing w:after="200" w:line="240" w:lineRule="auto"/>
      <w:ind w:firstLine="0" w:firstLineChars="0"/>
      <w:jc w:val="center"/>
    </w:pPr>
    <w:rPr>
      <w:sz w:val="21"/>
      <w:szCs w:val="22"/>
      <w:lang w:eastAsia="en-US" w:bidi="en-US"/>
    </w:rPr>
  </w:style>
  <w:style w:type="paragraph" w:styleId="14">
    <w:name w:val="Body Text Indent"/>
    <w:basedOn w:val="1"/>
    <w:next w:val="15"/>
    <w:link w:val="97"/>
    <w:qFormat/>
    <w:uiPriority w:val="0"/>
    <w:pPr>
      <w:spacing w:line="480" w:lineRule="auto"/>
      <w:ind w:firstLine="480"/>
    </w:pPr>
    <w:rPr>
      <w:rFonts w:ascii="宋体"/>
      <w:kern w:val="2"/>
      <w:szCs w:val="22"/>
    </w:rPr>
  </w:style>
  <w:style w:type="paragraph" w:customStyle="1" w:styleId="15">
    <w:name w:val="样式 正文文本缩进 + 行距: 1.5 倍行距"/>
    <w:basedOn w:val="16"/>
    <w:next w:val="2"/>
    <w:qFormat/>
    <w:uiPriority w:val="0"/>
    <w:pPr>
      <w:spacing w:after="120"/>
      <w:ind w:left="90" w:leftChars="32" w:firstLine="560"/>
    </w:pPr>
    <w:rPr>
      <w:rFonts w:cs="宋体"/>
    </w:rPr>
  </w:style>
  <w:style w:type="paragraph" w:customStyle="1" w:styleId="16">
    <w:name w:val="正文文本缩进1"/>
    <w:basedOn w:val="1"/>
    <w:next w:val="15"/>
    <w:unhideWhenUsed/>
    <w:qFormat/>
    <w:uiPriority w:val="0"/>
    <w:pPr>
      <w:ind w:left="420" w:leftChars="200"/>
    </w:pPr>
    <w:rPr>
      <w:rFonts w:hint="eastAsia" w:eastAsia="Times New Roman"/>
    </w:rPr>
  </w:style>
  <w:style w:type="paragraph" w:styleId="17">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 w:val="21"/>
      <w:szCs w:val="22"/>
    </w:rPr>
  </w:style>
  <w:style w:type="paragraph" w:styleId="18">
    <w:name w:val="toc 3"/>
    <w:basedOn w:val="1"/>
    <w:next w:val="1"/>
    <w:unhideWhenUsed/>
    <w:qFormat/>
    <w:uiPriority w:val="39"/>
    <w:pPr>
      <w:ind w:left="840" w:leftChars="400"/>
    </w:pPr>
  </w:style>
  <w:style w:type="paragraph" w:styleId="19">
    <w:name w:val="Plain Text"/>
    <w:basedOn w:val="1"/>
    <w:next w:val="20"/>
    <w:link w:val="98"/>
    <w:qFormat/>
    <w:uiPriority w:val="0"/>
    <w:pPr>
      <w:widowControl/>
      <w:spacing w:after="200" w:line="240" w:lineRule="auto"/>
      <w:ind w:firstLine="0" w:firstLineChars="0"/>
      <w:jc w:val="left"/>
    </w:pPr>
    <w:rPr>
      <w:rFonts w:ascii="宋体" w:hAnsi="Courier New"/>
      <w:sz w:val="28"/>
      <w:lang w:eastAsia="en-US" w:bidi="en-US"/>
    </w:rPr>
  </w:style>
  <w:style w:type="paragraph" w:customStyle="1" w:styleId="20">
    <w:name w:val="表内文字"/>
    <w:basedOn w:val="1"/>
    <w:qFormat/>
    <w:uiPriority w:val="0"/>
    <w:pPr>
      <w:spacing w:line="360" w:lineRule="atLeast"/>
      <w:ind w:firstLine="0" w:firstLineChars="0"/>
      <w:jc w:val="center"/>
    </w:pPr>
    <w:rPr>
      <w:kern w:val="2"/>
      <w:sz w:val="21"/>
      <w:szCs w:val="22"/>
    </w:rPr>
  </w:style>
  <w:style w:type="paragraph" w:styleId="21">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 w:val="21"/>
      <w:szCs w:val="22"/>
    </w:rPr>
  </w:style>
  <w:style w:type="paragraph" w:styleId="22">
    <w:name w:val="Body Text Indent 2"/>
    <w:basedOn w:val="1"/>
    <w:link w:val="99"/>
    <w:qFormat/>
    <w:uiPriority w:val="0"/>
    <w:pPr>
      <w:spacing w:line="540" w:lineRule="exact"/>
      <w:ind w:firstLine="480"/>
    </w:pPr>
    <w:rPr>
      <w:kern w:val="2"/>
      <w:sz w:val="21"/>
      <w:szCs w:val="22"/>
    </w:rPr>
  </w:style>
  <w:style w:type="paragraph" w:styleId="23">
    <w:name w:val="endnote text"/>
    <w:basedOn w:val="1"/>
    <w:qFormat/>
    <w:uiPriority w:val="0"/>
    <w:pPr>
      <w:autoSpaceDE w:val="0"/>
      <w:autoSpaceDN w:val="0"/>
      <w:snapToGrid w:val="0"/>
      <w:jc w:val="left"/>
    </w:pPr>
    <w:rPr>
      <w:rFonts w:ascii="Noto Sans CJK JP Regular" w:hAnsi="Noto Sans CJK JP Regular" w:eastAsia="Noto Sans CJK JP Regular" w:cs="Noto Sans CJK JP Regular"/>
      <w:sz w:val="22"/>
      <w:lang w:eastAsia="en-US"/>
    </w:rPr>
  </w:style>
  <w:style w:type="paragraph" w:styleId="24">
    <w:name w:val="Balloon Text"/>
    <w:basedOn w:val="1"/>
    <w:link w:val="59"/>
    <w:semiHidden/>
    <w:unhideWhenUsed/>
    <w:qFormat/>
    <w:uiPriority w:val="0"/>
    <w:pPr>
      <w:spacing w:line="240" w:lineRule="auto"/>
    </w:pPr>
    <w:rPr>
      <w:sz w:val="18"/>
      <w:szCs w:val="18"/>
    </w:rPr>
  </w:style>
  <w:style w:type="paragraph" w:styleId="25">
    <w:name w:val="footer"/>
    <w:basedOn w:val="1"/>
    <w:link w:val="57"/>
    <w:unhideWhenUsed/>
    <w:qFormat/>
    <w:uiPriority w:val="99"/>
    <w:pPr>
      <w:tabs>
        <w:tab w:val="center" w:pos="4153"/>
        <w:tab w:val="right" w:pos="8306"/>
      </w:tabs>
      <w:snapToGrid w:val="0"/>
      <w:jc w:val="left"/>
    </w:pPr>
    <w:rPr>
      <w:sz w:val="18"/>
      <w:szCs w:val="18"/>
    </w:rPr>
  </w:style>
  <w:style w:type="paragraph" w:styleId="26">
    <w:name w:val="toc 1"/>
    <w:basedOn w:val="3"/>
    <w:next w:val="1"/>
    <w:unhideWhenUsed/>
    <w:qFormat/>
    <w:uiPriority w:val="39"/>
    <w:pPr>
      <w:tabs>
        <w:tab w:val="right" w:leader="dot" w:pos="8296"/>
      </w:tabs>
      <w:adjustRightInd w:val="0"/>
      <w:spacing w:before="0" w:after="0"/>
      <w:ind w:firstLine="480"/>
      <w:jc w:val="center"/>
    </w:pPr>
    <w:rPr>
      <w:b w:val="0"/>
      <w:sz w:val="28"/>
    </w:rPr>
  </w:style>
  <w:style w:type="paragraph" w:styleId="27">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 w:val="21"/>
      <w:szCs w:val="22"/>
    </w:rPr>
  </w:style>
  <w:style w:type="paragraph" w:styleId="28">
    <w:name w:val="List"/>
    <w:basedOn w:val="1"/>
    <w:qFormat/>
    <w:uiPriority w:val="0"/>
    <w:pPr>
      <w:spacing w:line="320" w:lineRule="exact"/>
      <w:ind w:left="200" w:hanging="200" w:hangingChars="200"/>
    </w:pPr>
    <w:rPr>
      <w:kern w:val="2"/>
      <w:sz w:val="21"/>
      <w:szCs w:val="24"/>
    </w:rPr>
  </w:style>
  <w:style w:type="paragraph" w:styleId="29">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 w:val="21"/>
      <w:szCs w:val="22"/>
    </w:rPr>
  </w:style>
  <w:style w:type="paragraph" w:styleId="30">
    <w:name w:val="Body Text Indent 3"/>
    <w:basedOn w:val="1"/>
    <w:link w:val="100"/>
    <w:qFormat/>
    <w:uiPriority w:val="99"/>
    <w:pPr>
      <w:widowControl/>
      <w:spacing w:after="120" w:line="240" w:lineRule="auto"/>
      <w:ind w:left="420" w:leftChars="200" w:firstLine="0" w:firstLineChars="0"/>
      <w:jc w:val="left"/>
    </w:pPr>
    <w:rPr>
      <w:sz w:val="16"/>
      <w:szCs w:val="16"/>
      <w:lang w:eastAsia="en-US" w:bidi="en-US"/>
    </w:rPr>
  </w:style>
  <w:style w:type="paragraph" w:styleId="31">
    <w:name w:val="toc 2"/>
    <w:basedOn w:val="4"/>
    <w:next w:val="1"/>
    <w:unhideWhenUsed/>
    <w:qFormat/>
    <w:uiPriority w:val="39"/>
    <w:pPr>
      <w:spacing w:before="0" w:after="0"/>
      <w:ind w:firstLine="200" w:firstLineChars="200"/>
      <w:jc w:val="both"/>
    </w:pPr>
    <w:rPr>
      <w:b w:val="0"/>
      <w:sz w:val="24"/>
    </w:rPr>
  </w:style>
  <w:style w:type="paragraph" w:styleId="32">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 w:val="21"/>
      <w:szCs w:val="22"/>
    </w:rPr>
  </w:style>
  <w:style w:type="paragraph" w:styleId="33">
    <w:name w:val="Body Text 2"/>
    <w:basedOn w:val="1"/>
    <w:link w:val="95"/>
    <w:unhideWhenUsed/>
    <w:qFormat/>
    <w:uiPriority w:val="99"/>
    <w:pPr>
      <w:spacing w:after="120" w:line="480" w:lineRule="auto"/>
      <w:ind w:firstLine="0" w:firstLineChars="0"/>
    </w:pPr>
    <w:rPr>
      <w:kern w:val="2"/>
      <w:sz w:val="21"/>
      <w:szCs w:val="22"/>
    </w:rPr>
  </w:style>
  <w:style w:type="paragraph" w:styleId="34">
    <w:name w:val="HTML Preformatted"/>
    <w:basedOn w:val="1"/>
    <w:link w:val="16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35">
    <w:name w:val="Normal (Web)"/>
    <w:basedOn w:val="1"/>
    <w:qFormat/>
    <w:uiPriority w:val="0"/>
    <w:pPr>
      <w:widowControl/>
      <w:spacing w:before="100" w:beforeAutospacing="1" w:after="100" w:afterAutospacing="1" w:line="240" w:lineRule="auto"/>
      <w:ind w:firstLine="480" w:firstLineChars="0"/>
      <w:jc w:val="left"/>
    </w:pPr>
    <w:rPr>
      <w:rFonts w:ascii="宋体" w:hAnsi="宋体" w:cs="宋体"/>
      <w:sz w:val="22"/>
      <w:szCs w:val="22"/>
      <w:lang w:eastAsia="en-US" w:bidi="en-US"/>
    </w:rPr>
  </w:style>
  <w:style w:type="paragraph" w:styleId="36">
    <w:name w:val="annotation subject"/>
    <w:basedOn w:val="12"/>
    <w:next w:val="12"/>
    <w:link w:val="186"/>
    <w:semiHidden/>
    <w:unhideWhenUsed/>
    <w:qFormat/>
    <w:uiPriority w:val="99"/>
    <w:pPr>
      <w:spacing w:line="360" w:lineRule="auto"/>
      <w:ind w:firstLine="200" w:firstLineChars="200"/>
    </w:pPr>
    <w:rPr>
      <w:b/>
      <w:bCs/>
      <w:kern w:val="0"/>
      <w:sz w:val="24"/>
      <w:szCs w:val="20"/>
    </w:rPr>
  </w:style>
  <w:style w:type="paragraph" w:styleId="37">
    <w:name w:val="Body Text First Indent"/>
    <w:basedOn w:val="13"/>
    <w:link w:val="101"/>
    <w:qFormat/>
    <w:uiPriority w:val="0"/>
    <w:pPr>
      <w:widowControl w:val="0"/>
      <w:spacing w:after="120"/>
      <w:ind w:firstLine="420" w:firstLineChars="100"/>
      <w:jc w:val="both"/>
    </w:pPr>
    <w:rPr>
      <w:kern w:val="2"/>
      <w:szCs w:val="24"/>
      <w:lang w:eastAsia="zh-CN" w:bidi="ar-SA"/>
    </w:rPr>
  </w:style>
  <w:style w:type="paragraph" w:styleId="38">
    <w:name w:val="Body Text First Indent 2"/>
    <w:basedOn w:val="14"/>
    <w:next w:val="1"/>
    <w:link w:val="102"/>
    <w:qFormat/>
    <w:uiPriority w:val="0"/>
    <w:pPr>
      <w:spacing w:after="120" w:line="240" w:lineRule="auto"/>
      <w:ind w:left="420" w:leftChars="200" w:firstLine="420" w:firstLineChars="0"/>
    </w:pPr>
    <w:rPr>
      <w:sz w:val="21"/>
      <w:szCs w:val="24"/>
    </w:rPr>
  </w:style>
  <w:style w:type="table" w:styleId="40">
    <w:name w:val="Table Grid"/>
    <w:basedOn w:val="3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page number"/>
    <w:qFormat/>
    <w:uiPriority w:val="0"/>
  </w:style>
  <w:style w:type="character" w:styleId="43">
    <w:name w:val="Hyperlink"/>
    <w:basedOn w:val="41"/>
    <w:unhideWhenUsed/>
    <w:qFormat/>
    <w:uiPriority w:val="99"/>
    <w:rPr>
      <w:color w:val="0000FF" w:themeColor="hyperlink"/>
      <w:u w:val="single"/>
      <w14:textFill>
        <w14:solidFill>
          <w14:schemeClr w14:val="hlink"/>
        </w14:solidFill>
      </w14:textFill>
    </w:rPr>
  </w:style>
  <w:style w:type="character" w:styleId="44">
    <w:name w:val="annotation reference"/>
    <w:qFormat/>
    <w:uiPriority w:val="0"/>
    <w:rPr>
      <w:sz w:val="21"/>
      <w:szCs w:val="21"/>
    </w:rPr>
  </w:style>
  <w:style w:type="character" w:customStyle="1" w:styleId="45">
    <w:name w:val="标题 1 字符"/>
    <w:basedOn w:val="41"/>
    <w:link w:val="3"/>
    <w:qFormat/>
    <w:uiPriority w:val="9"/>
    <w:rPr>
      <w:b/>
      <w:bCs/>
      <w:kern w:val="44"/>
      <w:sz w:val="32"/>
      <w:szCs w:val="44"/>
    </w:rPr>
  </w:style>
  <w:style w:type="character" w:customStyle="1" w:styleId="46">
    <w:name w:val="标题 2 字符"/>
    <w:basedOn w:val="41"/>
    <w:link w:val="4"/>
    <w:qFormat/>
    <w:uiPriority w:val="9"/>
    <w:rPr>
      <w:rFonts w:cstheme="majorBidi"/>
      <w:b/>
      <w:bCs/>
      <w:kern w:val="0"/>
      <w:sz w:val="30"/>
      <w:szCs w:val="32"/>
    </w:rPr>
  </w:style>
  <w:style w:type="character" w:customStyle="1" w:styleId="47">
    <w:name w:val="标题 3 字符"/>
    <w:basedOn w:val="41"/>
    <w:link w:val="5"/>
    <w:qFormat/>
    <w:uiPriority w:val="9"/>
    <w:rPr>
      <w:b/>
      <w:bCs/>
      <w:kern w:val="0"/>
      <w:sz w:val="28"/>
      <w:szCs w:val="32"/>
    </w:rPr>
  </w:style>
  <w:style w:type="character" w:customStyle="1" w:styleId="48">
    <w:name w:val="标题 4 字符"/>
    <w:basedOn w:val="41"/>
    <w:link w:val="6"/>
    <w:qFormat/>
    <w:uiPriority w:val="9"/>
    <w:rPr>
      <w:rFonts w:cstheme="majorBidi"/>
      <w:b/>
      <w:bCs/>
      <w:kern w:val="0"/>
      <w:sz w:val="24"/>
      <w:szCs w:val="28"/>
    </w:rPr>
  </w:style>
  <w:style w:type="paragraph" w:customStyle="1" w:styleId="49">
    <w:name w:val="正文文本1"/>
    <w:basedOn w:val="1"/>
    <w:link w:val="50"/>
    <w:qFormat/>
    <w:uiPriority w:val="0"/>
    <w:pPr>
      <w:spacing w:line="427" w:lineRule="auto"/>
      <w:ind w:firstLine="400" w:firstLineChars="0"/>
      <w:jc w:val="left"/>
    </w:pPr>
    <w:rPr>
      <w:rFonts w:ascii="宋体" w:hAnsi="宋体" w:cs="宋体"/>
      <w:sz w:val="22"/>
      <w:szCs w:val="22"/>
    </w:rPr>
  </w:style>
  <w:style w:type="character" w:customStyle="1" w:styleId="50">
    <w:name w:val="正文文本_"/>
    <w:basedOn w:val="41"/>
    <w:link w:val="49"/>
    <w:qFormat/>
    <w:uiPriority w:val="0"/>
    <w:rPr>
      <w:rFonts w:ascii="宋体" w:hAnsi="宋体" w:cs="宋体"/>
      <w:sz w:val="22"/>
      <w:szCs w:val="22"/>
    </w:rPr>
  </w:style>
  <w:style w:type="paragraph" w:customStyle="1" w:styleId="51">
    <w:name w:val="样式5"/>
    <w:basedOn w:val="52"/>
    <w:next w:val="23"/>
    <w:qFormat/>
    <w:uiPriority w:val="0"/>
    <w:pPr>
      <w:widowControl/>
      <w:tabs>
        <w:tab w:val="left" w:pos="567"/>
        <w:tab w:val="center" w:pos="4153"/>
        <w:tab w:val="right" w:pos="8306"/>
      </w:tabs>
      <w:spacing w:line="355" w:lineRule="auto"/>
      <w:ind w:firstLine="360"/>
    </w:pPr>
    <w:rPr>
      <w:rFonts w:ascii="楷体_GB2312" w:eastAsia="楷体_GB2312"/>
    </w:rPr>
  </w:style>
  <w:style w:type="paragraph" w:customStyle="1" w:styleId="52">
    <w:name w:val="正文1"/>
    <w:basedOn w:val="53"/>
    <w:next w:val="1"/>
    <w:qFormat/>
    <w:uiPriority w:val="0"/>
    <w:pPr>
      <w:tabs>
        <w:tab w:val="left" w:pos="567"/>
      </w:tabs>
    </w:pPr>
    <w:rPr>
      <w:rFonts w:eastAsia="宋体"/>
    </w:rPr>
  </w:style>
  <w:style w:type="paragraph" w:customStyle="1" w:styleId="53">
    <w:name w:val="正文11"/>
    <w:link w:val="169"/>
    <w:qFormat/>
    <w:uiPriority w:val="0"/>
    <w:pPr>
      <w:widowControl w:val="0"/>
      <w:tabs>
        <w:tab w:val="left" w:pos="567"/>
      </w:tabs>
      <w:adjustRightInd w:val="0"/>
      <w:spacing w:line="360" w:lineRule="atLeast"/>
      <w:ind w:left="567" w:hanging="567"/>
      <w:textAlignment w:val="baseline"/>
    </w:pPr>
    <w:rPr>
      <w:rFonts w:ascii="宋体" w:hAnsi="Times New Roman" w:eastAsia="Times New Roman" w:cs="Times New Roman"/>
      <w:sz w:val="24"/>
      <w:lang w:val="en-US" w:eastAsia="zh-CN" w:bidi="ar-SA"/>
    </w:rPr>
  </w:style>
  <w:style w:type="paragraph" w:customStyle="1" w:styleId="54">
    <w:name w:val="Default"/>
    <w:basedOn w:val="55"/>
    <w:qFormat/>
    <w:uiPriority w:val="0"/>
    <w:pPr>
      <w:autoSpaceDE w:val="0"/>
      <w:autoSpaceDN w:val="0"/>
    </w:pPr>
    <w:rPr>
      <w:rFonts w:ascii="黑体" w:eastAsia="黑体" w:cs="黑体"/>
      <w:sz w:val="24"/>
      <w:szCs w:val="24"/>
    </w:rPr>
  </w:style>
  <w:style w:type="paragraph" w:customStyle="1" w:styleId="55">
    <w:name w:val="纯文本1"/>
    <w:basedOn w:val="1"/>
    <w:qFormat/>
    <w:uiPriority w:val="0"/>
    <w:pPr>
      <w:spacing w:line="520" w:lineRule="atLeast"/>
    </w:pPr>
    <w:rPr>
      <w:rFonts w:ascii="宋体" w:hAnsi="Courier New"/>
      <w:sz w:val="28"/>
    </w:rPr>
  </w:style>
  <w:style w:type="character" w:customStyle="1" w:styleId="56">
    <w:name w:val="页眉 字符"/>
    <w:basedOn w:val="41"/>
    <w:link w:val="2"/>
    <w:qFormat/>
    <w:uiPriority w:val="99"/>
    <w:rPr>
      <w:kern w:val="0"/>
      <w:sz w:val="18"/>
      <w:szCs w:val="18"/>
    </w:rPr>
  </w:style>
  <w:style w:type="character" w:customStyle="1" w:styleId="57">
    <w:name w:val="页脚 字符"/>
    <w:basedOn w:val="41"/>
    <w:link w:val="25"/>
    <w:qFormat/>
    <w:uiPriority w:val="99"/>
    <w:rPr>
      <w:kern w:val="0"/>
      <w:sz w:val="18"/>
      <w:szCs w:val="18"/>
    </w:rPr>
  </w:style>
  <w:style w:type="paragraph" w:customStyle="1" w:styleId="58">
    <w:name w:val="TOC 标题1"/>
    <w:basedOn w:val="3"/>
    <w:next w:val="1"/>
    <w:semiHidden/>
    <w:unhideWhenUsed/>
    <w:qFormat/>
    <w:uiPriority w:val="39"/>
    <w:pPr>
      <w:widowControl/>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59">
    <w:name w:val="批注框文本 字符"/>
    <w:basedOn w:val="41"/>
    <w:link w:val="24"/>
    <w:semiHidden/>
    <w:qFormat/>
    <w:uiPriority w:val="99"/>
    <w:rPr>
      <w:kern w:val="0"/>
      <w:sz w:val="18"/>
      <w:szCs w:val="18"/>
    </w:rPr>
  </w:style>
  <w:style w:type="character" w:customStyle="1" w:styleId="60">
    <w:name w:val="标题 5 字符"/>
    <w:basedOn w:val="41"/>
    <w:link w:val="7"/>
    <w:qFormat/>
    <w:uiPriority w:val="9"/>
    <w:rPr>
      <w:b/>
      <w:bCs/>
      <w:kern w:val="0"/>
      <w:sz w:val="28"/>
      <w:szCs w:val="28"/>
    </w:rPr>
  </w:style>
  <w:style w:type="paragraph" w:customStyle="1" w:styleId="61">
    <w:name w:val="正文A"/>
    <w:basedOn w:val="1"/>
    <w:link w:val="179"/>
    <w:qFormat/>
    <w:uiPriority w:val="0"/>
    <w:pPr>
      <w:spacing w:line="500" w:lineRule="exact"/>
      <w:ind w:firstLine="480"/>
    </w:pPr>
    <w:rPr>
      <w:rFonts w:ascii="华文仿宋" w:hAnsi="华文仿宋" w:eastAsia="华文仿宋" w:cs="华文仿宋"/>
      <w:kern w:val="2"/>
      <w:szCs w:val="24"/>
    </w:rPr>
  </w:style>
  <w:style w:type="table" w:customStyle="1" w:styleId="62">
    <w:name w:val="三线1"/>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
    <w:name w:val="Char"/>
    <w:basedOn w:val="1"/>
    <w:qFormat/>
    <w:uiPriority w:val="0"/>
    <w:pPr>
      <w:spacing w:line="320" w:lineRule="exact"/>
      <w:ind w:firstLine="0" w:firstLineChars="0"/>
    </w:pPr>
    <w:rPr>
      <w:kern w:val="2"/>
      <w:sz w:val="21"/>
      <w:szCs w:val="22"/>
    </w:rPr>
  </w:style>
  <w:style w:type="table" w:customStyle="1" w:styleId="64">
    <w:name w:val="网格型1"/>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
    <w:name w:val="网格型2"/>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6">
    <w:name w:val="网格型3"/>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7">
    <w:name w:val="网格型4"/>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8">
    <w:name w:val="网格型5"/>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9">
    <w:name w:val="网格型6"/>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7"/>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8"/>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9"/>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
    <w:name w:val="网格型10"/>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4">
    <w:name w:val="网格型11"/>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
    <w:name w:val="网格型12"/>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6">
    <w:name w:val="网格型13"/>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7">
    <w:name w:val="网格型14"/>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8">
    <w:name w:val="网格型15"/>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9">
    <w:name w:val="网格型16"/>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0">
    <w:name w:val="网格型17"/>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1">
    <w:name w:val="网格型18"/>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2">
    <w:name w:val="网格型19"/>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3">
    <w:name w:val="网格型20"/>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4">
    <w:name w:val="Char1"/>
    <w:basedOn w:val="1"/>
    <w:qFormat/>
    <w:uiPriority w:val="0"/>
    <w:pPr>
      <w:spacing w:line="320" w:lineRule="exact"/>
      <w:ind w:firstLine="0" w:firstLineChars="0"/>
    </w:pPr>
    <w:rPr>
      <w:kern w:val="2"/>
      <w:sz w:val="21"/>
      <w:szCs w:val="22"/>
    </w:rPr>
  </w:style>
  <w:style w:type="table" w:customStyle="1" w:styleId="85">
    <w:name w:val="网格型21"/>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6">
    <w:name w:val="网格型22"/>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7">
    <w:name w:val="网格型23"/>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8">
    <w:name w:val="网格型24"/>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9">
    <w:name w:val="网格型25"/>
    <w:basedOn w:val="3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0">
    <w:name w:val="网格型26"/>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三线2"/>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
    <w:name w:val="Char2"/>
    <w:basedOn w:val="1"/>
    <w:qFormat/>
    <w:uiPriority w:val="0"/>
    <w:pPr>
      <w:spacing w:line="320" w:lineRule="exact"/>
      <w:ind w:firstLine="0" w:firstLineChars="0"/>
    </w:pPr>
    <w:rPr>
      <w:kern w:val="2"/>
      <w:sz w:val="21"/>
      <w:szCs w:val="22"/>
    </w:rPr>
  </w:style>
  <w:style w:type="paragraph" w:customStyle="1" w:styleId="93">
    <w:name w:val="Char3"/>
    <w:basedOn w:val="1"/>
    <w:qFormat/>
    <w:uiPriority w:val="0"/>
    <w:pPr>
      <w:spacing w:line="320" w:lineRule="exact"/>
      <w:ind w:firstLine="0" w:firstLineChars="0"/>
    </w:pPr>
    <w:rPr>
      <w:kern w:val="2"/>
      <w:sz w:val="21"/>
      <w:szCs w:val="22"/>
    </w:rPr>
  </w:style>
  <w:style w:type="character" w:customStyle="1" w:styleId="94">
    <w:name w:val="正文文本 字符"/>
    <w:basedOn w:val="41"/>
    <w:link w:val="13"/>
    <w:qFormat/>
    <w:uiPriority w:val="0"/>
    <w:rPr>
      <w:kern w:val="0"/>
      <w:szCs w:val="22"/>
      <w:lang w:eastAsia="en-US" w:bidi="en-US"/>
    </w:rPr>
  </w:style>
  <w:style w:type="character" w:customStyle="1" w:styleId="95">
    <w:name w:val="正文文本 2 字符"/>
    <w:basedOn w:val="41"/>
    <w:link w:val="33"/>
    <w:qFormat/>
    <w:uiPriority w:val="99"/>
    <w:rPr>
      <w:szCs w:val="22"/>
    </w:rPr>
  </w:style>
  <w:style w:type="character" w:customStyle="1" w:styleId="96">
    <w:name w:val="批注文字 字符"/>
    <w:basedOn w:val="41"/>
    <w:link w:val="12"/>
    <w:qFormat/>
    <w:uiPriority w:val="0"/>
    <w:rPr>
      <w:szCs w:val="22"/>
    </w:rPr>
  </w:style>
  <w:style w:type="character" w:customStyle="1" w:styleId="97">
    <w:name w:val="正文文本缩进 字符"/>
    <w:basedOn w:val="41"/>
    <w:link w:val="14"/>
    <w:qFormat/>
    <w:uiPriority w:val="0"/>
    <w:rPr>
      <w:rFonts w:ascii="宋体"/>
      <w:sz w:val="24"/>
      <w:szCs w:val="22"/>
    </w:rPr>
  </w:style>
  <w:style w:type="character" w:customStyle="1" w:styleId="98">
    <w:name w:val="纯文本 字符"/>
    <w:basedOn w:val="41"/>
    <w:link w:val="19"/>
    <w:qFormat/>
    <w:uiPriority w:val="0"/>
    <w:rPr>
      <w:rFonts w:ascii="宋体" w:hAnsi="Courier New"/>
      <w:kern w:val="0"/>
      <w:sz w:val="28"/>
      <w:szCs w:val="20"/>
      <w:lang w:eastAsia="en-US" w:bidi="en-US"/>
    </w:rPr>
  </w:style>
  <w:style w:type="character" w:customStyle="1" w:styleId="99">
    <w:name w:val="正文文本缩进 2 字符"/>
    <w:basedOn w:val="41"/>
    <w:link w:val="22"/>
    <w:qFormat/>
    <w:uiPriority w:val="0"/>
    <w:rPr>
      <w:szCs w:val="22"/>
    </w:rPr>
  </w:style>
  <w:style w:type="character" w:customStyle="1" w:styleId="100">
    <w:name w:val="正文文本缩进 3 字符"/>
    <w:basedOn w:val="41"/>
    <w:link w:val="30"/>
    <w:qFormat/>
    <w:uiPriority w:val="99"/>
    <w:rPr>
      <w:kern w:val="0"/>
      <w:sz w:val="16"/>
      <w:szCs w:val="16"/>
      <w:lang w:eastAsia="en-US" w:bidi="en-US"/>
    </w:rPr>
  </w:style>
  <w:style w:type="character" w:customStyle="1" w:styleId="101">
    <w:name w:val="正文文本首行缩进 字符"/>
    <w:basedOn w:val="94"/>
    <w:link w:val="37"/>
    <w:qFormat/>
    <w:uiPriority w:val="0"/>
    <w:rPr>
      <w:kern w:val="0"/>
      <w:szCs w:val="24"/>
      <w:lang w:eastAsia="en-US" w:bidi="en-US"/>
    </w:rPr>
  </w:style>
  <w:style w:type="character" w:customStyle="1" w:styleId="102">
    <w:name w:val="正文文本首行缩进 2 字符"/>
    <w:basedOn w:val="97"/>
    <w:link w:val="38"/>
    <w:qFormat/>
    <w:uiPriority w:val="0"/>
    <w:rPr>
      <w:rFonts w:ascii="宋体"/>
      <w:sz w:val="24"/>
      <w:szCs w:val="24"/>
    </w:rPr>
  </w:style>
  <w:style w:type="paragraph" w:customStyle="1" w:styleId="103">
    <w:name w:val="1 表头"/>
    <w:basedOn w:val="1"/>
    <w:qFormat/>
    <w:uiPriority w:val="0"/>
    <w:pPr>
      <w:adjustRightInd w:val="0"/>
      <w:snapToGrid w:val="0"/>
      <w:spacing w:line="240" w:lineRule="auto"/>
      <w:ind w:firstLine="0" w:firstLineChars="0"/>
      <w:jc w:val="center"/>
    </w:pPr>
    <w:rPr>
      <w:b/>
      <w:color w:val="000000"/>
      <w:kern w:val="2"/>
      <w:sz w:val="21"/>
      <w:szCs w:val="21"/>
    </w:rPr>
  </w:style>
  <w:style w:type="paragraph" w:customStyle="1" w:styleId="104">
    <w:name w:val="表格内"/>
    <w:basedOn w:val="1"/>
    <w:qFormat/>
    <w:uiPriority w:val="0"/>
    <w:pPr>
      <w:adjustRightInd w:val="0"/>
      <w:spacing w:line="240" w:lineRule="atLeast"/>
      <w:ind w:firstLine="0" w:firstLineChars="0"/>
      <w:jc w:val="center"/>
      <w:textAlignment w:val="baseline"/>
    </w:pPr>
    <w:rPr>
      <w:rFonts w:ascii="宋体"/>
      <w:sz w:val="28"/>
    </w:rPr>
  </w:style>
  <w:style w:type="character" w:customStyle="1" w:styleId="105">
    <w:name w:val="Body text + Spacing 0 pt"/>
    <w:qFormat/>
    <w:uiPriority w:val="0"/>
    <w:rPr>
      <w:rFonts w:ascii="MingLiU" w:hAnsi="MingLiU" w:eastAsia="MingLiU" w:cs="MingLiU"/>
      <w:color w:val="000000"/>
      <w:spacing w:val="-10"/>
      <w:w w:val="100"/>
      <w:position w:val="0"/>
      <w:sz w:val="22"/>
      <w:szCs w:val="22"/>
      <w:u w:val="none"/>
      <w:lang w:val="en-US"/>
    </w:rPr>
  </w:style>
  <w:style w:type="paragraph" w:customStyle="1" w:styleId="106">
    <w:name w:val="正文格式"/>
    <w:basedOn w:val="37"/>
    <w:qFormat/>
    <w:uiPriority w:val="0"/>
    <w:pPr>
      <w:spacing w:after="0" w:line="360" w:lineRule="auto"/>
      <w:ind w:firstLine="200" w:firstLineChars="200"/>
    </w:pPr>
    <w:rPr>
      <w:rFonts w:ascii="宋体"/>
      <w:sz w:val="24"/>
    </w:rPr>
  </w:style>
  <w:style w:type="paragraph" w:customStyle="1" w:styleId="107">
    <w:name w:val="报告正文"/>
    <w:basedOn w:val="108"/>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108">
    <w:name w:val="p17"/>
    <w:basedOn w:val="1"/>
    <w:qFormat/>
    <w:uiPriority w:val="0"/>
    <w:pPr>
      <w:widowControl/>
      <w:spacing w:line="320" w:lineRule="exact"/>
      <w:ind w:firstLine="0" w:firstLineChars="0"/>
    </w:pPr>
    <w:rPr>
      <w:rFonts w:ascii="宋体" w:hAnsi="宋体" w:cs="宋体"/>
      <w:sz w:val="21"/>
      <w:szCs w:val="21"/>
    </w:rPr>
  </w:style>
  <w:style w:type="paragraph" w:customStyle="1" w:styleId="109">
    <w:name w:val="标题三A"/>
    <w:basedOn w:val="5"/>
    <w:qFormat/>
    <w:uiPriority w:val="0"/>
    <w:pPr>
      <w:keepNext w:val="0"/>
      <w:keepLines w:val="0"/>
      <w:spacing w:before="0" w:after="0" w:line="500" w:lineRule="exact"/>
    </w:pPr>
    <w:rPr>
      <w:kern w:val="2"/>
      <w:szCs w:val="28"/>
    </w:rPr>
  </w:style>
  <w:style w:type="paragraph" w:customStyle="1" w:styleId="110">
    <w:name w:val="正文!!!!!!!!!!!"/>
    <w:basedOn w:val="111"/>
    <w:qFormat/>
    <w:uiPriority w:val="0"/>
    <w:pPr>
      <w:ind w:firstLine="480"/>
    </w:pPr>
    <w:rPr>
      <w:rFonts w:ascii="华文仿宋" w:hAnsi="华文仿宋" w:eastAsia="华文仿宋" w:cs="华文仿宋"/>
    </w:rPr>
  </w:style>
  <w:style w:type="paragraph" w:customStyle="1" w:styleId="111">
    <w:name w:val="正文 楷体"/>
    <w:basedOn w:val="1"/>
    <w:qFormat/>
    <w:uiPriority w:val="0"/>
    <w:pPr>
      <w:spacing w:line="500" w:lineRule="exact"/>
    </w:pPr>
    <w:rPr>
      <w:rFonts w:ascii="楷体_GB2312" w:hAnsi="楷体_GB2312" w:eastAsia="楷体_GB2312" w:cs="宋体"/>
      <w:kern w:val="2"/>
      <w:szCs w:val="24"/>
    </w:rPr>
  </w:style>
  <w:style w:type="paragraph" w:customStyle="1" w:styleId="112">
    <w:name w:val="表中文字"/>
    <w:qFormat/>
    <w:uiPriority w:val="0"/>
    <w:pPr>
      <w:widowControl w:val="0"/>
      <w:adjustRightInd w:val="0"/>
      <w:spacing w:line="280" w:lineRule="exact"/>
      <w:jc w:val="center"/>
      <w:textAlignment w:val="center"/>
    </w:pPr>
    <w:rPr>
      <w:rFonts w:ascii="Times New Roman" w:hAnsi="Times New Roman" w:eastAsia="宋体" w:cs="Times New Roman"/>
      <w:sz w:val="21"/>
      <w:szCs w:val="15"/>
      <w:lang w:val="de-DE" w:eastAsia="zh-CN" w:bidi="ar-SA"/>
    </w:rPr>
  </w:style>
  <w:style w:type="paragraph" w:customStyle="1" w:styleId="113">
    <w:name w:val="三级标题"/>
    <w:basedOn w:val="19"/>
    <w:next w:val="107"/>
    <w:qFormat/>
    <w:uiPriority w:val="0"/>
    <w:pPr>
      <w:spacing w:line="360" w:lineRule="auto"/>
      <w:outlineLvl w:val="2"/>
    </w:pPr>
    <w:rPr>
      <w:b/>
      <w:snapToGrid w:val="0"/>
      <w:sz w:val="24"/>
      <w:szCs w:val="28"/>
    </w:rPr>
  </w:style>
  <w:style w:type="paragraph" w:customStyle="1" w:styleId="114">
    <w:name w:val="Body text|1"/>
    <w:basedOn w:val="1"/>
    <w:qFormat/>
    <w:uiPriority w:val="0"/>
    <w:pPr>
      <w:spacing w:line="408" w:lineRule="auto"/>
      <w:ind w:firstLine="400" w:firstLineChars="0"/>
    </w:pPr>
    <w:rPr>
      <w:rFonts w:ascii="MingLiU" w:hAnsi="MingLiU" w:eastAsia="MingLiU" w:cs="MingLiU"/>
      <w:kern w:val="2"/>
      <w:sz w:val="19"/>
      <w:szCs w:val="19"/>
      <w:lang w:val="zh-TW" w:eastAsia="zh-TW" w:bidi="zh-TW"/>
    </w:rPr>
  </w:style>
  <w:style w:type="paragraph" w:customStyle="1" w:styleId="115">
    <w:name w:val="Table Paragraph"/>
    <w:basedOn w:val="1"/>
    <w:qFormat/>
    <w:uiPriority w:val="1"/>
    <w:pPr>
      <w:autoSpaceDE w:val="0"/>
      <w:autoSpaceDN w:val="0"/>
      <w:spacing w:line="240" w:lineRule="auto"/>
      <w:ind w:firstLine="0" w:firstLineChars="0"/>
      <w:jc w:val="center"/>
    </w:pPr>
    <w:rPr>
      <w:rFonts w:ascii="宋体" w:hAnsi="宋体" w:cs="宋体"/>
      <w:sz w:val="22"/>
      <w:szCs w:val="22"/>
      <w:lang w:val="zh-CN" w:bidi="zh-CN"/>
    </w:rPr>
  </w:style>
  <w:style w:type="paragraph" w:customStyle="1" w:styleId="116">
    <w:name w:val="表格表题"/>
    <w:basedOn w:val="1"/>
    <w:qFormat/>
    <w:uiPriority w:val="0"/>
    <w:pPr>
      <w:autoSpaceDE w:val="0"/>
      <w:autoSpaceDN w:val="0"/>
      <w:adjustRightInd w:val="0"/>
      <w:spacing w:line="480" w:lineRule="atLeast"/>
      <w:ind w:firstLine="0" w:firstLineChars="0"/>
      <w:jc w:val="center"/>
      <w:textAlignment w:val="baseline"/>
    </w:pPr>
    <w:rPr>
      <w:rFonts w:ascii="黑体" w:eastAsia="黑体"/>
      <w:kern w:val="16"/>
      <w:sz w:val="21"/>
      <w:szCs w:val="22"/>
    </w:rPr>
  </w:style>
  <w:style w:type="paragraph" w:customStyle="1" w:styleId="117">
    <w:name w:val="标题四A"/>
    <w:basedOn w:val="1"/>
    <w:qFormat/>
    <w:uiPriority w:val="0"/>
    <w:pPr>
      <w:spacing w:line="500" w:lineRule="exact"/>
      <w:ind w:firstLine="0" w:firstLineChars="0"/>
      <w:outlineLvl w:val="3"/>
    </w:pPr>
    <w:rPr>
      <w:b/>
      <w:szCs w:val="24"/>
    </w:rPr>
  </w:style>
  <w:style w:type="paragraph" w:customStyle="1" w:styleId="118">
    <w:name w:val="标题二A"/>
    <w:basedOn w:val="1"/>
    <w:qFormat/>
    <w:uiPriority w:val="0"/>
    <w:pPr>
      <w:spacing w:before="120" w:after="120" w:line="500" w:lineRule="exact"/>
      <w:ind w:firstLine="0" w:firstLineChars="0"/>
      <w:outlineLvl w:val="1"/>
    </w:pPr>
    <w:rPr>
      <w:rFonts w:cs="楷体_GB2312"/>
      <w:b/>
      <w:bCs/>
      <w:kern w:val="2"/>
      <w:sz w:val="30"/>
      <w:szCs w:val="30"/>
    </w:rPr>
  </w:style>
  <w:style w:type="paragraph" w:customStyle="1" w:styleId="119">
    <w:name w:val="表格"/>
    <w:basedOn w:val="28"/>
    <w:next w:val="1"/>
    <w:link w:val="178"/>
    <w:qFormat/>
    <w:uiPriority w:val="0"/>
    <w:pPr>
      <w:spacing w:beforeLines="50" w:afterLines="50" w:line="360" w:lineRule="auto"/>
      <w:ind w:firstLine="480" w:firstLineChars="200"/>
      <w:jc w:val="center"/>
    </w:pPr>
    <w:rPr>
      <w:rFonts w:ascii="Arial" w:hAnsi="Arial" w:cs="Arial"/>
      <w:szCs w:val="21"/>
    </w:rPr>
  </w:style>
  <w:style w:type="paragraph" w:customStyle="1" w:styleId="120">
    <w:name w:val="表格标题"/>
    <w:basedOn w:val="1"/>
    <w:next w:val="13"/>
    <w:link w:val="180"/>
    <w:qFormat/>
    <w:uiPriority w:val="0"/>
    <w:pPr>
      <w:autoSpaceDE w:val="0"/>
      <w:autoSpaceDN w:val="0"/>
      <w:adjustRightInd w:val="0"/>
      <w:snapToGrid w:val="0"/>
      <w:spacing w:line="320" w:lineRule="exact"/>
      <w:ind w:firstLine="0" w:firstLineChars="0"/>
      <w:jc w:val="center"/>
      <w:textAlignment w:val="baseline"/>
    </w:pPr>
    <w:rPr>
      <w:sz w:val="21"/>
      <w:szCs w:val="22"/>
    </w:rPr>
  </w:style>
  <w:style w:type="paragraph" w:customStyle="1" w:styleId="121">
    <w:name w:val="表后空格"/>
    <w:basedOn w:val="111"/>
    <w:qFormat/>
    <w:uiPriority w:val="0"/>
    <w:pPr>
      <w:spacing w:line="240" w:lineRule="exact"/>
      <w:ind w:firstLine="480"/>
    </w:pPr>
  </w:style>
  <w:style w:type="paragraph" w:customStyle="1" w:styleId="122">
    <w:name w:val="！正文"/>
    <w:basedOn w:val="1"/>
    <w:qFormat/>
    <w:uiPriority w:val="0"/>
    <w:pPr>
      <w:spacing w:line="500" w:lineRule="exact"/>
      <w:ind w:firstLine="0" w:firstLineChars="0"/>
    </w:pPr>
    <w:rPr>
      <w:rFonts w:eastAsia="Times New Roman"/>
      <w:kern w:val="2"/>
      <w:sz w:val="21"/>
      <w:szCs w:val="24"/>
    </w:rPr>
  </w:style>
  <w:style w:type="paragraph" w:customStyle="1" w:styleId="123">
    <w:name w:val="表头"/>
    <w:basedOn w:val="9"/>
    <w:next w:val="1"/>
    <w:qFormat/>
    <w:uiPriority w:val="0"/>
    <w:pPr>
      <w:spacing w:line="500" w:lineRule="exact"/>
      <w:jc w:val="center"/>
    </w:pPr>
    <w:rPr>
      <w:rFonts w:ascii="楷体_GB2312" w:hAnsi="楷体_GB2312" w:eastAsia="楷体_GB2312" w:cs="楷体_GB2312"/>
      <w:b/>
      <w:sz w:val="24"/>
    </w:rPr>
  </w:style>
  <w:style w:type="paragraph" w:customStyle="1" w:styleId="124">
    <w:name w:val="兴化美联正文样式"/>
    <w:basedOn w:val="1"/>
    <w:qFormat/>
    <w:uiPriority w:val="0"/>
    <w:pPr>
      <w:widowControl/>
      <w:spacing w:line="560" w:lineRule="exact"/>
      <w:ind w:firstLine="480"/>
      <w:jc w:val="left"/>
    </w:pPr>
    <w:rPr>
      <w:rFonts w:ascii="宋体" w:hAnsi="宋体" w:cs="宋体"/>
      <w:color w:val="000000"/>
      <w:szCs w:val="24"/>
    </w:rPr>
  </w:style>
  <w:style w:type="paragraph" w:customStyle="1" w:styleId="125">
    <w:name w:val="表格文字样式14"/>
    <w:basedOn w:val="120"/>
    <w:qFormat/>
    <w:uiPriority w:val="0"/>
    <w:pPr>
      <w:overflowPunct w:val="0"/>
      <w:autoSpaceDE/>
      <w:autoSpaceDN/>
      <w:spacing w:line="240" w:lineRule="auto"/>
      <w:textAlignment w:val="auto"/>
    </w:pPr>
    <w:rPr>
      <w:rFonts w:ascii="宋体" w:hAnsi="宋体"/>
      <w:bCs/>
      <w:snapToGrid w:val="0"/>
      <w:szCs w:val="21"/>
    </w:rPr>
  </w:style>
  <w:style w:type="paragraph" w:customStyle="1" w:styleId="126">
    <w:name w:val="正文-ls"/>
    <w:basedOn w:val="1"/>
    <w:qFormat/>
    <w:uiPriority w:val="0"/>
    <w:rPr>
      <w:rFonts w:hAnsi="宋体" w:cs="宋体"/>
      <w:kern w:val="2"/>
    </w:rPr>
  </w:style>
  <w:style w:type="paragraph" w:customStyle="1" w:styleId="127">
    <w:name w:val="缩进"/>
    <w:basedOn w:val="1"/>
    <w:qFormat/>
    <w:uiPriority w:val="0"/>
    <w:rPr>
      <w:kern w:val="2"/>
      <w:szCs w:val="24"/>
    </w:rPr>
  </w:style>
  <w:style w:type="paragraph" w:customStyle="1" w:styleId="128">
    <w:name w:val="表内字"/>
    <w:basedOn w:val="1"/>
    <w:qFormat/>
    <w:uiPriority w:val="0"/>
    <w:pPr>
      <w:spacing w:line="320" w:lineRule="exact"/>
      <w:ind w:firstLine="0" w:firstLineChars="0"/>
      <w:jc w:val="center"/>
    </w:pPr>
    <w:rPr>
      <w:sz w:val="21"/>
      <w:szCs w:val="24"/>
    </w:rPr>
  </w:style>
  <w:style w:type="paragraph" w:customStyle="1" w:styleId="129">
    <w:name w:val="Body text|2"/>
    <w:basedOn w:val="1"/>
    <w:qFormat/>
    <w:uiPriority w:val="0"/>
    <w:pPr>
      <w:spacing w:after="80" w:line="394" w:lineRule="exact"/>
      <w:ind w:firstLine="480" w:firstLineChars="0"/>
    </w:pPr>
    <w:rPr>
      <w:rFonts w:eastAsia="Times New Roman"/>
      <w:b/>
      <w:bCs/>
      <w:color w:val="000000"/>
      <w:kern w:val="2"/>
      <w:sz w:val="19"/>
      <w:szCs w:val="19"/>
    </w:rPr>
  </w:style>
  <w:style w:type="paragraph" w:customStyle="1" w:styleId="130">
    <w:name w:val="标题四"/>
    <w:next w:val="122"/>
    <w:qFormat/>
    <w:uiPriority w:val="0"/>
    <w:pPr>
      <w:numPr>
        <w:ilvl w:val="3"/>
        <w:numId w:val="1"/>
      </w:numPr>
      <w:spacing w:line="360" w:lineRule="auto"/>
      <w:jc w:val="both"/>
      <w:outlineLvl w:val="3"/>
    </w:pPr>
    <w:rPr>
      <w:rFonts w:ascii="宋体" w:hAnsi="Calibri" w:eastAsia="宋体" w:cs="宋体"/>
      <w:b/>
      <w:kern w:val="2"/>
      <w:sz w:val="24"/>
      <w:szCs w:val="24"/>
      <w:lang w:val="en-US" w:eastAsia="zh-CN" w:bidi="ar-SA"/>
    </w:rPr>
  </w:style>
  <w:style w:type="paragraph" w:customStyle="1" w:styleId="131">
    <w:name w:val="样式 正文首行缩进 + 首行缩进:  2 字符1"/>
    <w:basedOn w:val="37"/>
    <w:qFormat/>
    <w:uiPriority w:val="0"/>
    <w:pPr>
      <w:spacing w:after="0" w:line="360" w:lineRule="auto"/>
      <w:ind w:firstLine="480" w:firstLineChars="200"/>
    </w:pPr>
    <w:rPr>
      <w:sz w:val="24"/>
    </w:rPr>
  </w:style>
  <w:style w:type="paragraph" w:customStyle="1" w:styleId="132">
    <w:name w:val="农贸市场表格表头"/>
    <w:basedOn w:val="1"/>
    <w:qFormat/>
    <w:uiPriority w:val="0"/>
    <w:pPr>
      <w:spacing w:line="240" w:lineRule="auto"/>
      <w:ind w:firstLine="0" w:firstLineChars="0"/>
      <w:jc w:val="center"/>
    </w:pPr>
    <w:rPr>
      <w:rFonts w:ascii="宋体" w:hAnsi="宋体" w:cs="仿宋_GB2312"/>
      <w:b/>
      <w:sz w:val="21"/>
      <w:szCs w:val="21"/>
    </w:rPr>
  </w:style>
  <w:style w:type="paragraph" w:customStyle="1" w:styleId="133">
    <w:name w:val="表格文字"/>
    <w:basedOn w:val="13"/>
    <w:next w:val="1"/>
    <w:qFormat/>
    <w:uiPriority w:val="0"/>
    <w:pPr>
      <w:widowControl w:val="0"/>
      <w:tabs>
        <w:tab w:val="left" w:pos="1119"/>
      </w:tabs>
      <w:spacing w:after="0"/>
      <w:ind w:left="-90" w:leftChars="-43"/>
    </w:pPr>
    <w:rPr>
      <w:snapToGrid w:val="0"/>
      <w:color w:val="000000"/>
      <w:sz w:val="18"/>
      <w:szCs w:val="18"/>
      <w:lang w:eastAsia="zh-CN" w:bidi="ar-SA"/>
    </w:rPr>
  </w:style>
  <w:style w:type="paragraph" w:customStyle="1" w:styleId="134">
    <w:name w:val="表头标题格式"/>
    <w:basedOn w:val="1"/>
    <w:qFormat/>
    <w:uiPriority w:val="0"/>
    <w:pPr>
      <w:tabs>
        <w:tab w:val="left" w:pos="360"/>
        <w:tab w:val="left" w:pos="1620"/>
      </w:tabs>
      <w:ind w:firstLine="0" w:firstLineChars="0"/>
      <w:jc w:val="center"/>
    </w:pPr>
    <w:rPr>
      <w:rFonts w:ascii="黑体" w:hAnsi="宋体" w:eastAsia="黑体" w:cs="宋体"/>
      <w:b/>
      <w:bCs/>
      <w:kern w:val="2"/>
    </w:rPr>
  </w:style>
  <w:style w:type="paragraph" w:customStyle="1" w:styleId="135">
    <w:name w:val="样式 表格标题 + 段前: 0.5 行2"/>
    <w:basedOn w:val="1"/>
    <w:qFormat/>
    <w:uiPriority w:val="0"/>
    <w:pPr>
      <w:autoSpaceDE w:val="0"/>
      <w:autoSpaceDN w:val="0"/>
      <w:adjustRightInd w:val="0"/>
      <w:spacing w:beforeLines="50" w:line="400" w:lineRule="exact"/>
      <w:ind w:firstLine="0" w:firstLineChars="0"/>
      <w:jc w:val="center"/>
    </w:pPr>
    <w:rPr>
      <w:rFonts w:ascii="宋体" w:eastAsia="黑体" w:cs="宋体"/>
      <w:kern w:val="2"/>
      <w:lang w:val="zh-CN"/>
    </w:rPr>
  </w:style>
  <w:style w:type="paragraph" w:customStyle="1" w:styleId="136">
    <w:name w:val="样式 正文缩进正文缩进2正文缩进 Char Char正文缩进 Char Char Char Char正文缩进 Char ..."/>
    <w:basedOn w:val="9"/>
    <w:qFormat/>
    <w:uiPriority w:val="0"/>
    <w:pPr>
      <w:spacing w:line="360" w:lineRule="auto"/>
      <w:ind w:firstLine="200"/>
    </w:pPr>
    <w:rPr>
      <w:rFonts w:cs="宋体"/>
      <w:sz w:val="24"/>
    </w:rPr>
  </w:style>
  <w:style w:type="paragraph" w:styleId="137">
    <w:name w:val="List Paragraph"/>
    <w:basedOn w:val="1"/>
    <w:next w:val="19"/>
    <w:qFormat/>
    <w:uiPriority w:val="99"/>
    <w:pPr>
      <w:spacing w:line="320" w:lineRule="exact"/>
      <w:ind w:firstLine="0" w:firstLineChars="0"/>
    </w:pPr>
    <w:rPr>
      <w:kern w:val="2"/>
      <w:sz w:val="21"/>
    </w:rPr>
  </w:style>
  <w:style w:type="paragraph" w:customStyle="1" w:styleId="138">
    <w:name w:val="表文字"/>
    <w:basedOn w:val="1"/>
    <w:qFormat/>
    <w:uiPriority w:val="0"/>
    <w:pPr>
      <w:overflowPunct w:val="0"/>
      <w:autoSpaceDE w:val="0"/>
      <w:autoSpaceDN w:val="0"/>
      <w:adjustRightInd w:val="0"/>
      <w:spacing w:line="240" w:lineRule="atLeast"/>
      <w:ind w:firstLine="0" w:firstLineChars="0"/>
      <w:jc w:val="center"/>
      <w:textAlignment w:val="baseline"/>
    </w:pPr>
    <w:rPr>
      <w:szCs w:val="22"/>
    </w:rPr>
  </w:style>
  <w:style w:type="paragraph" w:customStyle="1" w:styleId="139">
    <w:name w:val="正文部分"/>
    <w:semiHidden/>
    <w:qFormat/>
    <w:uiPriority w:val="0"/>
    <w:pPr>
      <w:widowControl w:val="0"/>
      <w:ind w:firstLine="200" w:firstLineChars="200"/>
      <w:jc w:val="both"/>
    </w:pPr>
    <w:rPr>
      <w:rFonts w:ascii="宋体" w:hAnsi="宋体" w:eastAsia="宋体" w:cs="Times New Roman"/>
      <w:sz w:val="24"/>
      <w:szCs w:val="24"/>
      <w:lang w:val="en-US" w:eastAsia="zh-CN" w:bidi="ar-SA"/>
    </w:rPr>
  </w:style>
  <w:style w:type="paragraph" w:customStyle="1" w:styleId="140">
    <w:name w:val="标题一A"/>
    <w:basedOn w:val="1"/>
    <w:qFormat/>
    <w:uiPriority w:val="0"/>
    <w:pPr>
      <w:widowControl/>
      <w:spacing w:line="480" w:lineRule="auto"/>
      <w:ind w:firstLine="0" w:firstLineChars="0"/>
      <w:jc w:val="center"/>
      <w:outlineLvl w:val="0"/>
    </w:pPr>
    <w:rPr>
      <w:b/>
      <w:kern w:val="2"/>
      <w:sz w:val="32"/>
      <w:szCs w:val="32"/>
    </w:rPr>
  </w:style>
  <w:style w:type="paragraph" w:customStyle="1" w:styleId="141">
    <w:name w:val="表头A"/>
    <w:basedOn w:val="123"/>
    <w:qFormat/>
    <w:uiPriority w:val="0"/>
    <w:pPr>
      <w:spacing w:line="400" w:lineRule="exact"/>
    </w:pPr>
    <w:rPr>
      <w:rFonts w:ascii="Times New Roman" w:hAnsi="Times New Roman" w:eastAsia="宋体" w:cs="Times New Roman"/>
    </w:rPr>
  </w:style>
  <w:style w:type="paragraph" w:customStyle="1" w:styleId="142">
    <w:name w:val="二级标题"/>
    <w:basedOn w:val="19"/>
    <w:qFormat/>
    <w:uiPriority w:val="0"/>
    <w:pPr>
      <w:spacing w:before="100" w:beforeAutospacing="1" w:after="100" w:afterAutospacing="1"/>
      <w:outlineLvl w:val="1"/>
    </w:pPr>
    <w:rPr>
      <w:b/>
      <w:snapToGrid w:val="0"/>
      <w:szCs w:val="28"/>
    </w:rPr>
  </w:style>
  <w:style w:type="paragraph" w:customStyle="1" w:styleId="143">
    <w:name w:val="6-表中文字"/>
    <w:basedOn w:val="1"/>
    <w:qFormat/>
    <w:uiPriority w:val="0"/>
    <w:pPr>
      <w:adjustRightInd w:val="0"/>
      <w:snapToGrid w:val="0"/>
      <w:spacing w:line="240" w:lineRule="auto"/>
      <w:ind w:firstLine="0" w:firstLineChars="0"/>
      <w:jc w:val="center"/>
      <w:textAlignment w:val="center"/>
    </w:pPr>
    <w:rPr>
      <w:rFonts w:eastAsia="华文中宋"/>
      <w:sz w:val="21"/>
      <w:szCs w:val="21"/>
    </w:rPr>
  </w:style>
  <w:style w:type="paragraph" w:customStyle="1" w:styleId="144">
    <w:name w:val="表格标题 五号"/>
    <w:basedOn w:val="135"/>
    <w:qFormat/>
    <w:uiPriority w:val="0"/>
    <w:pPr>
      <w:spacing w:beforeLines="0" w:after="120"/>
    </w:pPr>
    <w:rPr>
      <w:rFonts w:eastAsia="宋体"/>
      <w:b/>
      <w:snapToGrid w:val="0"/>
      <w:sz w:val="21"/>
    </w:rPr>
  </w:style>
  <w:style w:type="paragraph" w:customStyle="1" w:styleId="145">
    <w:name w:val="Body text|221"/>
    <w:basedOn w:val="1"/>
    <w:qFormat/>
    <w:uiPriority w:val="0"/>
    <w:pPr>
      <w:shd w:val="clear" w:color="auto" w:fill="FFFFFF"/>
      <w:spacing w:before="240" w:line="451" w:lineRule="exact"/>
      <w:ind w:hanging="620" w:firstLineChars="0"/>
      <w:jc w:val="distribute"/>
    </w:pPr>
    <w:rPr>
      <w:rFonts w:ascii="PMingLiU" w:hAnsi="PMingLiU" w:eastAsia="PMingLiU" w:cs="PMingLiU"/>
      <w:spacing w:val="10"/>
      <w:kern w:val="2"/>
      <w:sz w:val="22"/>
      <w:szCs w:val="22"/>
    </w:rPr>
  </w:style>
  <w:style w:type="paragraph" w:customStyle="1" w:styleId="146">
    <w:name w:val="正文邓"/>
    <w:basedOn w:val="147"/>
    <w:qFormat/>
    <w:uiPriority w:val="0"/>
    <w:pPr>
      <w:adjustRightInd w:val="0"/>
      <w:ind w:firstLine="600" w:firstLineChars="250"/>
    </w:pPr>
    <w:rPr>
      <w:rFonts w:ascii="仿宋" w:hAnsi="仿宋" w:eastAsia="仿宋"/>
      <w:bCs/>
      <w:kern w:val="0"/>
    </w:rPr>
  </w:style>
  <w:style w:type="paragraph" w:customStyle="1" w:styleId="147">
    <w:name w:val="邓正文"/>
    <w:basedOn w:val="1"/>
    <w:qFormat/>
    <w:uiPriority w:val="0"/>
    <w:pPr>
      <w:snapToGrid w:val="0"/>
      <w:ind w:firstLine="360" w:firstLineChars="150"/>
      <w:jc w:val="left"/>
    </w:pPr>
    <w:rPr>
      <w:rFonts w:ascii="宋体" w:hAnsi="宋体" w:eastAsia="仿宋_GB2312"/>
      <w:color w:val="000000"/>
      <w:kern w:val="2"/>
      <w:szCs w:val="24"/>
    </w:rPr>
  </w:style>
  <w:style w:type="paragraph" w:customStyle="1" w:styleId="148">
    <w:name w:val="邓表格文字"/>
    <w:basedOn w:val="149"/>
    <w:qFormat/>
    <w:uiPriority w:val="0"/>
    <w:pPr>
      <w:spacing w:line="220" w:lineRule="exact"/>
    </w:pPr>
    <w:rPr>
      <w:rFonts w:eastAsia="宋体"/>
      <w:kern w:val="0"/>
      <w:sz w:val="15"/>
      <w:szCs w:val="15"/>
    </w:rPr>
  </w:style>
  <w:style w:type="paragraph" w:customStyle="1" w:styleId="149">
    <w:name w:val="表格文字邓"/>
    <w:basedOn w:val="1"/>
    <w:qFormat/>
    <w:uiPriority w:val="0"/>
    <w:pPr>
      <w:widowControl/>
      <w:snapToGrid w:val="0"/>
      <w:spacing w:line="200" w:lineRule="exact"/>
      <w:ind w:firstLine="0" w:firstLineChars="0"/>
      <w:jc w:val="center"/>
    </w:pPr>
    <w:rPr>
      <w:rFonts w:ascii="宋体" w:hAnsi="宋体" w:eastAsia="华文中宋"/>
      <w:color w:val="000000"/>
      <w:kern w:val="2"/>
      <w:sz w:val="18"/>
      <w:szCs w:val="18"/>
    </w:rPr>
  </w:style>
  <w:style w:type="paragraph" w:customStyle="1" w:styleId="150">
    <w:name w:val="付正文"/>
    <w:basedOn w:val="1"/>
    <w:semiHidden/>
    <w:qFormat/>
    <w:uiPriority w:val="0"/>
    <w:rPr>
      <w:rFonts w:ascii="宋体"/>
      <w:color w:val="000000"/>
      <w:kern w:val="2"/>
      <w:szCs w:val="21"/>
    </w:rPr>
  </w:style>
  <w:style w:type="paragraph" w:customStyle="1" w:styleId="151">
    <w:name w:val="我"/>
    <w:basedOn w:val="1"/>
    <w:qFormat/>
    <w:uiPriority w:val="0"/>
    <w:pPr>
      <w:spacing w:line="320" w:lineRule="exact"/>
      <w:ind w:firstLine="640" w:firstLineChars="0"/>
    </w:pPr>
    <w:rPr>
      <w:sz w:val="21"/>
    </w:rPr>
  </w:style>
  <w:style w:type="paragraph" w:customStyle="1" w:styleId="152">
    <w:name w:val="正文小四首缩1.3行距"/>
    <w:basedOn w:val="1"/>
    <w:qFormat/>
    <w:uiPriority w:val="0"/>
    <w:rPr>
      <w:rFonts w:ascii="宋体" w:hAnsi="宋体" w:cs="宋体"/>
      <w:kern w:val="2"/>
      <w:szCs w:val="22"/>
    </w:rPr>
  </w:style>
  <w:style w:type="paragraph" w:customStyle="1" w:styleId="153">
    <w:name w:val="表格内容"/>
    <w:basedOn w:val="9"/>
    <w:qFormat/>
    <w:uiPriority w:val="0"/>
    <w:pPr>
      <w:ind w:firstLine="0"/>
      <w:jc w:val="center"/>
    </w:pPr>
    <w:rPr>
      <w:sz w:val="18"/>
      <w:szCs w:val="20"/>
    </w:rPr>
  </w:style>
  <w:style w:type="paragraph" w:customStyle="1" w:styleId="154">
    <w:name w:val="样式 样式 报告正文 + 宋体 五号 黑色 + 五号"/>
    <w:basedOn w:val="1"/>
    <w:link w:val="159"/>
    <w:qFormat/>
    <w:uiPriority w:val="0"/>
    <w:pPr>
      <w:adjustRightInd w:val="0"/>
      <w:snapToGrid w:val="0"/>
      <w:spacing w:line="500" w:lineRule="exact"/>
    </w:pPr>
    <w:rPr>
      <w:b/>
      <w:bCs/>
      <w:color w:val="000000"/>
      <w:kern w:val="2"/>
      <w:sz w:val="21"/>
      <w:szCs w:val="22"/>
    </w:rPr>
  </w:style>
  <w:style w:type="paragraph" w:customStyle="1" w:styleId="155">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lang w:val="en-US" w:eastAsia="zh-CN" w:bidi="ar-SA"/>
    </w:rPr>
  </w:style>
  <w:style w:type="character" w:customStyle="1" w:styleId="156">
    <w:name w:val="纯文本 字符1"/>
    <w:qFormat/>
    <w:uiPriority w:val="0"/>
    <w:rPr>
      <w:rFonts w:hint="eastAsia" w:ascii="宋体" w:hAnsi="Courier New" w:eastAsia="宋体" w:cs="宋体"/>
      <w:sz w:val="28"/>
    </w:rPr>
  </w:style>
  <w:style w:type="paragraph" w:customStyle="1" w:styleId="157">
    <w:name w:val="样式 标题 1标题 1 Char标1 + 段前: 0.5 行 段后: 0.5 行1"/>
    <w:basedOn w:val="3"/>
    <w:semiHidden/>
    <w:qFormat/>
    <w:uiPriority w:val="0"/>
    <w:pPr>
      <w:keepLines w:val="0"/>
      <w:autoSpaceDE w:val="0"/>
      <w:autoSpaceDN w:val="0"/>
      <w:adjustRightInd w:val="0"/>
      <w:spacing w:beforeLines="50" w:afterLines="50" w:line="240" w:lineRule="auto"/>
      <w:ind w:left="153" w:leftChars="153" w:firstLine="50" w:firstLineChars="50"/>
      <w:textAlignment w:val="bottom"/>
    </w:pPr>
    <w:rPr>
      <w:rFonts w:ascii="黑体" w:hAnsi="Arial" w:eastAsia="黑体" w:cs="宋体"/>
      <w:b w:val="0"/>
      <w:bCs w:val="0"/>
      <w:kern w:val="0"/>
      <w:sz w:val="28"/>
      <w:szCs w:val="20"/>
      <w:lang w:val="zh-CN"/>
    </w:rPr>
  </w:style>
  <w:style w:type="paragraph" w:customStyle="1" w:styleId="158">
    <w:name w:val="xl63"/>
    <w:basedOn w:val="1"/>
    <w:qFormat/>
    <w:uiPriority w:val="0"/>
    <w:pPr>
      <w:widowControl/>
      <w:pBdr>
        <w:top w:val="single" w:color="auto" w:sz="8" w:space="0"/>
      </w:pBdr>
      <w:spacing w:before="100" w:after="100" w:line="240" w:lineRule="auto"/>
      <w:ind w:firstLine="0" w:firstLineChars="0"/>
      <w:jc w:val="center"/>
      <w:textAlignment w:val="top"/>
    </w:pPr>
    <w:rPr>
      <w:rFonts w:ascii="宋体"/>
    </w:rPr>
  </w:style>
  <w:style w:type="character" w:customStyle="1" w:styleId="159">
    <w:name w:val="样式 样式 报告正文 + 宋体 五号 黑色 + 五号 Char"/>
    <w:link w:val="154"/>
    <w:qFormat/>
    <w:uiPriority w:val="0"/>
    <w:rPr>
      <w:b/>
      <w:bCs/>
      <w:color w:val="000000"/>
      <w:szCs w:val="22"/>
    </w:rPr>
  </w:style>
  <w:style w:type="paragraph" w:customStyle="1" w:styleId="160">
    <w:name w:val="样式 (西文) Times New Roman (中文) 黑体 居中 行距: 1.5 倍行距"/>
    <w:basedOn w:val="1"/>
    <w:qFormat/>
    <w:uiPriority w:val="0"/>
    <w:pPr>
      <w:ind w:firstLine="0" w:firstLineChars="0"/>
      <w:jc w:val="center"/>
    </w:pPr>
    <w:rPr>
      <w:rFonts w:eastAsia="黑体" w:cs="宋体"/>
    </w:rPr>
  </w:style>
  <w:style w:type="paragraph" w:customStyle="1" w:styleId="161">
    <w:name w:val="样式 标题 3 + 黑体 小四 行距: 多倍行距 3 字行"/>
    <w:basedOn w:val="5"/>
    <w:qFormat/>
    <w:uiPriority w:val="0"/>
    <w:pPr>
      <w:keepLines w:val="0"/>
      <w:tabs>
        <w:tab w:val="left" w:pos="3600"/>
      </w:tabs>
      <w:spacing w:before="0" w:after="0" w:line="720" w:lineRule="auto"/>
      <w:textAlignment w:val="center"/>
    </w:pPr>
    <w:rPr>
      <w:rFonts w:ascii="黑体" w:hAnsi="宋体" w:eastAsia="黑体" w:cs="宋体"/>
      <w:b w:val="0"/>
      <w:bCs w:val="0"/>
      <w:sz w:val="24"/>
      <w:szCs w:val="20"/>
    </w:rPr>
  </w:style>
  <w:style w:type="paragraph" w:customStyle="1" w:styleId="162">
    <w:name w:val="样式 标题 4 + (西文) Times New Roman 行距: 固定值 25 磅"/>
    <w:basedOn w:val="6"/>
    <w:qFormat/>
    <w:uiPriority w:val="0"/>
    <w:pPr>
      <w:keepNext w:val="0"/>
      <w:tabs>
        <w:tab w:val="left" w:pos="851"/>
      </w:tabs>
      <w:spacing w:before="0" w:after="0"/>
      <w:ind w:left="851" w:hanging="851" w:firstLineChars="0"/>
    </w:pPr>
    <w:rPr>
      <w:rFonts w:eastAsia="黑体" w:cs="宋体"/>
      <w:b w:val="0"/>
      <w:bCs w:val="0"/>
      <w:snapToGrid w:val="0"/>
      <w:szCs w:val="24"/>
    </w:rPr>
  </w:style>
  <w:style w:type="paragraph" w:customStyle="1" w:styleId="163">
    <w:name w:val="列出段落1"/>
    <w:basedOn w:val="1"/>
    <w:qFormat/>
    <w:uiPriority w:val="99"/>
    <w:pPr>
      <w:spacing w:line="240" w:lineRule="auto"/>
      <w:ind w:firstLine="420"/>
    </w:pPr>
    <w:rPr>
      <w:rFonts w:ascii="Calibri" w:hAnsi="Calibri"/>
      <w:sz w:val="28"/>
      <w:szCs w:val="22"/>
    </w:rPr>
  </w:style>
  <w:style w:type="character" w:customStyle="1" w:styleId="164">
    <w:name w:val="0-正文 Char"/>
    <w:link w:val="165"/>
    <w:qFormat/>
    <w:uiPriority w:val="0"/>
    <w:rPr>
      <w:sz w:val="24"/>
    </w:rPr>
  </w:style>
  <w:style w:type="paragraph" w:customStyle="1" w:styleId="165">
    <w:name w:val="0-正文"/>
    <w:link w:val="164"/>
    <w:qFormat/>
    <w:uiPriority w:val="0"/>
    <w:pPr>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character" w:customStyle="1" w:styleId="166">
    <w:name w:val="题注 字符"/>
    <w:link w:val="11"/>
    <w:qFormat/>
    <w:uiPriority w:val="35"/>
    <w:rPr>
      <w:rFonts w:cstheme="majorBidi"/>
      <w:b/>
      <w:sz w:val="21"/>
    </w:rPr>
  </w:style>
  <w:style w:type="character" w:customStyle="1" w:styleId="167">
    <w:name w:val="HTML 预设格式 字符1"/>
    <w:link w:val="34"/>
    <w:qFormat/>
    <w:uiPriority w:val="0"/>
    <w:rPr>
      <w:rFonts w:ascii="Arial" w:hAnsi="Arial" w:cs="Arial"/>
      <w:sz w:val="24"/>
      <w:szCs w:val="24"/>
    </w:rPr>
  </w:style>
  <w:style w:type="character" w:customStyle="1" w:styleId="168">
    <w:name w:val="HTML 预设格式 字符"/>
    <w:basedOn w:val="41"/>
    <w:semiHidden/>
    <w:qFormat/>
    <w:uiPriority w:val="99"/>
    <w:rPr>
      <w:rFonts w:ascii="Courier New" w:hAnsi="Courier New" w:cs="Courier New"/>
    </w:rPr>
  </w:style>
  <w:style w:type="character" w:customStyle="1" w:styleId="169">
    <w:name w:val="正文1 Char1"/>
    <w:link w:val="53"/>
    <w:qFormat/>
    <w:uiPriority w:val="0"/>
    <w:rPr>
      <w:rFonts w:ascii="宋体" w:eastAsia="Times New Roman"/>
      <w:sz w:val="24"/>
    </w:rPr>
  </w:style>
  <w:style w:type="character" w:customStyle="1" w:styleId="170">
    <w:name w:val="⑤-图表标题 Char"/>
    <w:link w:val="171"/>
    <w:qFormat/>
    <w:uiPriority w:val="0"/>
    <w:rPr>
      <w:rFonts w:cs="Chicago"/>
      <w:b/>
      <w:sz w:val="24"/>
      <w:szCs w:val="21"/>
      <w:lang w:val="zh-CN"/>
    </w:rPr>
  </w:style>
  <w:style w:type="paragraph" w:customStyle="1" w:styleId="171">
    <w:name w:val="⑤-图表标题"/>
    <w:basedOn w:val="1"/>
    <w:link w:val="170"/>
    <w:qFormat/>
    <w:uiPriority w:val="0"/>
    <w:pPr>
      <w:widowControl/>
      <w:tabs>
        <w:tab w:val="left" w:pos="903"/>
      </w:tabs>
      <w:ind w:firstLine="0" w:firstLineChars="0"/>
      <w:jc w:val="center"/>
      <w:outlineLvl w:val="1"/>
    </w:pPr>
    <w:rPr>
      <w:rFonts w:cs="Chicago"/>
      <w:b/>
      <w:szCs w:val="21"/>
      <w:lang w:val="zh-CN"/>
    </w:rPr>
  </w:style>
  <w:style w:type="paragraph" w:customStyle="1" w:styleId="172">
    <w:name w:val="TOC 标题2"/>
    <w:basedOn w:val="3"/>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 w:type="character" w:customStyle="1" w:styleId="173">
    <w:name w:val="未处理的提及1"/>
    <w:basedOn w:val="41"/>
    <w:semiHidden/>
    <w:unhideWhenUsed/>
    <w:qFormat/>
    <w:uiPriority w:val="99"/>
    <w:rPr>
      <w:color w:val="605E5C"/>
      <w:shd w:val="clear" w:color="auto" w:fill="E1DFDD"/>
    </w:rPr>
  </w:style>
  <w:style w:type="paragraph" w:customStyle="1" w:styleId="174">
    <w:name w:val="⑥-表文"/>
    <w:basedOn w:val="1"/>
    <w:link w:val="175"/>
    <w:qFormat/>
    <w:uiPriority w:val="0"/>
    <w:pPr>
      <w:spacing w:line="240" w:lineRule="auto"/>
      <w:ind w:firstLine="0" w:firstLineChars="0"/>
      <w:jc w:val="center"/>
    </w:pPr>
    <w:rPr>
      <w:kern w:val="2"/>
      <w:sz w:val="21"/>
      <w:lang w:val="zh-CN"/>
    </w:rPr>
  </w:style>
  <w:style w:type="character" w:customStyle="1" w:styleId="175">
    <w:name w:val="⑥-表文 Char"/>
    <w:link w:val="174"/>
    <w:qFormat/>
    <w:uiPriority w:val="0"/>
    <w:rPr>
      <w:kern w:val="2"/>
      <w:sz w:val="21"/>
      <w:lang w:val="zh-CN"/>
    </w:rPr>
  </w:style>
  <w:style w:type="character" w:customStyle="1" w:styleId="176">
    <w:name w:val="页眉或页脚_"/>
    <w:basedOn w:val="41"/>
    <w:link w:val="177"/>
    <w:qFormat/>
    <w:uiPriority w:val="0"/>
    <w:rPr>
      <w:rFonts w:ascii="宋体" w:hAnsi="宋体" w:cs="宋体"/>
      <w:sz w:val="18"/>
      <w:szCs w:val="18"/>
    </w:rPr>
  </w:style>
  <w:style w:type="paragraph" w:customStyle="1" w:styleId="177">
    <w:name w:val="页眉或页脚"/>
    <w:basedOn w:val="1"/>
    <w:link w:val="176"/>
    <w:qFormat/>
    <w:uiPriority w:val="0"/>
    <w:pPr>
      <w:spacing w:line="240" w:lineRule="auto"/>
      <w:ind w:firstLine="0" w:firstLineChars="0"/>
      <w:jc w:val="left"/>
    </w:pPr>
    <w:rPr>
      <w:rFonts w:ascii="宋体" w:hAnsi="宋体" w:cs="宋体"/>
      <w:sz w:val="18"/>
      <w:szCs w:val="18"/>
    </w:rPr>
  </w:style>
  <w:style w:type="character" w:customStyle="1" w:styleId="178">
    <w:name w:val="表格 Char"/>
    <w:link w:val="119"/>
    <w:qFormat/>
    <w:uiPriority w:val="0"/>
    <w:rPr>
      <w:rFonts w:ascii="Arial" w:hAnsi="Arial" w:cs="Arial"/>
      <w:kern w:val="2"/>
      <w:sz w:val="21"/>
      <w:szCs w:val="21"/>
    </w:rPr>
  </w:style>
  <w:style w:type="character" w:customStyle="1" w:styleId="179">
    <w:name w:val="正文A Char"/>
    <w:link w:val="61"/>
    <w:qFormat/>
    <w:uiPriority w:val="0"/>
    <w:rPr>
      <w:rFonts w:ascii="华文仿宋" w:hAnsi="华文仿宋" w:eastAsia="华文仿宋" w:cs="华文仿宋"/>
      <w:kern w:val="2"/>
      <w:sz w:val="24"/>
      <w:szCs w:val="24"/>
    </w:rPr>
  </w:style>
  <w:style w:type="character" w:customStyle="1" w:styleId="180">
    <w:name w:val="表格标题_"/>
    <w:basedOn w:val="41"/>
    <w:link w:val="120"/>
    <w:qFormat/>
    <w:uiPriority w:val="0"/>
    <w:rPr>
      <w:sz w:val="21"/>
      <w:szCs w:val="22"/>
    </w:rPr>
  </w:style>
  <w:style w:type="character" w:customStyle="1" w:styleId="181">
    <w:name w:val="其他_"/>
    <w:basedOn w:val="41"/>
    <w:link w:val="182"/>
    <w:qFormat/>
    <w:uiPriority w:val="0"/>
    <w:rPr>
      <w:rFonts w:ascii="宋体" w:hAnsi="宋体" w:cs="宋体"/>
    </w:rPr>
  </w:style>
  <w:style w:type="paragraph" w:customStyle="1" w:styleId="182">
    <w:name w:val="其他"/>
    <w:basedOn w:val="1"/>
    <w:link w:val="181"/>
    <w:qFormat/>
    <w:uiPriority w:val="0"/>
    <w:pPr>
      <w:spacing w:line="269" w:lineRule="exact"/>
      <w:ind w:firstLine="0" w:firstLineChars="0"/>
      <w:jc w:val="left"/>
    </w:pPr>
    <w:rPr>
      <w:rFonts w:ascii="宋体" w:hAnsi="宋体" w:cs="宋体"/>
      <w:sz w:val="20"/>
    </w:rPr>
  </w:style>
  <w:style w:type="table" w:customStyle="1" w:styleId="183">
    <w:name w:val="Table Normal"/>
    <w:semiHidden/>
    <w:unhideWhenUsed/>
    <w:qFormat/>
    <w:uiPriority w:val="0"/>
    <w:tblPr>
      <w:tblCellMar>
        <w:top w:w="0" w:type="dxa"/>
        <w:left w:w="0" w:type="dxa"/>
        <w:bottom w:w="0" w:type="dxa"/>
        <w:right w:w="0" w:type="dxa"/>
      </w:tblCellMar>
    </w:tblPr>
  </w:style>
  <w:style w:type="paragraph" w:customStyle="1" w:styleId="184">
    <w:name w:val="表格1"/>
    <w:basedOn w:val="1"/>
    <w:autoRedefine/>
    <w:qFormat/>
    <w:uiPriority w:val="0"/>
    <w:pPr>
      <w:adjustRightInd w:val="0"/>
      <w:snapToGrid w:val="0"/>
      <w:jc w:val="center"/>
    </w:pPr>
    <w:rPr>
      <w:rFonts w:eastAsia="方正仿宋_GBK"/>
      <w:color w:val="000000"/>
      <w:szCs w:val="24"/>
    </w:rPr>
  </w:style>
  <w:style w:type="paragraph" w:customStyle="1" w:styleId="185">
    <w:name w:val="表中字体"/>
    <w:basedOn w:val="9"/>
    <w:autoRedefine/>
    <w:qFormat/>
    <w:uiPriority w:val="0"/>
    <w:pPr>
      <w:tabs>
        <w:tab w:val="left" w:pos="8176"/>
      </w:tabs>
      <w:spacing w:line="280" w:lineRule="exact"/>
      <w:ind w:firstLine="0"/>
      <w:jc w:val="center"/>
    </w:pPr>
    <w:rPr>
      <w:rFonts w:hAnsi="宋体"/>
      <w:kern w:val="0"/>
      <w:sz w:val="20"/>
    </w:rPr>
  </w:style>
  <w:style w:type="character" w:customStyle="1" w:styleId="186">
    <w:name w:val="批注主题 字符"/>
    <w:basedOn w:val="96"/>
    <w:link w:val="36"/>
    <w:semiHidden/>
    <w:qFormat/>
    <w:uiPriority w:val="99"/>
    <w:rPr>
      <w:b/>
      <w:bCs/>
      <w:sz w:val="24"/>
      <w:szCs w:val="22"/>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46.png"/><Relationship Id="rId90" Type="http://schemas.openxmlformats.org/officeDocument/2006/relationships/image" Target="media/image45.png"/><Relationship Id="rId9" Type="http://schemas.openxmlformats.org/officeDocument/2006/relationships/footer" Target="footer2.xml"/><Relationship Id="rId89" Type="http://schemas.openxmlformats.org/officeDocument/2006/relationships/image" Target="media/image44.wmf"/><Relationship Id="rId88" Type="http://schemas.openxmlformats.org/officeDocument/2006/relationships/oleObject" Target="embeddings/oleObject14.bin"/><Relationship Id="rId87" Type="http://schemas.openxmlformats.org/officeDocument/2006/relationships/image" Target="media/image43.png"/><Relationship Id="rId86" Type="http://schemas.openxmlformats.org/officeDocument/2006/relationships/image" Target="media/image42.jpeg"/><Relationship Id="rId85" Type="http://schemas.openxmlformats.org/officeDocument/2006/relationships/image" Target="media/image41.png"/><Relationship Id="rId84" Type="http://schemas.openxmlformats.org/officeDocument/2006/relationships/image" Target="media/image40.wmf"/><Relationship Id="rId83" Type="http://schemas.openxmlformats.org/officeDocument/2006/relationships/image" Target="media/image39.wmf"/><Relationship Id="rId82" Type="http://schemas.openxmlformats.org/officeDocument/2006/relationships/oleObject" Target="embeddings/oleObject13.bin"/><Relationship Id="rId81" Type="http://schemas.openxmlformats.org/officeDocument/2006/relationships/image" Target="media/image38.wmf"/><Relationship Id="rId80" Type="http://schemas.openxmlformats.org/officeDocument/2006/relationships/image" Target="media/image37.wmf"/><Relationship Id="rId8" Type="http://schemas.openxmlformats.org/officeDocument/2006/relationships/footer" Target="footer1.xml"/><Relationship Id="rId79" Type="http://schemas.openxmlformats.org/officeDocument/2006/relationships/image" Target="media/image36.wmf"/><Relationship Id="rId78" Type="http://schemas.openxmlformats.org/officeDocument/2006/relationships/image" Target="media/image35.wmf"/><Relationship Id="rId77" Type="http://schemas.openxmlformats.org/officeDocument/2006/relationships/image" Target="media/image34.wmf"/><Relationship Id="rId76" Type="http://schemas.openxmlformats.org/officeDocument/2006/relationships/image" Target="media/image33.wmf"/><Relationship Id="rId75" Type="http://schemas.openxmlformats.org/officeDocument/2006/relationships/image" Target="media/image32.wmf"/><Relationship Id="rId74" Type="http://schemas.openxmlformats.org/officeDocument/2006/relationships/image" Target="media/image31.wmf"/><Relationship Id="rId73" Type="http://schemas.openxmlformats.org/officeDocument/2006/relationships/image" Target="media/image30.wmf"/><Relationship Id="rId72" Type="http://schemas.openxmlformats.org/officeDocument/2006/relationships/image" Target="media/image29.wmf"/><Relationship Id="rId71" Type="http://schemas.openxmlformats.org/officeDocument/2006/relationships/image" Target="media/image28.wmf"/><Relationship Id="rId70" Type="http://schemas.openxmlformats.org/officeDocument/2006/relationships/image" Target="media/image27.wmf"/><Relationship Id="rId7" Type="http://schemas.openxmlformats.org/officeDocument/2006/relationships/header" Target="header3.xml"/><Relationship Id="rId69" Type="http://schemas.openxmlformats.org/officeDocument/2006/relationships/oleObject" Target="embeddings/oleObject12.bin"/><Relationship Id="rId68" Type="http://schemas.openxmlformats.org/officeDocument/2006/relationships/image" Target="media/image26.wmf"/><Relationship Id="rId67" Type="http://schemas.openxmlformats.org/officeDocument/2006/relationships/oleObject" Target="embeddings/oleObject11.bin"/><Relationship Id="rId66" Type="http://schemas.openxmlformats.org/officeDocument/2006/relationships/image" Target="media/image25.wmf"/><Relationship Id="rId65" Type="http://schemas.openxmlformats.org/officeDocument/2006/relationships/oleObject" Target="embeddings/oleObject10.bin"/><Relationship Id="rId64" Type="http://schemas.openxmlformats.org/officeDocument/2006/relationships/image" Target="media/image24.wmf"/><Relationship Id="rId63" Type="http://schemas.openxmlformats.org/officeDocument/2006/relationships/oleObject" Target="embeddings/oleObject9.bin"/><Relationship Id="rId62" Type="http://schemas.openxmlformats.org/officeDocument/2006/relationships/image" Target="media/image23.wmf"/><Relationship Id="rId61" Type="http://schemas.openxmlformats.org/officeDocument/2006/relationships/oleObject" Target="embeddings/oleObject8.bin"/><Relationship Id="rId60" Type="http://schemas.openxmlformats.org/officeDocument/2006/relationships/image" Target="media/image22.wmf"/><Relationship Id="rId6" Type="http://schemas.openxmlformats.org/officeDocument/2006/relationships/header" Target="header2.xml"/><Relationship Id="rId59" Type="http://schemas.openxmlformats.org/officeDocument/2006/relationships/image" Target="media/image21.png"/><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wmf"/><Relationship Id="rId48" Type="http://schemas.openxmlformats.org/officeDocument/2006/relationships/oleObject" Target="embeddings/oleObject7.bin"/><Relationship Id="rId47" Type="http://schemas.openxmlformats.org/officeDocument/2006/relationships/image" Target="media/image10.wmf"/><Relationship Id="rId46" Type="http://schemas.openxmlformats.org/officeDocument/2006/relationships/oleObject" Target="embeddings/oleObject6.bin"/><Relationship Id="rId45" Type="http://schemas.openxmlformats.org/officeDocument/2006/relationships/image" Target="media/image9.wmf"/><Relationship Id="rId44" Type="http://schemas.openxmlformats.org/officeDocument/2006/relationships/oleObject" Target="embeddings/oleObject5.bin"/><Relationship Id="rId43" Type="http://schemas.openxmlformats.org/officeDocument/2006/relationships/image" Target="media/image8.wmf"/><Relationship Id="rId42" Type="http://schemas.openxmlformats.org/officeDocument/2006/relationships/oleObject" Target="embeddings/oleObject4.bin"/><Relationship Id="rId41" Type="http://schemas.openxmlformats.org/officeDocument/2006/relationships/image" Target="media/image7.wmf"/><Relationship Id="rId40" Type="http://schemas.openxmlformats.org/officeDocument/2006/relationships/oleObject" Target="embeddings/oleObject3.bin"/><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wmf"/><Relationship Id="rId34" Type="http://schemas.openxmlformats.org/officeDocument/2006/relationships/oleObject" Target="embeddings/oleObject1.bin"/><Relationship Id="rId33" Type="http://schemas.openxmlformats.org/officeDocument/2006/relationships/image" Target="media/image2.emf"/><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79"/>
    <customShpInfo spid="_x0000_s2081"/>
    <customShpInfo spid="_x0000_s2080"/>
    <customShpInfo spid="_x0000_s2074"/>
  </customShpExts>
  <extobjs>
    <extobj name="ECB019B1-382A-4266-B25C-5B523AA43C14-1">
      <extobjdata type="ECB019B1-382A-4266-B25C-5B523AA43C14" data="ewoJIkZpbGVJZCIgOiAiMzExNjc2Mzk1NTEwIiwKCSJHcm91cElkIiA6ICI2ODAxOTg5ODkiLAoJIkltYWdlIiA6ICJpVkJPUncwS0dnb0FBQUFOU1VoRVVnQUFCY0VBQUFSV0NBWUFBQUR6T1hvMkFBQUFBWE5TUjBJQXJzNGM2UUFBSUFCSlJFRlVlSnpzM1h0OHozWC94L0huNS9QZDBaakROSFBLQ3RFd20wUzRMaGVTbEM2L2NpWGtsQTdrNnR6bGtpTGt5cFZ5U0E1RmlVNktRZ2ZSaFpTU25OTG1OT1EwWjNKb3MyR0g3L2Y3K2YweCs3YlpzTTIycjMzMnVOOXV1OTMyZlg5T3I2LzR0RDIvNzgvckxR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dyQy93ZHFSNmkxSWlEcUR3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197</Pages>
  <Words>4909</Words>
  <Characters>5132</Characters>
  <Lines>979</Lines>
  <Paragraphs>275</Paragraphs>
  <TotalTime>15</TotalTime>
  <ScaleCrop>false</ScaleCrop>
  <LinksUpToDate>false</LinksUpToDate>
  <CharactersWithSpaces>5132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2024-08-18T03:51:00Z</dcterms:created>
  <dc:creator>Zhengjun Guo</dc:creator>
  <cp:lastModifiedBy>取个名纸</cp:lastModifiedBy>
  <cp:lastPrinted>2024-12-16T03:05:00Z</cp:lastPrinted>
  <dcterms:modified xsi:type="dcterms:W3CDTF">2024-12-23T08:14:05Z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KSOProductBuildVer">
    <vt:lpwstr>2052-12.1.0.19302</vt:lpwstr>
  </property>
  <property fmtid="{D5CDD505-2E9C-101B-9397-08002B2CF9AE}" pid="4" name="ICV">
    <vt:lpwstr>DA1BE1F8AA4A4F1DA8AFBF4AFD667862_13</vt:lpwstr>
  </property>
</Properties>
</file>