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CD0782">
      <w:pPr>
        <w:keepNext w:val="0"/>
        <w:keepLines w:val="0"/>
        <w:pageBreakBefore w:val="0"/>
        <w:widowControl w:val="0"/>
        <w:wordWrap/>
        <w:bidi w:val="0"/>
        <w:adjustRightInd w:val="0"/>
        <w:snapToGrid w:val="0"/>
        <w:rPr>
          <w:rFonts w:ascii="仿宋_GB2312" w:hAnsi="仿宋_GB2312" w:eastAsia="仿宋_GB2312" w:cs="仿宋_GB2312"/>
          <w:color w:val="000000" w:themeColor="text1"/>
          <w:sz w:val="36"/>
          <w:szCs w:val="36"/>
          <w14:textFill>
            <w14:solidFill>
              <w14:schemeClr w14:val="tx1"/>
            </w14:solidFill>
          </w14:textFill>
        </w:rPr>
      </w:pPr>
    </w:p>
    <w:p w14:paraId="61852D88">
      <w:pPr>
        <w:keepNext w:val="0"/>
        <w:keepLines w:val="0"/>
        <w:pageBreakBefore w:val="0"/>
        <w:widowControl w:val="0"/>
        <w:wordWrap/>
        <w:bidi w:val="0"/>
        <w:adjustRightInd w:val="0"/>
        <w:snapToGrid w:val="0"/>
        <w:rPr>
          <w:rFonts w:ascii="仿宋_GB2312" w:hAnsi="仿宋_GB2312" w:eastAsia="仿宋_GB2312" w:cs="仿宋_GB2312"/>
          <w:color w:val="000000" w:themeColor="text1"/>
          <w:sz w:val="36"/>
          <w:szCs w:val="36"/>
          <w14:textFill>
            <w14:solidFill>
              <w14:schemeClr w14:val="tx1"/>
            </w14:solidFill>
          </w14:textFill>
        </w:rPr>
      </w:pPr>
    </w:p>
    <w:p w14:paraId="336DA148">
      <w:pPr>
        <w:keepNext w:val="0"/>
        <w:keepLines w:val="0"/>
        <w:pageBreakBefore w:val="0"/>
        <w:widowControl w:val="0"/>
        <w:wordWrap/>
        <w:bidi w:val="0"/>
        <w:adjustRightInd w:val="0"/>
        <w:snapToGrid w:val="0"/>
        <w:rPr>
          <w:rFonts w:ascii="仿宋_GB2312" w:hAnsi="仿宋_GB2312" w:eastAsia="仿宋_GB2312" w:cs="仿宋_GB2312"/>
          <w:color w:val="000000" w:themeColor="text1"/>
          <w:sz w:val="36"/>
          <w:szCs w:val="36"/>
          <w14:textFill>
            <w14:solidFill>
              <w14:schemeClr w14:val="tx1"/>
            </w14:solidFill>
          </w14:textFill>
        </w:rPr>
      </w:pPr>
    </w:p>
    <w:p w14:paraId="6DA253EB">
      <w:pPr>
        <w:keepNext w:val="0"/>
        <w:keepLines w:val="0"/>
        <w:pageBreakBefore w:val="0"/>
        <w:widowControl w:val="0"/>
        <w:wordWrap/>
        <w:bidi w:val="0"/>
        <w:adjustRightInd w:val="0"/>
        <w:snapToGrid w:val="0"/>
        <w:jc w:val="center"/>
        <w:outlineLvl w:val="0"/>
        <w:rPr>
          <w:rFonts w:hint="eastAsia" w:ascii="方正仿宋_GBK" w:hAnsi="方正仿宋_GBK" w:eastAsia="方正仿宋_GBK" w:cs="方正仿宋_GBK"/>
          <w:b/>
          <w:bCs w:val="0"/>
          <w:color w:val="000000" w:themeColor="text1"/>
          <w:sz w:val="72"/>
          <w:szCs w:val="72"/>
          <w14:textFill>
            <w14:solidFill>
              <w14:schemeClr w14:val="tx1"/>
            </w14:solidFill>
          </w14:textFill>
        </w:rPr>
      </w:pPr>
      <w:r>
        <w:rPr>
          <w:rFonts w:hint="eastAsia" w:ascii="方正仿宋_GBK" w:hAnsi="方正仿宋_GBK" w:eastAsia="方正仿宋_GBK" w:cs="方正仿宋_GBK"/>
          <w:b/>
          <w:bCs w:val="0"/>
          <w:color w:val="000000" w:themeColor="text1"/>
          <w:sz w:val="72"/>
          <w:szCs w:val="72"/>
          <w14:textFill>
            <w14:solidFill>
              <w14:schemeClr w14:val="tx1"/>
            </w14:solidFill>
          </w14:textFill>
        </w:rPr>
        <w:t>建设项目环境影响报告表</w:t>
      </w:r>
    </w:p>
    <w:p w14:paraId="048026CE">
      <w:pPr>
        <w:keepNext w:val="0"/>
        <w:keepLines w:val="0"/>
        <w:pageBreakBefore w:val="0"/>
        <w:widowControl w:val="0"/>
        <w:wordWrap/>
        <w:bidi w:val="0"/>
        <w:adjustRightInd w:val="0"/>
        <w:snapToGrid w:val="0"/>
        <w:spacing w:before="192" w:beforeLines="80"/>
        <w:jc w:val="center"/>
        <w:rPr>
          <w:rFonts w:hint="eastAsia"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14:paraId="0F708D65">
      <w:pPr>
        <w:keepNext w:val="0"/>
        <w:keepLines w:val="0"/>
        <w:pageBreakBefore w:val="0"/>
        <w:widowControl w:val="0"/>
        <w:wordWrap/>
        <w:bidi w:val="0"/>
        <w:adjustRightInd w:val="0"/>
        <w:snapToGrid w:val="0"/>
        <w:spacing w:line="288" w:lineRule="auto"/>
        <w:jc w:val="center"/>
        <w:outlineLvl w:val="0"/>
        <w:rPr>
          <w:rFonts w:ascii="华文仿宋" w:hAnsi="华文仿宋" w:eastAsia="华文仿宋" w:cs="华文仿宋"/>
          <w:color w:val="000000" w:themeColor="text1"/>
          <w:kern w:val="44"/>
          <w:sz w:val="44"/>
          <w:szCs w:val="44"/>
          <w14:textFill>
            <w14:solidFill>
              <w14:schemeClr w14:val="tx1"/>
            </w14:solidFill>
          </w14:textFill>
        </w:rPr>
      </w:pPr>
    </w:p>
    <w:p w14:paraId="549D96FF">
      <w:pPr>
        <w:keepNext w:val="0"/>
        <w:keepLines w:val="0"/>
        <w:pageBreakBefore w:val="0"/>
        <w:widowControl w:val="0"/>
        <w:wordWrap/>
        <w:bidi w:val="0"/>
        <w:adjustRightInd w:val="0"/>
        <w:snapToGrid w:val="0"/>
        <w:jc w:val="center"/>
        <w:rPr>
          <w:rFonts w:eastAsia="仿宋"/>
          <w:color w:val="000000" w:themeColor="text1"/>
          <w:sz w:val="52"/>
          <w:szCs w:val="52"/>
          <w14:textFill>
            <w14:solidFill>
              <w14:schemeClr w14:val="tx1"/>
            </w14:solidFill>
          </w14:textFill>
        </w:rPr>
      </w:pPr>
    </w:p>
    <w:p w14:paraId="31AA24B5">
      <w:pPr>
        <w:keepNext w:val="0"/>
        <w:keepLines w:val="0"/>
        <w:pageBreakBefore w:val="0"/>
        <w:widowControl w:val="0"/>
        <w:wordWrap/>
        <w:bidi w:val="0"/>
        <w:adjustRightInd w:val="0"/>
        <w:snapToGrid w:val="0"/>
        <w:ind w:firstLine="1040"/>
        <w:rPr>
          <w:rFonts w:eastAsia="仿宋"/>
          <w:color w:val="000000" w:themeColor="text1"/>
          <w:sz w:val="44"/>
          <w:szCs w:val="44"/>
          <w14:textFill>
            <w14:solidFill>
              <w14:schemeClr w14:val="tx1"/>
            </w14:solidFill>
          </w14:textFill>
        </w:rPr>
      </w:pPr>
    </w:p>
    <w:p w14:paraId="11B7A0A9">
      <w:pPr>
        <w:keepNext w:val="0"/>
        <w:keepLines w:val="0"/>
        <w:pageBreakBefore w:val="0"/>
        <w:widowControl w:val="0"/>
        <w:wordWrap/>
        <w:bidi w:val="0"/>
        <w:adjustRightInd w:val="0"/>
        <w:snapToGrid w:val="0"/>
        <w:ind w:firstLine="1040"/>
        <w:rPr>
          <w:rFonts w:eastAsia="仿宋"/>
          <w:color w:val="000000" w:themeColor="text1"/>
          <w:sz w:val="44"/>
          <w:szCs w:val="44"/>
          <w14:textFill>
            <w14:solidFill>
              <w14:schemeClr w14:val="tx1"/>
            </w14:solidFill>
          </w14:textFill>
        </w:rPr>
      </w:pPr>
    </w:p>
    <w:p w14:paraId="6E2DFBAF">
      <w:pPr>
        <w:keepNext w:val="0"/>
        <w:keepLines w:val="0"/>
        <w:pageBreakBefore w:val="0"/>
        <w:widowControl w:val="0"/>
        <w:wordWrap/>
        <w:bidi w:val="0"/>
        <w:adjustRightInd w:val="0"/>
        <w:snapToGrid w:val="0"/>
        <w:ind w:firstLine="1040"/>
        <w:rPr>
          <w:rFonts w:eastAsia="仿宋"/>
          <w:color w:val="000000" w:themeColor="text1"/>
          <w:sz w:val="44"/>
          <w:szCs w:val="44"/>
          <w14:textFill>
            <w14:solidFill>
              <w14:schemeClr w14:val="tx1"/>
            </w14:solidFill>
          </w14:textFill>
        </w:rPr>
      </w:pPr>
    </w:p>
    <w:p w14:paraId="6FFD7DF2">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default" w:ascii="Times New Roman" w:hAnsi="Times New Roman" w:eastAsia="方正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方正仿宋_GB2312" w:cs="Times New Roman"/>
          <w:color w:val="000000" w:themeColor="text1"/>
          <w:sz w:val="36"/>
          <w:szCs w:val="36"/>
          <w14:textFill>
            <w14:solidFill>
              <w14:schemeClr w14:val="tx1"/>
            </w14:solidFill>
          </w14:textFill>
        </w:rPr>
        <w:t>项目名称：</w:t>
      </w:r>
      <w:r>
        <w:rPr>
          <w:rFonts w:hint="default" w:ascii="Times New Roman" w:hAnsi="Times New Roman" w:eastAsia="方正仿宋_GB2312" w:cs="Times New Roman"/>
          <w:color w:val="000000" w:themeColor="text1"/>
          <w:sz w:val="36"/>
          <w:szCs w:val="36"/>
          <w:u w:val="single"/>
          <w14:textFill>
            <w14:solidFill>
              <w14:schemeClr w14:val="tx1"/>
            </w14:solidFill>
          </w14:textFill>
        </w:rPr>
        <w:t>石河子销售公司玛纳斯凤城加油站重启项目</w:t>
      </w:r>
      <w:r>
        <w:rPr>
          <w:rFonts w:hint="eastAsia" w:eastAsia="方正仿宋_GB2312" w:cs="Times New Roman"/>
          <w:color w:val="000000" w:themeColor="text1"/>
          <w:sz w:val="36"/>
          <w:szCs w:val="36"/>
          <w:u w:val="single"/>
          <w:lang w:val="en-US" w:eastAsia="zh-CN"/>
          <w14:textFill>
            <w14:solidFill>
              <w14:schemeClr w14:val="tx1"/>
            </w14:solidFill>
          </w14:textFill>
        </w:rPr>
        <w:t xml:space="preserve">  </w:t>
      </w:r>
    </w:p>
    <w:p w14:paraId="6A22350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default" w:ascii="Times New Roman" w:hAnsi="Times New Roman" w:eastAsia="方正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方正仿宋_GB2312" w:cs="Times New Roman"/>
          <w:color w:val="000000" w:themeColor="text1"/>
          <w:sz w:val="36"/>
          <w:szCs w:val="36"/>
          <w14:textFill>
            <w14:solidFill>
              <w14:schemeClr w14:val="tx1"/>
            </w14:solidFill>
          </w14:textFill>
        </w:rPr>
        <w:t>建设单位（盖章）：</w:t>
      </w:r>
      <w:r>
        <w:rPr>
          <w:rFonts w:hint="default" w:ascii="Times New Roman" w:hAnsi="Times New Roman" w:eastAsia="方正仿宋_GB2312" w:cs="Times New Roman"/>
          <w:color w:val="000000" w:themeColor="text1"/>
          <w:sz w:val="36"/>
          <w:szCs w:val="36"/>
          <w:u w:val="single"/>
          <w14:textFill>
            <w14:solidFill>
              <w14:schemeClr w14:val="tx1"/>
            </w14:solidFill>
          </w14:textFill>
        </w:rPr>
        <w:t>中石油新疆销售有限公司</w:t>
      </w:r>
      <w:r>
        <w:rPr>
          <w:rFonts w:hint="eastAsia" w:eastAsia="方正仿宋_GB2312" w:cs="Times New Roman"/>
          <w:color w:val="000000" w:themeColor="text1"/>
          <w:sz w:val="36"/>
          <w:szCs w:val="36"/>
          <w:u w:val="single"/>
          <w:lang w:val="en-US" w:eastAsia="zh-CN"/>
          <w14:textFill>
            <w14:solidFill>
              <w14:schemeClr w14:val="tx1"/>
            </w14:solidFill>
          </w14:textFill>
        </w:rPr>
        <w:t xml:space="preserve">         </w:t>
      </w:r>
    </w:p>
    <w:p w14:paraId="43001AEF">
      <w:pPr>
        <w:keepNext w:val="0"/>
        <w:keepLines w:val="0"/>
        <w:pageBreakBefore w:val="0"/>
        <w:widowControl w:val="0"/>
        <w:kinsoku/>
        <w:wordWrap/>
        <w:overflowPunct/>
        <w:topLinePunct w:val="0"/>
        <w:autoSpaceDE/>
        <w:autoSpaceDN/>
        <w:bidi w:val="0"/>
        <w:adjustRightInd w:val="0"/>
        <w:snapToGrid w:val="0"/>
        <w:spacing w:line="288" w:lineRule="auto"/>
        <w:ind w:firstLine="3240" w:firstLineChars="900"/>
        <w:textAlignment w:val="auto"/>
        <w:rPr>
          <w:rFonts w:hint="default" w:ascii="Times New Roman" w:hAnsi="Times New Roman" w:eastAsia="方正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方正仿宋_GB2312" w:cs="Times New Roman"/>
          <w:color w:val="000000" w:themeColor="text1"/>
          <w:sz w:val="36"/>
          <w:szCs w:val="36"/>
          <w:u w:val="single"/>
          <w14:textFill>
            <w14:solidFill>
              <w14:schemeClr w14:val="tx1"/>
            </w14:solidFill>
          </w14:textFill>
        </w:rPr>
        <w:t>石河子分公司</w:t>
      </w:r>
      <w:r>
        <w:rPr>
          <w:rFonts w:hint="eastAsia" w:eastAsia="方正仿宋_GB2312" w:cs="Times New Roman"/>
          <w:color w:val="000000" w:themeColor="text1"/>
          <w:sz w:val="36"/>
          <w:szCs w:val="36"/>
          <w:u w:val="single"/>
          <w:lang w:val="en-US" w:eastAsia="zh-CN"/>
          <w14:textFill>
            <w14:solidFill>
              <w14:schemeClr w14:val="tx1"/>
            </w14:solidFill>
          </w14:textFill>
        </w:rPr>
        <w:t xml:space="preserve">                    </w:t>
      </w:r>
    </w:p>
    <w:p w14:paraId="3F62B457">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default" w:ascii="Times New Roman" w:hAnsi="Times New Roman" w:eastAsia="方正仿宋_GB2312" w:cs="Times New Roman"/>
          <w:color w:val="000000" w:themeColor="text1"/>
          <w:sz w:val="36"/>
          <w:szCs w:val="36"/>
          <w:u w:val="single"/>
          <w14:textFill>
            <w14:solidFill>
              <w14:schemeClr w14:val="tx1"/>
            </w14:solidFill>
          </w14:textFill>
        </w:rPr>
      </w:pPr>
      <w:r>
        <w:rPr>
          <w:rFonts w:hint="default" w:ascii="Times New Roman" w:hAnsi="Times New Roman" w:eastAsia="方正仿宋_GB2312" w:cs="Times New Roman"/>
          <w:color w:val="000000" w:themeColor="text1"/>
          <w:sz w:val="36"/>
          <w:szCs w:val="36"/>
          <w14:textFill>
            <w14:solidFill>
              <w14:schemeClr w14:val="tx1"/>
            </w14:solidFill>
          </w14:textFill>
        </w:rPr>
        <w:t>编制日期：</w:t>
      </w:r>
      <w:r>
        <w:rPr>
          <w:rFonts w:hint="default" w:ascii="Times New Roman" w:hAnsi="Times New Roman" w:eastAsia="方正仿宋_GB2312" w:cs="Times New Roman"/>
          <w:color w:val="000000" w:themeColor="text1"/>
          <w:sz w:val="36"/>
          <w:szCs w:val="36"/>
          <w:u w:val="single"/>
          <w:lang w:val="en-US" w:eastAsia="zh-CN"/>
          <w14:textFill>
            <w14:solidFill>
              <w14:schemeClr w14:val="tx1"/>
            </w14:solidFill>
          </w14:textFill>
        </w:rPr>
        <w:t xml:space="preserve">        2024年</w:t>
      </w:r>
      <w:r>
        <w:rPr>
          <w:rFonts w:hint="eastAsia" w:eastAsia="方正仿宋_GB2312" w:cs="Times New Roman"/>
          <w:color w:val="000000" w:themeColor="text1"/>
          <w:sz w:val="36"/>
          <w:szCs w:val="36"/>
          <w:u w:val="single"/>
          <w:lang w:val="en-US" w:eastAsia="zh-CN"/>
          <w14:textFill>
            <w14:solidFill>
              <w14:schemeClr w14:val="tx1"/>
            </w14:solidFill>
          </w14:textFill>
        </w:rPr>
        <w:t>12</w:t>
      </w:r>
      <w:r>
        <w:rPr>
          <w:rFonts w:hint="default" w:ascii="Times New Roman" w:hAnsi="Times New Roman" w:eastAsia="方正仿宋_GB2312" w:cs="Times New Roman"/>
          <w:color w:val="000000" w:themeColor="text1"/>
          <w:sz w:val="36"/>
          <w:szCs w:val="36"/>
          <w:u w:val="single"/>
          <w:lang w:val="en-US" w:eastAsia="zh-CN"/>
          <w14:textFill>
            <w14:solidFill>
              <w14:schemeClr w14:val="tx1"/>
            </w14:solidFill>
          </w14:textFill>
        </w:rPr>
        <w:t>月</w:t>
      </w:r>
      <w:r>
        <w:rPr>
          <w:rFonts w:hint="default" w:ascii="Times New Roman" w:hAnsi="Times New Roman" w:eastAsia="方正仿宋_GB2312" w:cs="Times New Roman"/>
          <w:color w:val="000000" w:themeColor="text1"/>
          <w:sz w:val="36"/>
          <w:szCs w:val="36"/>
          <w:u w:val="single"/>
          <w14:textFill>
            <w14:solidFill>
              <w14:schemeClr w14:val="tx1"/>
            </w14:solidFill>
          </w14:textFill>
        </w:rPr>
        <w:t xml:space="preserve"> </w:t>
      </w:r>
      <w:r>
        <w:rPr>
          <w:rFonts w:hint="default" w:ascii="Times New Roman" w:hAnsi="Times New Roman" w:eastAsia="方正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方正仿宋_GB2312" w:cs="Times New Roman"/>
          <w:color w:val="000000" w:themeColor="text1"/>
          <w:sz w:val="36"/>
          <w:szCs w:val="36"/>
          <w:u w:val="single"/>
          <w14:textFill>
            <w14:solidFill>
              <w14:schemeClr w14:val="tx1"/>
            </w14:solidFill>
          </w14:textFill>
        </w:rPr>
        <w:t xml:space="preserve">             </w:t>
      </w:r>
      <w:r>
        <w:rPr>
          <w:rFonts w:hint="eastAsia" w:eastAsia="方正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方正仿宋_GB2312" w:cs="Times New Roman"/>
          <w:color w:val="000000" w:themeColor="text1"/>
          <w:sz w:val="36"/>
          <w:szCs w:val="36"/>
          <w:u w:val="single"/>
          <w14:textFill>
            <w14:solidFill>
              <w14:schemeClr w14:val="tx1"/>
            </w14:solidFill>
          </w14:textFill>
        </w:rPr>
        <w:t xml:space="preserve"> </w:t>
      </w:r>
    </w:p>
    <w:p w14:paraId="66CDC911">
      <w:pPr>
        <w:keepNext w:val="0"/>
        <w:keepLines w:val="0"/>
        <w:pageBreakBefore w:val="0"/>
        <w:widowControl w:val="0"/>
        <w:wordWrap/>
        <w:bidi w:val="0"/>
        <w:adjustRightInd w:val="0"/>
        <w:snapToGrid w:val="0"/>
        <w:spacing w:line="288" w:lineRule="auto"/>
        <w:ind w:firstLine="1040"/>
        <w:rPr>
          <w:rFonts w:hint="eastAsia" w:ascii="方正仿宋_GB2312" w:hAnsi="方正仿宋_GB2312" w:eastAsia="方正仿宋_GB2312" w:cs="方正仿宋_GB2312"/>
          <w:color w:val="000000" w:themeColor="text1"/>
          <w:sz w:val="36"/>
          <w:szCs w:val="36"/>
          <w14:textFill>
            <w14:solidFill>
              <w14:schemeClr w14:val="tx1"/>
            </w14:solidFill>
          </w14:textFill>
        </w:rPr>
      </w:pPr>
      <w:bookmarkStart w:id="0" w:name="_Hlk57884087"/>
    </w:p>
    <w:p w14:paraId="078A4E77">
      <w:pPr>
        <w:keepNext w:val="0"/>
        <w:keepLines w:val="0"/>
        <w:pageBreakBefore w:val="0"/>
        <w:widowControl w:val="0"/>
        <w:wordWrap/>
        <w:bidi w:val="0"/>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14:paraId="6D4BCB38">
      <w:pPr>
        <w:keepNext w:val="0"/>
        <w:keepLines w:val="0"/>
        <w:pageBreakBefore w:val="0"/>
        <w:widowControl w:val="0"/>
        <w:wordWrap/>
        <w:bidi w:val="0"/>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p w14:paraId="555B014A">
      <w:pPr>
        <w:keepNext w:val="0"/>
        <w:keepLines w:val="0"/>
        <w:pageBreakBefore w:val="0"/>
        <w:widowControl w:val="0"/>
        <w:wordWrap/>
        <w:bidi w:val="0"/>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bookmarkEnd w:id="0"/>
    <w:p w14:paraId="43FD1102">
      <w:pPr>
        <w:keepNext w:val="0"/>
        <w:keepLines w:val="0"/>
        <w:pageBreakBefore w:val="0"/>
        <w:widowControl w:val="0"/>
        <w:wordWrap/>
        <w:bidi w:val="0"/>
        <w:adjustRightInd w:val="0"/>
        <w:snapToGrid w:val="0"/>
        <w:spacing w:line="288" w:lineRule="auto"/>
        <w:jc w:val="center"/>
        <w:rPr>
          <w:rFonts w:hint="eastAsia"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14:paraId="5A5D4BBC">
      <w:pPr>
        <w:keepNext w:val="0"/>
        <w:keepLines w:val="0"/>
        <w:pageBreakBefore w:val="0"/>
        <w:widowControl w:val="0"/>
        <w:wordWrap/>
        <w:bidi w:val="0"/>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14:paraId="6B86365B">
      <w:pPr>
        <w:pStyle w:val="11"/>
        <w:keepNext w:val="0"/>
        <w:keepLines w:val="0"/>
        <w:pageBreakBefore w:val="0"/>
        <w:widowControl w:val="0"/>
        <w:wordWrap/>
        <w:bidi w:val="0"/>
        <w:adjustRightInd w:val="0"/>
        <w:snapToGrid w:val="0"/>
        <w:rPr>
          <w:rFonts w:ascii="仿宋_GB2312" w:eastAsia="仿宋_GB2312"/>
          <w:color w:val="000000" w:themeColor="text1"/>
          <w:sz w:val="36"/>
          <w:szCs w:val="36"/>
          <w14:textFill>
            <w14:solidFill>
              <w14:schemeClr w14:val="tx1"/>
            </w14:solidFill>
          </w14:textFill>
        </w:rPr>
      </w:pPr>
    </w:p>
    <w:p w14:paraId="0E1156BC">
      <w:pPr>
        <w:pStyle w:val="17"/>
        <w:keepNext w:val="0"/>
        <w:keepLines w:val="0"/>
        <w:pageBreakBefore w:val="0"/>
        <w:widowControl w:val="0"/>
        <w:wordWrap/>
        <w:bidi w:val="0"/>
        <w:adjustRightInd w:val="0"/>
        <w:snapToGrid w:val="0"/>
        <w:rPr>
          <w:color w:val="000000" w:themeColor="text1"/>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4524"/>
        <w:gridCol w:w="4434"/>
      </w:tblGrid>
      <w:tr w14:paraId="7D9F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72" w:hRule="atLeast"/>
          <w:jc w:val="center"/>
        </w:trPr>
        <w:tc>
          <w:tcPr>
            <w:tcW w:w="2525" w:type="pct"/>
            <w:noWrap w:val="0"/>
            <w:vAlign w:val="center"/>
          </w:tcPr>
          <w:p w14:paraId="69580CAD">
            <w:pPr>
              <w:keepNext w:val="0"/>
              <w:keepLines w:val="0"/>
              <w:pageBreakBefore w:val="0"/>
              <w:widowControl w:val="0"/>
              <w:kinsoku/>
              <w:wordWrap/>
              <w:overflowPunct/>
              <w:topLinePunct/>
              <w:autoSpaceDE/>
              <w:autoSpaceDN/>
              <w:bidi w:val="0"/>
              <w:adjustRightInd/>
              <w:snapToGrid/>
              <w:spacing w:line="240" w:lineRule="auto"/>
              <w:ind w:firstLine="0"/>
              <w:jc w:val="center"/>
              <w:textAlignment w:val="auto"/>
              <w:rPr>
                <w:rFonts w:hint="eastAsia" w:ascii="宋体" w:hAnsi="宋体" w:eastAsia="宋体" w:cs="宋体"/>
                <w:b/>
                <w:color w:val="000000" w:themeColor="text1"/>
                <w:sz w:val="24"/>
                <w:szCs w:val="24"/>
                <w:lang w:eastAsia="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drawing>
                <wp:inline distT="0" distB="0" distL="114300" distR="114300">
                  <wp:extent cx="2794635" cy="2095500"/>
                  <wp:effectExtent l="0" t="0" r="5715" b="0"/>
                  <wp:docPr id="7" name="图片 7" descr="27f12d3615e4dcef48fe6689a35c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7f12d3615e4dcef48fe6689a35cda4"/>
                          <pic:cNvPicPr>
                            <a:picLocks noChangeAspect="1"/>
                          </pic:cNvPicPr>
                        </pic:nvPicPr>
                        <pic:blipFill>
                          <a:blip r:embed="rId8"/>
                          <a:stretch>
                            <a:fillRect/>
                          </a:stretch>
                        </pic:blipFill>
                        <pic:spPr>
                          <a:xfrm>
                            <a:off x="0" y="0"/>
                            <a:ext cx="2794635" cy="2095500"/>
                          </a:xfrm>
                          <a:prstGeom prst="rect">
                            <a:avLst/>
                          </a:prstGeom>
                        </pic:spPr>
                      </pic:pic>
                    </a:graphicData>
                  </a:graphic>
                </wp:inline>
              </w:drawing>
            </w:r>
          </w:p>
          <w:p w14:paraId="56F3EA07">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eastAsia" w:ascii="宋体" w:hAnsi="宋体" w:eastAsia="宋体" w:cs="宋体"/>
                <w:b/>
                <w:snapToGrid w:val="0"/>
                <w:color w:val="000000" w:themeColor="text1"/>
                <w:kern w:val="0"/>
                <w:sz w:val="24"/>
                <w:szCs w:val="24"/>
                <w:lang w:eastAsia="zh-CN"/>
                <w14:textFill>
                  <w14:solidFill>
                    <w14:schemeClr w14:val="tx1"/>
                  </w14:solidFill>
                </w14:textFill>
              </w:rPr>
            </w:pPr>
            <w:r>
              <w:rPr>
                <w:rFonts w:hint="eastAsia" w:ascii="宋体" w:hAnsi="宋体" w:eastAsia="宋体" w:cs="宋体"/>
                <w:b/>
                <w:snapToGrid w:val="0"/>
                <w:color w:val="000000" w:themeColor="text1"/>
                <w:kern w:val="0"/>
                <w:sz w:val="24"/>
                <w:szCs w:val="24"/>
                <w:lang w:eastAsia="zh-CN"/>
                <w14:textFill>
                  <w14:solidFill>
                    <w14:schemeClr w14:val="tx1"/>
                  </w14:solidFill>
                </w14:textFill>
              </w:rPr>
              <w:t>项目区东侧</w:t>
            </w:r>
          </w:p>
        </w:tc>
        <w:tc>
          <w:tcPr>
            <w:tcW w:w="2474" w:type="pct"/>
            <w:noWrap w:val="0"/>
            <w:vAlign w:val="center"/>
          </w:tcPr>
          <w:p w14:paraId="5B13DFC4">
            <w:pPr>
              <w:keepNext w:val="0"/>
              <w:keepLines w:val="0"/>
              <w:pageBreakBefore w:val="0"/>
              <w:widowControl w:val="0"/>
              <w:kinsoku/>
              <w:wordWrap/>
              <w:overflowPunct/>
              <w:topLinePunct/>
              <w:autoSpaceDE/>
              <w:autoSpaceDN/>
              <w:bidi w:val="0"/>
              <w:adjustRightInd/>
              <w:snapToGrid/>
              <w:spacing w:line="240" w:lineRule="auto"/>
              <w:ind w:firstLine="0"/>
              <w:jc w:val="center"/>
              <w:textAlignment w:val="auto"/>
              <w:rPr>
                <w:rFonts w:hint="eastAsia" w:ascii="宋体" w:hAnsi="宋体" w:eastAsia="宋体" w:cs="宋体"/>
                <w:b/>
                <w:color w:val="000000" w:themeColor="text1"/>
                <w:sz w:val="24"/>
                <w:szCs w:val="24"/>
                <w:lang w:eastAsia="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drawing>
                <wp:inline distT="0" distB="0" distL="114300" distR="114300">
                  <wp:extent cx="2729865" cy="2046605"/>
                  <wp:effectExtent l="0" t="0" r="13335" b="10795"/>
                  <wp:docPr id="5" name="图片 5" descr="4ad90a901bea44f41dff213ae4fc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ad90a901bea44f41dff213ae4fca17"/>
                          <pic:cNvPicPr>
                            <a:picLocks noChangeAspect="1"/>
                          </pic:cNvPicPr>
                        </pic:nvPicPr>
                        <pic:blipFill>
                          <a:blip r:embed="rId9"/>
                          <a:stretch>
                            <a:fillRect/>
                          </a:stretch>
                        </pic:blipFill>
                        <pic:spPr>
                          <a:xfrm>
                            <a:off x="0" y="0"/>
                            <a:ext cx="2729865" cy="2046605"/>
                          </a:xfrm>
                          <a:prstGeom prst="rect">
                            <a:avLst/>
                          </a:prstGeom>
                        </pic:spPr>
                      </pic:pic>
                    </a:graphicData>
                  </a:graphic>
                </wp:inline>
              </w:drawing>
            </w:r>
          </w:p>
          <w:p w14:paraId="63E943A2">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eastAsia" w:ascii="宋体" w:hAnsi="宋体" w:eastAsia="宋体" w:cs="宋体"/>
                <w:b/>
                <w:snapToGrid w:val="0"/>
                <w:color w:val="000000" w:themeColor="text1"/>
                <w:kern w:val="0"/>
                <w:sz w:val="24"/>
                <w:szCs w:val="24"/>
                <w14:textFill>
                  <w14:solidFill>
                    <w14:schemeClr w14:val="tx1"/>
                  </w14:solidFill>
                </w14:textFill>
              </w:rPr>
            </w:pPr>
            <w:r>
              <w:rPr>
                <w:rFonts w:hint="eastAsia" w:ascii="宋体" w:hAnsi="宋体" w:eastAsia="宋体" w:cs="宋体"/>
                <w:b/>
                <w:snapToGrid w:val="0"/>
                <w:color w:val="000000" w:themeColor="text1"/>
                <w:kern w:val="0"/>
                <w:sz w:val="24"/>
                <w:szCs w:val="24"/>
                <w:lang w:eastAsia="zh-CN"/>
                <w14:textFill>
                  <w14:solidFill>
                    <w14:schemeClr w14:val="tx1"/>
                  </w14:solidFill>
                </w14:textFill>
              </w:rPr>
              <w:t>项目区西侧</w:t>
            </w:r>
          </w:p>
        </w:tc>
      </w:tr>
      <w:tr w14:paraId="4848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706" w:hRule="atLeast"/>
          <w:jc w:val="center"/>
        </w:trPr>
        <w:tc>
          <w:tcPr>
            <w:tcW w:w="2525" w:type="pct"/>
            <w:noWrap w:val="0"/>
            <w:vAlign w:val="center"/>
          </w:tcPr>
          <w:p w14:paraId="5E4B491F">
            <w:pPr>
              <w:keepNext w:val="0"/>
              <w:keepLines w:val="0"/>
              <w:pageBreakBefore w:val="0"/>
              <w:widowControl/>
              <w:kinsoku/>
              <w:wordWrap/>
              <w:overflowPunct/>
              <w:autoSpaceDE/>
              <w:autoSpaceDN/>
              <w:bidi w:val="0"/>
              <w:adjustRightInd/>
              <w:snapToGrid/>
              <w:spacing w:line="240" w:lineRule="auto"/>
              <w:ind w:firstLine="0"/>
              <w:jc w:val="center"/>
              <w:textAlignment w:val="auto"/>
              <w:rPr>
                <w:rFonts w:hint="eastAsia" w:ascii="宋体" w:hAnsi="宋体" w:eastAsia="宋体" w:cs="宋体"/>
                <w:b/>
                <w:color w:val="000000" w:themeColor="text1"/>
                <w:sz w:val="24"/>
                <w:szCs w:val="24"/>
                <w:lang w:eastAsia="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drawing>
                <wp:inline distT="0" distB="0" distL="114300" distR="114300">
                  <wp:extent cx="2794635" cy="2095500"/>
                  <wp:effectExtent l="0" t="0" r="5715" b="0"/>
                  <wp:docPr id="6" name="图片 6" descr="dd5b39a76ca23d413641f3cff1ae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5b39a76ca23d413641f3cff1ae46a"/>
                          <pic:cNvPicPr>
                            <a:picLocks noChangeAspect="1"/>
                          </pic:cNvPicPr>
                        </pic:nvPicPr>
                        <pic:blipFill>
                          <a:blip r:embed="rId10"/>
                          <a:stretch>
                            <a:fillRect/>
                          </a:stretch>
                        </pic:blipFill>
                        <pic:spPr>
                          <a:xfrm>
                            <a:off x="0" y="0"/>
                            <a:ext cx="2794635" cy="2095500"/>
                          </a:xfrm>
                          <a:prstGeom prst="rect">
                            <a:avLst/>
                          </a:prstGeom>
                        </pic:spPr>
                      </pic:pic>
                    </a:graphicData>
                  </a:graphic>
                </wp:inline>
              </w:drawing>
            </w:r>
          </w:p>
          <w:p w14:paraId="437BB649">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rPr>
                <w:rFonts w:hint="eastAsia" w:ascii="宋体" w:hAnsi="宋体" w:eastAsia="宋体" w:cs="宋体"/>
                <w:b/>
                <w:snapToGrid w:val="0"/>
                <w:color w:val="000000" w:themeColor="text1"/>
                <w:kern w:val="0"/>
                <w:sz w:val="24"/>
                <w:szCs w:val="24"/>
                <w14:textFill>
                  <w14:solidFill>
                    <w14:schemeClr w14:val="tx1"/>
                  </w14:solidFill>
                </w14:textFill>
              </w:rPr>
            </w:pPr>
            <w:r>
              <w:rPr>
                <w:rFonts w:hint="eastAsia" w:ascii="宋体" w:hAnsi="宋体" w:eastAsia="宋体" w:cs="宋体"/>
                <w:b/>
                <w:snapToGrid w:val="0"/>
                <w:color w:val="000000" w:themeColor="text1"/>
                <w:kern w:val="0"/>
                <w:sz w:val="24"/>
                <w:szCs w:val="24"/>
                <w:lang w:val="en-US" w:eastAsia="zh-CN"/>
                <w14:textFill>
                  <w14:solidFill>
                    <w14:schemeClr w14:val="tx1"/>
                  </w14:solidFill>
                </w14:textFill>
              </w:rPr>
              <w:t>项目区南侧</w:t>
            </w:r>
          </w:p>
        </w:tc>
        <w:tc>
          <w:tcPr>
            <w:tcW w:w="2474" w:type="pct"/>
            <w:noWrap w:val="0"/>
            <w:vAlign w:val="center"/>
          </w:tcPr>
          <w:p w14:paraId="76C26C99">
            <w:pPr>
              <w:keepNext w:val="0"/>
              <w:keepLines w:val="0"/>
              <w:pageBreakBefore w:val="0"/>
              <w:kinsoku/>
              <w:wordWrap/>
              <w:overflowPunct/>
              <w:topLinePunct/>
              <w:autoSpaceDE/>
              <w:autoSpaceDN/>
              <w:bidi w:val="0"/>
              <w:adjustRightInd/>
              <w:snapToGrid/>
              <w:spacing w:line="240" w:lineRule="auto"/>
              <w:ind w:firstLine="0"/>
              <w:jc w:val="center"/>
              <w:textAlignment w:val="auto"/>
              <w:rPr>
                <w:rFonts w:hint="eastAsia" w:ascii="宋体" w:hAnsi="宋体" w:eastAsia="宋体" w:cs="宋体"/>
                <w:b/>
                <w:color w:val="000000" w:themeColor="text1"/>
                <w:sz w:val="24"/>
                <w:szCs w:val="24"/>
                <w:lang w:eastAsia="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drawing>
                <wp:inline distT="0" distB="0" distL="114300" distR="114300">
                  <wp:extent cx="2729865" cy="2046605"/>
                  <wp:effectExtent l="0" t="0" r="13335" b="10795"/>
                  <wp:docPr id="4" name="图片 4" descr="907422e0732a4972c7bd14b62635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07422e0732a4972c7bd14b62635d48"/>
                          <pic:cNvPicPr>
                            <a:picLocks noChangeAspect="1"/>
                          </pic:cNvPicPr>
                        </pic:nvPicPr>
                        <pic:blipFill>
                          <a:blip r:embed="rId11"/>
                          <a:stretch>
                            <a:fillRect/>
                          </a:stretch>
                        </pic:blipFill>
                        <pic:spPr>
                          <a:xfrm>
                            <a:off x="0" y="0"/>
                            <a:ext cx="2729865" cy="2046605"/>
                          </a:xfrm>
                          <a:prstGeom prst="rect">
                            <a:avLst/>
                          </a:prstGeom>
                        </pic:spPr>
                      </pic:pic>
                    </a:graphicData>
                  </a:graphic>
                </wp:inline>
              </w:drawing>
            </w:r>
          </w:p>
          <w:p w14:paraId="433BA481">
            <w:pPr>
              <w:keepNext w:val="0"/>
              <w:keepLines w:val="0"/>
              <w:pageBreakBefore w:val="0"/>
              <w:kinsoku/>
              <w:wordWrap/>
              <w:overflowPunct/>
              <w:topLinePunct/>
              <w:autoSpaceDE/>
              <w:autoSpaceDN/>
              <w:bidi w:val="0"/>
              <w:adjustRightInd/>
              <w:snapToGrid/>
              <w:spacing w:line="240" w:lineRule="auto"/>
              <w:ind w:firstLine="0" w:firstLineChars="0"/>
              <w:jc w:val="center"/>
              <w:textAlignment w:val="auto"/>
              <w:rPr>
                <w:rFonts w:hint="eastAsia" w:ascii="宋体" w:hAnsi="宋体" w:eastAsia="宋体" w:cs="宋体"/>
                <w:b/>
                <w:snapToGrid w:val="0"/>
                <w:color w:val="000000" w:themeColor="text1"/>
                <w:kern w:val="0"/>
                <w:sz w:val="24"/>
                <w:szCs w:val="24"/>
                <w14:textFill>
                  <w14:solidFill>
                    <w14:schemeClr w14:val="tx1"/>
                  </w14:solidFill>
                </w14:textFill>
              </w:rPr>
            </w:pPr>
            <w:r>
              <w:rPr>
                <w:rFonts w:hint="eastAsia" w:ascii="宋体" w:hAnsi="宋体" w:eastAsia="宋体" w:cs="宋体"/>
                <w:b/>
                <w:snapToGrid w:val="0"/>
                <w:color w:val="000000" w:themeColor="text1"/>
                <w:kern w:val="0"/>
                <w:sz w:val="24"/>
                <w:szCs w:val="24"/>
                <w:lang w:val="en-US" w:eastAsia="zh-CN"/>
                <w14:textFill>
                  <w14:solidFill>
                    <w14:schemeClr w14:val="tx1"/>
                  </w14:solidFill>
                </w14:textFill>
              </w:rPr>
              <w:t>项目区北侧</w:t>
            </w:r>
          </w:p>
        </w:tc>
      </w:tr>
    </w:tbl>
    <w:p w14:paraId="709B78C8">
      <w:pPr>
        <w:pStyle w:val="26"/>
        <w:keepNext w:val="0"/>
        <w:keepLines w:val="0"/>
        <w:pageBreakBefore w:val="0"/>
        <w:widowControl w:val="0"/>
        <w:wordWrap/>
        <w:bidi w:val="0"/>
        <w:adjustRightInd w:val="0"/>
        <w:snapToGrid w:val="0"/>
        <w:jc w:val="center"/>
        <w:outlineLvl w:val="0"/>
        <w:rPr>
          <w:rFonts w:hint="eastAsia" w:ascii="黑体" w:hAnsi="黑体" w:eastAsia="黑体"/>
          <w:snapToGrid w:val="0"/>
          <w:color w:val="000000" w:themeColor="text1"/>
          <w:sz w:val="30"/>
          <w:szCs w:val="30"/>
          <w14:textFill>
            <w14:solidFill>
              <w14:schemeClr w14:val="tx1"/>
            </w14:solidFill>
          </w14:textFill>
        </w:rPr>
        <w:sectPr>
          <w:footerReference r:id="rId5" w:type="default"/>
          <w:pgSz w:w="11906" w:h="16838"/>
          <w:pgMar w:top="153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53284F97">
      <w:pPr>
        <w:pStyle w:val="26"/>
        <w:keepNext w:val="0"/>
        <w:keepLines w:val="0"/>
        <w:pageBreakBefore w:val="0"/>
        <w:widowControl w:val="0"/>
        <w:wordWrap/>
        <w:bidi w:val="0"/>
        <w:adjustRightInd w:val="0"/>
        <w:snapToGrid w:val="0"/>
        <w:jc w:val="center"/>
        <w:outlineLvl w:val="0"/>
        <w:rPr>
          <w:rFonts w:hint="eastAsia"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85" w:type="dxa"/>
          <w:bottom w:w="0" w:type="dxa"/>
          <w:right w:w="85" w:type="dxa"/>
        </w:tblCellMar>
      </w:tblPr>
      <w:tblGrid>
        <w:gridCol w:w="1283"/>
        <w:gridCol w:w="2736"/>
        <w:gridCol w:w="1690"/>
        <w:gridCol w:w="3161"/>
      </w:tblGrid>
      <w:tr w14:paraId="22545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97" w:hRule="atLeast"/>
          <w:jc w:val="center"/>
        </w:trPr>
        <w:tc>
          <w:tcPr>
            <w:tcW w:w="1283" w:type="dxa"/>
            <w:noWrap w:val="0"/>
            <w:tcMar>
              <w:top w:w="16" w:type="dxa"/>
              <w:left w:w="16" w:type="dxa"/>
              <w:right w:w="16" w:type="dxa"/>
            </w:tcMar>
            <w:vAlign w:val="center"/>
          </w:tcPr>
          <w:p w14:paraId="4CF050D8">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建设项目</w:t>
            </w:r>
          </w:p>
          <w:p w14:paraId="602A3583">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名称</w:t>
            </w:r>
          </w:p>
        </w:tc>
        <w:tc>
          <w:tcPr>
            <w:tcW w:w="7587" w:type="dxa"/>
            <w:gridSpan w:val="3"/>
            <w:noWrap w:val="0"/>
            <w:vAlign w:val="center"/>
          </w:tcPr>
          <w:p w14:paraId="158A879B">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石河子销售公司玛纳斯凤城加油站重启项目</w:t>
            </w:r>
          </w:p>
        </w:tc>
      </w:tr>
      <w:tr w14:paraId="51441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97" w:hRule="atLeast"/>
          <w:jc w:val="center"/>
        </w:trPr>
        <w:tc>
          <w:tcPr>
            <w:tcW w:w="1283" w:type="dxa"/>
            <w:noWrap w:val="0"/>
            <w:tcMar>
              <w:top w:w="16" w:type="dxa"/>
              <w:left w:w="16" w:type="dxa"/>
              <w:right w:w="16" w:type="dxa"/>
            </w:tcMar>
            <w:vAlign w:val="center"/>
          </w:tcPr>
          <w:p w14:paraId="7FC6CBA3">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项目代码</w:t>
            </w:r>
          </w:p>
        </w:tc>
        <w:tc>
          <w:tcPr>
            <w:tcW w:w="7587" w:type="dxa"/>
            <w:gridSpan w:val="3"/>
            <w:noWrap w:val="0"/>
            <w:vAlign w:val="center"/>
          </w:tcPr>
          <w:p w14:paraId="6EDACF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2408-652324-21-01-206343</w:t>
            </w:r>
          </w:p>
        </w:tc>
      </w:tr>
      <w:tr w14:paraId="74564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97" w:hRule="atLeast"/>
          <w:jc w:val="center"/>
        </w:trPr>
        <w:tc>
          <w:tcPr>
            <w:tcW w:w="1283" w:type="dxa"/>
            <w:noWrap w:val="0"/>
            <w:tcMar>
              <w:top w:w="16" w:type="dxa"/>
              <w:left w:w="16" w:type="dxa"/>
              <w:right w:w="16" w:type="dxa"/>
            </w:tcMar>
            <w:vAlign w:val="center"/>
          </w:tcPr>
          <w:p w14:paraId="7D85D335">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建设单位联系人</w:t>
            </w:r>
          </w:p>
        </w:tc>
        <w:tc>
          <w:tcPr>
            <w:tcW w:w="2736" w:type="dxa"/>
            <w:noWrap w:val="0"/>
            <w:vAlign w:val="center"/>
          </w:tcPr>
          <w:p w14:paraId="20E9AD6B">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陈浩</w:t>
            </w:r>
          </w:p>
        </w:tc>
        <w:tc>
          <w:tcPr>
            <w:tcW w:w="1690" w:type="dxa"/>
            <w:noWrap w:val="0"/>
            <w:vAlign w:val="center"/>
          </w:tcPr>
          <w:p w14:paraId="042CEEAD">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联系方式</w:t>
            </w:r>
          </w:p>
        </w:tc>
        <w:tc>
          <w:tcPr>
            <w:tcW w:w="3161" w:type="dxa"/>
            <w:noWrap w:val="0"/>
            <w:vAlign w:val="center"/>
          </w:tcPr>
          <w:p w14:paraId="10E9B029">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18509935805</w:t>
            </w:r>
          </w:p>
        </w:tc>
      </w:tr>
      <w:tr w14:paraId="67900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97" w:hRule="atLeast"/>
          <w:jc w:val="center"/>
        </w:trPr>
        <w:tc>
          <w:tcPr>
            <w:tcW w:w="1283" w:type="dxa"/>
            <w:noWrap w:val="0"/>
            <w:tcMar>
              <w:top w:w="16" w:type="dxa"/>
              <w:left w:w="16" w:type="dxa"/>
              <w:right w:w="16" w:type="dxa"/>
            </w:tcMar>
            <w:vAlign w:val="center"/>
          </w:tcPr>
          <w:p w14:paraId="1159215E">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建设地点</w:t>
            </w:r>
          </w:p>
        </w:tc>
        <w:tc>
          <w:tcPr>
            <w:tcW w:w="7587" w:type="dxa"/>
            <w:gridSpan w:val="3"/>
            <w:noWrap w:val="0"/>
            <w:vAlign w:val="center"/>
          </w:tcPr>
          <w:p w14:paraId="264CEDE1">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u w:val="none"/>
                <w:lang w:eastAsia="zh-CN"/>
                <w14:textFill>
                  <w14:solidFill>
                    <w14:schemeClr w14:val="tx1"/>
                  </w14:solidFill>
                </w14:textFill>
              </w:rPr>
              <w:t>新疆维吾尔自治区昌吉回族自治州玛纳斯县玛纳斯镇乌伊西路242号</w:t>
            </w:r>
            <w:r>
              <w:rPr>
                <w:rFonts w:hint="default" w:ascii="Times New Roman" w:hAnsi="Times New Roman" w:cs="Times New Roman"/>
                <w:color w:val="000000" w:themeColor="text1"/>
                <w:sz w:val="24"/>
                <w:szCs w:val="24"/>
                <w:lang w:eastAsia="zh-CN"/>
                <w14:textFill>
                  <w14:solidFill>
                    <w14:schemeClr w14:val="tx1"/>
                  </w14:solidFill>
                </w14:textFill>
              </w:rPr>
              <w:t>（详见附图1：项目区地理位置图；附图2：项目区卫星影像及周边关系图）</w:t>
            </w:r>
          </w:p>
        </w:tc>
      </w:tr>
      <w:tr w14:paraId="4501E4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97" w:hRule="atLeast"/>
          <w:jc w:val="center"/>
        </w:trPr>
        <w:tc>
          <w:tcPr>
            <w:tcW w:w="1283" w:type="dxa"/>
            <w:noWrap w:val="0"/>
            <w:tcMar>
              <w:top w:w="16" w:type="dxa"/>
              <w:left w:w="16" w:type="dxa"/>
              <w:right w:w="16" w:type="dxa"/>
            </w:tcMar>
            <w:vAlign w:val="center"/>
          </w:tcPr>
          <w:p w14:paraId="70661DDB">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地理坐标</w:t>
            </w:r>
          </w:p>
        </w:tc>
        <w:tc>
          <w:tcPr>
            <w:tcW w:w="7587" w:type="dxa"/>
            <w:gridSpan w:val="3"/>
            <w:noWrap w:val="0"/>
            <w:vAlign w:val="center"/>
          </w:tcPr>
          <w:p w14:paraId="5953BB72">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u w:val="single"/>
                <w:lang w:val="en-US" w:eastAsia="zh-CN"/>
                <w14:textFill>
                  <w14:solidFill>
                    <w14:schemeClr w14:val="tx1"/>
                  </w14:solidFill>
                </w14:textFill>
              </w:rPr>
              <w:t>8</w:t>
            </w:r>
            <w:r>
              <w:rPr>
                <w:rFonts w:hint="eastAsia" w:cs="Times New Roman"/>
                <w:color w:val="000000" w:themeColor="text1"/>
                <w:sz w:val="24"/>
                <w:szCs w:val="24"/>
                <w:u w:val="single"/>
                <w:lang w:val="en-US" w:eastAsia="zh-CN"/>
                <w14:textFill>
                  <w14:solidFill>
                    <w14:schemeClr w14:val="tx1"/>
                  </w14:solidFill>
                </w14:textFill>
              </w:rPr>
              <w:t>7</w:t>
            </w:r>
            <w:r>
              <w:rPr>
                <w:rFonts w:hint="default" w:ascii="Times New Roman" w:hAnsi="Times New Roman" w:cs="Times New Roman"/>
                <w:color w:val="000000" w:themeColor="text1"/>
                <w:sz w:val="24"/>
                <w:szCs w:val="24"/>
                <w:u w:val="none"/>
                <w14:textFill>
                  <w14:solidFill>
                    <w14:schemeClr w14:val="tx1"/>
                  </w14:solidFill>
                </w14:textFill>
              </w:rPr>
              <w:t>度</w:t>
            </w:r>
            <w:r>
              <w:rPr>
                <w:rFonts w:hint="eastAsia" w:cs="Times New Roman"/>
                <w:color w:val="000000" w:themeColor="text1"/>
                <w:sz w:val="24"/>
                <w:szCs w:val="24"/>
                <w:u w:val="single"/>
                <w:lang w:val="en-US" w:eastAsia="zh-CN"/>
                <w14:textFill>
                  <w14:solidFill>
                    <w14:schemeClr w14:val="tx1"/>
                  </w14:solidFill>
                </w14:textFill>
              </w:rPr>
              <w:t>13</w:t>
            </w:r>
            <w:r>
              <w:rPr>
                <w:rFonts w:hint="default" w:ascii="Times New Roman" w:hAnsi="Times New Roman" w:cs="Times New Roman"/>
                <w:color w:val="000000" w:themeColor="text1"/>
                <w:sz w:val="24"/>
                <w:szCs w:val="24"/>
                <w:u w:val="none"/>
                <w14:textFill>
                  <w14:solidFill>
                    <w14:schemeClr w14:val="tx1"/>
                  </w14:solidFill>
                </w14:textFill>
              </w:rPr>
              <w:t>分</w:t>
            </w:r>
            <w:r>
              <w:rPr>
                <w:rFonts w:hint="eastAsia" w:cs="Times New Roman"/>
                <w:color w:val="000000" w:themeColor="text1"/>
                <w:sz w:val="24"/>
                <w:szCs w:val="24"/>
                <w:u w:val="single"/>
                <w:lang w:val="en-US" w:eastAsia="zh-CN"/>
                <w14:textFill>
                  <w14:solidFill>
                    <w14:schemeClr w14:val="tx1"/>
                  </w14:solidFill>
                </w14:textFill>
              </w:rPr>
              <w:t>52.578</w:t>
            </w:r>
            <w:r>
              <w:rPr>
                <w:rFonts w:hint="default" w:ascii="Times New Roman" w:hAnsi="Times New Roman" w:cs="Times New Roman"/>
                <w:color w:val="000000" w:themeColor="text1"/>
                <w:sz w:val="24"/>
                <w:szCs w:val="24"/>
                <w:u w:val="none"/>
                <w14:textFill>
                  <w14:solidFill>
                    <w14:schemeClr w14:val="tx1"/>
                  </w14:solidFill>
                </w14:textFill>
              </w:rPr>
              <w:t>秒，</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4</w:t>
            </w:r>
            <w:r>
              <w:rPr>
                <w:rFonts w:hint="eastAsia" w:cs="Times New Roman"/>
                <w:color w:val="000000" w:themeColor="text1"/>
                <w:sz w:val="24"/>
                <w:szCs w:val="24"/>
                <w:u w:val="single"/>
                <w:lang w:val="en-US" w:eastAsia="zh-CN"/>
                <w14:textFill>
                  <w14:solidFill>
                    <w14:schemeClr w14:val="tx1"/>
                  </w14:solidFill>
                </w14:textFill>
              </w:rPr>
              <w:t>3</w:t>
            </w:r>
            <w:r>
              <w:rPr>
                <w:rFonts w:hint="default" w:ascii="Times New Roman" w:hAnsi="Times New Roman" w:cs="Times New Roman"/>
                <w:color w:val="000000" w:themeColor="text1"/>
                <w:sz w:val="24"/>
                <w:szCs w:val="24"/>
                <w:u w:val="none"/>
                <w14:textFill>
                  <w14:solidFill>
                    <w14:schemeClr w14:val="tx1"/>
                  </w14:solidFill>
                </w14:textFill>
              </w:rPr>
              <w:t>度</w:t>
            </w:r>
            <w:r>
              <w:rPr>
                <w:rFonts w:hint="eastAsia" w:cs="Times New Roman"/>
                <w:color w:val="000000" w:themeColor="text1"/>
                <w:sz w:val="24"/>
                <w:szCs w:val="24"/>
                <w:u w:val="single"/>
                <w:lang w:val="en-US" w:eastAsia="zh-CN"/>
                <w14:textFill>
                  <w14:solidFill>
                    <w14:schemeClr w14:val="tx1"/>
                  </w14:solidFill>
                </w14:textFill>
              </w:rPr>
              <w:t>58</w:t>
            </w:r>
            <w:r>
              <w:rPr>
                <w:rFonts w:hint="default" w:ascii="Times New Roman" w:hAnsi="Times New Roman" w:cs="Times New Roman"/>
                <w:color w:val="000000" w:themeColor="text1"/>
                <w:sz w:val="24"/>
                <w:szCs w:val="24"/>
                <w:u w:val="none"/>
                <w14:textFill>
                  <w14:solidFill>
                    <w14:schemeClr w14:val="tx1"/>
                  </w14:solidFill>
                </w14:textFill>
              </w:rPr>
              <w:t>分</w:t>
            </w:r>
            <w:r>
              <w:rPr>
                <w:rFonts w:hint="eastAsia" w:cs="Times New Roman"/>
                <w:color w:val="000000" w:themeColor="text1"/>
                <w:sz w:val="24"/>
                <w:szCs w:val="24"/>
                <w:u w:val="single"/>
                <w:lang w:val="en-US" w:eastAsia="zh-CN"/>
                <w14:textFill>
                  <w14:solidFill>
                    <w14:schemeClr w14:val="tx1"/>
                  </w14:solidFill>
                </w14:textFill>
              </w:rPr>
              <w:t>40.640</w:t>
            </w:r>
            <w:r>
              <w:rPr>
                <w:rFonts w:hint="default" w:ascii="Times New Roman" w:hAnsi="Times New Roman" w:cs="Times New Roman"/>
                <w:color w:val="000000" w:themeColor="text1"/>
                <w:sz w:val="24"/>
                <w:szCs w:val="24"/>
                <w:u w:val="none"/>
                <w14:textFill>
                  <w14:solidFill>
                    <w14:schemeClr w14:val="tx1"/>
                  </w14:solidFill>
                </w14:textFill>
              </w:rPr>
              <w:t>秒</w:t>
            </w:r>
          </w:p>
        </w:tc>
      </w:tr>
      <w:tr w14:paraId="050F1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1" w:hRule="atLeast"/>
          <w:jc w:val="center"/>
        </w:trPr>
        <w:tc>
          <w:tcPr>
            <w:tcW w:w="1283" w:type="dxa"/>
            <w:noWrap w:val="0"/>
            <w:tcMar>
              <w:top w:w="16" w:type="dxa"/>
              <w:left w:w="16" w:type="dxa"/>
              <w:right w:w="16" w:type="dxa"/>
            </w:tcMar>
            <w:vAlign w:val="center"/>
          </w:tcPr>
          <w:p w14:paraId="1E8BB9F7">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国民经济</w:t>
            </w:r>
          </w:p>
          <w:p w14:paraId="6D523518">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w:t>
            </w:r>
          </w:p>
        </w:tc>
        <w:tc>
          <w:tcPr>
            <w:tcW w:w="2736" w:type="dxa"/>
            <w:noWrap w:val="0"/>
            <w:vAlign w:val="center"/>
          </w:tcPr>
          <w:p w14:paraId="0029A7D5">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机动车燃</w:t>
            </w:r>
            <w:r>
              <w:rPr>
                <w:rFonts w:hint="default" w:ascii="Times New Roman" w:hAnsi="Times New Roman" w:eastAsia="宋体" w:cs="Times New Roman"/>
                <w:color w:val="000000" w:themeColor="text1"/>
                <w:sz w:val="24"/>
                <w:szCs w:val="24"/>
                <w:lang w:eastAsia="zh-CN"/>
                <w14:textFill>
                  <w14:solidFill>
                    <w14:schemeClr w14:val="tx1"/>
                  </w14:solidFill>
                </w14:textFill>
              </w:rPr>
              <w:t>油</w:t>
            </w:r>
            <w:r>
              <w:rPr>
                <w:rFonts w:hint="default" w:ascii="Times New Roman" w:hAnsi="Times New Roman" w:eastAsia="宋体" w:cs="Times New Roman"/>
                <w:color w:val="000000" w:themeColor="text1"/>
                <w:sz w:val="24"/>
                <w:szCs w:val="24"/>
                <w14:textFill>
                  <w14:solidFill>
                    <w14:schemeClr w14:val="tx1"/>
                  </w14:solidFill>
                </w14:textFill>
              </w:rPr>
              <w:t>零售 F526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p>
        </w:tc>
        <w:tc>
          <w:tcPr>
            <w:tcW w:w="1690" w:type="dxa"/>
            <w:noWrap w:val="0"/>
            <w:vAlign w:val="center"/>
          </w:tcPr>
          <w:p w14:paraId="35689D59">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bookmarkStart w:id="1" w:name="_Hlk49843745"/>
            <w:r>
              <w:rPr>
                <w:rFonts w:hint="default" w:ascii="Times New Roman" w:hAnsi="Times New Roman" w:cs="Times New Roman"/>
                <w:color w:val="000000" w:themeColor="text1"/>
                <w:sz w:val="24"/>
                <w:szCs w:val="24"/>
                <w14:textFill>
                  <w14:solidFill>
                    <w14:schemeClr w14:val="tx1"/>
                  </w14:solidFill>
                </w14:textFill>
              </w:rPr>
              <w:t>建设项目</w:t>
            </w:r>
          </w:p>
          <w:p w14:paraId="387C5443">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行业类别</w:t>
            </w:r>
            <w:bookmarkEnd w:id="1"/>
          </w:p>
        </w:tc>
        <w:tc>
          <w:tcPr>
            <w:tcW w:w="3161" w:type="dxa"/>
            <w:noWrap w:val="0"/>
            <w:vAlign w:val="center"/>
          </w:tcPr>
          <w:p w14:paraId="4D8A4105">
            <w:pPr>
              <w:keepNext w:val="0"/>
              <w:keepLines w:val="0"/>
              <w:pageBreakBefore w:val="0"/>
              <w:widowControl w:val="0"/>
              <w:wordWrap/>
              <w:bidi w:val="0"/>
              <w:adjustRightInd w:val="0"/>
              <w:snapToGrid w:val="0"/>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五十、社会事业与服务业</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119、加油、加气站-城市建成区新建、扩建加油站</w:t>
            </w:r>
          </w:p>
        </w:tc>
      </w:tr>
      <w:tr w14:paraId="24F6EA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219" w:hRule="atLeast"/>
          <w:jc w:val="center"/>
        </w:trPr>
        <w:tc>
          <w:tcPr>
            <w:tcW w:w="1283" w:type="dxa"/>
            <w:noWrap w:val="0"/>
            <w:tcMar>
              <w:top w:w="16" w:type="dxa"/>
              <w:left w:w="16" w:type="dxa"/>
              <w:right w:w="16" w:type="dxa"/>
            </w:tcMar>
            <w:vAlign w:val="center"/>
          </w:tcPr>
          <w:p w14:paraId="6CA29138">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建设性质</w:t>
            </w:r>
          </w:p>
        </w:tc>
        <w:tc>
          <w:tcPr>
            <w:tcW w:w="2736" w:type="dxa"/>
            <w:noWrap w:val="0"/>
            <w:vAlign w:val="center"/>
          </w:tcPr>
          <w:p w14:paraId="001F65FA">
            <w:pPr>
              <w:keepNext w:val="0"/>
              <w:keepLines w:val="0"/>
              <w:pageBreakBefore w:val="0"/>
              <w:widowControl w:val="0"/>
              <w:wordWrap/>
              <w:bidi w:val="0"/>
              <w:adjustRightInd w:val="0"/>
              <w:snapToGrid w:val="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新建（迁建）</w:t>
            </w:r>
          </w:p>
          <w:p w14:paraId="5BF962C0">
            <w:pPr>
              <w:keepNext w:val="0"/>
              <w:keepLines w:val="0"/>
              <w:pageBreakBefore w:val="0"/>
              <w:widowControl w:val="0"/>
              <w:wordWrap/>
              <w:bidi w:val="0"/>
              <w:adjustRightInd w:val="0"/>
              <w:snapToGrid w:val="0"/>
              <w:jc w:val="left"/>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改建</w:t>
            </w:r>
          </w:p>
          <w:p w14:paraId="225DE545">
            <w:pPr>
              <w:keepNext w:val="0"/>
              <w:keepLines w:val="0"/>
              <w:pageBreakBefore w:val="0"/>
              <w:widowControl w:val="0"/>
              <w:wordWrap/>
              <w:bidi w:val="0"/>
              <w:adjustRightInd w:val="0"/>
              <w:snapToGrid w:val="0"/>
              <w:jc w:val="left"/>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扩建</w:t>
            </w:r>
          </w:p>
          <w:p w14:paraId="64A7A788">
            <w:pPr>
              <w:keepNext w:val="0"/>
              <w:keepLines w:val="0"/>
              <w:pageBreakBefore w:val="0"/>
              <w:widowControl w:val="0"/>
              <w:wordWrap/>
              <w:bidi w:val="0"/>
              <w:adjustRightInd w:val="0"/>
              <w:snapToGrid w:val="0"/>
              <w:jc w:val="left"/>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技术改造</w:t>
            </w:r>
          </w:p>
        </w:tc>
        <w:tc>
          <w:tcPr>
            <w:tcW w:w="1690" w:type="dxa"/>
            <w:noWrap w:val="0"/>
            <w:vAlign w:val="center"/>
          </w:tcPr>
          <w:p w14:paraId="0D9DAA2D">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建设项目</w:t>
            </w:r>
          </w:p>
          <w:p w14:paraId="1E3DA232">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申报情形</w:t>
            </w:r>
          </w:p>
        </w:tc>
        <w:tc>
          <w:tcPr>
            <w:tcW w:w="3161" w:type="dxa"/>
            <w:noWrap w:val="0"/>
            <w:vAlign w:val="center"/>
          </w:tcPr>
          <w:p w14:paraId="1AB4AC8F">
            <w:pPr>
              <w:keepNext w:val="0"/>
              <w:keepLines w:val="0"/>
              <w:pageBreakBefore w:val="0"/>
              <w:widowControl w:val="0"/>
              <w:wordWrap/>
              <w:bidi w:val="0"/>
              <w:adjustRightInd w:val="0"/>
              <w:snapToGrid w:val="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首次申报项目</w:t>
            </w:r>
          </w:p>
          <w:p w14:paraId="65853F6B">
            <w:pPr>
              <w:keepNext w:val="0"/>
              <w:keepLines w:val="0"/>
              <w:pageBreakBefore w:val="0"/>
              <w:widowControl w:val="0"/>
              <w:wordWrap/>
              <w:bidi w:val="0"/>
              <w:adjustRightInd w:val="0"/>
              <w:snapToGrid w:val="0"/>
              <w:jc w:val="left"/>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不予批准后再次申报项目</w:t>
            </w:r>
          </w:p>
          <w:p w14:paraId="7BD25B0C">
            <w:pPr>
              <w:keepNext w:val="0"/>
              <w:keepLines w:val="0"/>
              <w:pageBreakBefore w:val="0"/>
              <w:widowControl w:val="0"/>
              <w:wordWrap/>
              <w:bidi w:val="0"/>
              <w:adjustRightInd w:val="0"/>
              <w:snapToGrid w:val="0"/>
              <w:jc w:val="left"/>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超五年重新审核项目     </w:t>
            </w:r>
          </w:p>
          <w:p w14:paraId="37998E70">
            <w:pPr>
              <w:keepNext w:val="0"/>
              <w:keepLines w:val="0"/>
              <w:pageBreakBefore w:val="0"/>
              <w:widowControl w:val="0"/>
              <w:wordWrap/>
              <w:bidi w:val="0"/>
              <w:adjustRightInd w:val="0"/>
              <w:snapToGrid w:val="0"/>
              <w:jc w:val="left"/>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重大变动重新报批项目</w:t>
            </w:r>
          </w:p>
        </w:tc>
      </w:tr>
      <w:tr w14:paraId="31CDB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851" w:hRule="atLeast"/>
          <w:jc w:val="center"/>
        </w:trPr>
        <w:tc>
          <w:tcPr>
            <w:tcW w:w="1283" w:type="dxa"/>
            <w:noWrap w:val="0"/>
            <w:tcMar>
              <w:top w:w="16" w:type="dxa"/>
              <w:left w:w="16" w:type="dxa"/>
              <w:right w:w="16" w:type="dxa"/>
            </w:tcMar>
            <w:vAlign w:val="center"/>
          </w:tcPr>
          <w:p w14:paraId="37E2605F">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项目审批（核准/备案）部门（选填）</w:t>
            </w:r>
          </w:p>
        </w:tc>
        <w:tc>
          <w:tcPr>
            <w:tcW w:w="2736" w:type="dxa"/>
            <w:noWrap w:val="0"/>
            <w:vAlign w:val="center"/>
          </w:tcPr>
          <w:p w14:paraId="708BB2B3">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玛纳斯县</w:t>
            </w:r>
            <w:r>
              <w:rPr>
                <w:rFonts w:hint="default" w:ascii="Times New Roman" w:hAnsi="Times New Roman" w:cs="Times New Roman"/>
                <w:color w:val="000000" w:themeColor="text1"/>
                <w:sz w:val="24"/>
                <w:szCs w:val="24"/>
                <w:lang w:eastAsia="zh-CN"/>
                <w14:textFill>
                  <w14:solidFill>
                    <w14:schemeClr w14:val="tx1"/>
                  </w14:solidFill>
                </w14:textFill>
              </w:rPr>
              <w:t>发展和改革委员会</w:t>
            </w:r>
          </w:p>
        </w:tc>
        <w:tc>
          <w:tcPr>
            <w:tcW w:w="1690" w:type="dxa"/>
            <w:noWrap w:val="0"/>
            <w:vAlign w:val="center"/>
          </w:tcPr>
          <w:p w14:paraId="4274EAC0">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项目审批（核准/备案）文号（选填）</w:t>
            </w:r>
          </w:p>
        </w:tc>
        <w:tc>
          <w:tcPr>
            <w:tcW w:w="3161" w:type="dxa"/>
            <w:noWrap w:val="0"/>
            <w:vAlign w:val="center"/>
          </w:tcPr>
          <w:p w14:paraId="4B8E1F9F">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2408261733652300000225</w:t>
            </w:r>
          </w:p>
        </w:tc>
      </w:tr>
      <w:tr w14:paraId="6B78B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97" w:hRule="atLeast"/>
          <w:jc w:val="center"/>
        </w:trPr>
        <w:tc>
          <w:tcPr>
            <w:tcW w:w="1283" w:type="dxa"/>
            <w:noWrap w:val="0"/>
            <w:tcMar>
              <w:top w:w="16" w:type="dxa"/>
              <w:left w:w="16" w:type="dxa"/>
              <w:right w:w="16" w:type="dxa"/>
            </w:tcMar>
            <w:vAlign w:val="center"/>
          </w:tcPr>
          <w:p w14:paraId="7727FC56">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总投资</w:t>
            </w:r>
          </w:p>
          <w:p w14:paraId="1A00C6BD">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（万元）</w:t>
            </w:r>
          </w:p>
        </w:tc>
        <w:tc>
          <w:tcPr>
            <w:tcW w:w="2736" w:type="dxa"/>
            <w:noWrap w:val="0"/>
            <w:vAlign w:val="center"/>
          </w:tcPr>
          <w:p w14:paraId="3BDF8DAD">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915.21</w:t>
            </w:r>
          </w:p>
        </w:tc>
        <w:tc>
          <w:tcPr>
            <w:tcW w:w="1690" w:type="dxa"/>
            <w:noWrap w:val="0"/>
            <w:tcMar>
              <w:top w:w="16" w:type="dxa"/>
              <w:left w:w="16" w:type="dxa"/>
              <w:right w:w="16" w:type="dxa"/>
            </w:tcMar>
            <w:vAlign w:val="center"/>
          </w:tcPr>
          <w:p w14:paraId="0C648BC8">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环保投资</w:t>
            </w:r>
          </w:p>
          <w:p w14:paraId="2F6E856C">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（万元）</w:t>
            </w:r>
          </w:p>
        </w:tc>
        <w:tc>
          <w:tcPr>
            <w:tcW w:w="3161" w:type="dxa"/>
            <w:noWrap w:val="0"/>
            <w:vAlign w:val="center"/>
          </w:tcPr>
          <w:p w14:paraId="5C1BC9C1">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66</w:t>
            </w:r>
          </w:p>
        </w:tc>
      </w:tr>
      <w:tr w14:paraId="73550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97" w:hRule="atLeast"/>
          <w:jc w:val="center"/>
        </w:trPr>
        <w:tc>
          <w:tcPr>
            <w:tcW w:w="1283" w:type="dxa"/>
            <w:noWrap w:val="0"/>
            <w:tcMar>
              <w:top w:w="16" w:type="dxa"/>
              <w:left w:w="16" w:type="dxa"/>
              <w:right w:w="16" w:type="dxa"/>
            </w:tcMar>
            <w:vAlign w:val="center"/>
          </w:tcPr>
          <w:p w14:paraId="670F5F42">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环保投资占比（%）</w:t>
            </w:r>
          </w:p>
        </w:tc>
        <w:tc>
          <w:tcPr>
            <w:tcW w:w="2736" w:type="dxa"/>
            <w:noWrap w:val="0"/>
            <w:vAlign w:val="center"/>
          </w:tcPr>
          <w:p w14:paraId="1E53D371">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7.21</w:t>
            </w:r>
          </w:p>
        </w:tc>
        <w:tc>
          <w:tcPr>
            <w:tcW w:w="1690" w:type="dxa"/>
            <w:noWrap w:val="0"/>
            <w:tcMar>
              <w:top w:w="16" w:type="dxa"/>
              <w:left w:w="16" w:type="dxa"/>
              <w:right w:w="16" w:type="dxa"/>
            </w:tcMar>
            <w:vAlign w:val="center"/>
          </w:tcPr>
          <w:p w14:paraId="19F5D15A">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施工工期</w:t>
            </w:r>
          </w:p>
        </w:tc>
        <w:tc>
          <w:tcPr>
            <w:tcW w:w="3161" w:type="dxa"/>
            <w:noWrap w:val="0"/>
            <w:vAlign w:val="center"/>
          </w:tcPr>
          <w:p w14:paraId="6EC93FA4">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val="en-US" w:eastAsia="zh-CN"/>
                <w14:textFill>
                  <w14:solidFill>
                    <w14:schemeClr w14:val="tx1"/>
                  </w14:solidFill>
                </w14:textFill>
              </w:rPr>
              <w:t>个月</w:t>
            </w:r>
          </w:p>
        </w:tc>
      </w:tr>
      <w:tr w14:paraId="2C885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497" w:hRule="atLeast"/>
          <w:jc w:val="center"/>
        </w:trPr>
        <w:tc>
          <w:tcPr>
            <w:tcW w:w="1283" w:type="dxa"/>
            <w:noWrap w:val="0"/>
            <w:tcMar>
              <w:top w:w="16" w:type="dxa"/>
              <w:left w:w="16" w:type="dxa"/>
              <w:right w:w="16" w:type="dxa"/>
            </w:tcMar>
            <w:vAlign w:val="center"/>
          </w:tcPr>
          <w:p w14:paraId="508142C9">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是否开工建设</w:t>
            </w:r>
          </w:p>
        </w:tc>
        <w:tc>
          <w:tcPr>
            <w:tcW w:w="2736" w:type="dxa"/>
            <w:noWrap w:val="0"/>
            <w:vAlign w:val="center"/>
          </w:tcPr>
          <w:p w14:paraId="31A479F1">
            <w:pPr>
              <w:keepNext w:val="0"/>
              <w:keepLines w:val="0"/>
              <w:pageBreakBefore w:val="0"/>
              <w:widowControl w:val="0"/>
              <w:wordWrap/>
              <w:bidi w:val="0"/>
              <w:adjustRightInd w:val="0"/>
              <w:snapToGrid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否</w:t>
            </w:r>
          </w:p>
          <w:p w14:paraId="246546D1">
            <w:pPr>
              <w:keepNext w:val="0"/>
              <w:keepLines w:val="0"/>
              <w:pageBreakBefore w:val="0"/>
              <w:widowControl w:val="0"/>
              <w:wordWrap/>
              <w:bidi w:val="0"/>
              <w:adjustRightInd w:val="0"/>
              <w:snapToGrid w:val="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是：</w:t>
            </w:r>
            <w:r>
              <w:rPr>
                <w:rFonts w:hint="default" w:ascii="Times New Roman" w:hAnsi="Times New Roman" w:cs="Times New Roman"/>
                <w:color w:val="000000" w:themeColor="text1"/>
                <w:sz w:val="24"/>
                <w:szCs w:val="24"/>
                <w:u w:val="single"/>
                <w14:textFill>
                  <w14:solidFill>
                    <w14:schemeClr w14:val="tx1"/>
                  </w14:solidFill>
                </w14:textFill>
              </w:rPr>
              <w:t xml:space="preserve">             </w:t>
            </w:r>
          </w:p>
        </w:tc>
        <w:tc>
          <w:tcPr>
            <w:tcW w:w="1690" w:type="dxa"/>
            <w:noWrap w:val="0"/>
            <w:tcMar>
              <w:top w:w="16" w:type="dxa"/>
              <w:left w:w="16" w:type="dxa"/>
              <w:right w:w="16" w:type="dxa"/>
            </w:tcMar>
            <w:vAlign w:val="center"/>
          </w:tcPr>
          <w:p w14:paraId="2D8FC40C">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pacing w:val="-6"/>
                <w:sz w:val="24"/>
                <w:szCs w:val="24"/>
                <w14:textFill>
                  <w14:solidFill>
                    <w14:schemeClr w14:val="tx1"/>
                  </w14:solidFill>
                </w14:textFill>
              </w:rPr>
            </w:pPr>
            <w:r>
              <w:rPr>
                <w:rFonts w:hint="default" w:ascii="Times New Roman" w:hAnsi="Times New Roman" w:cs="Times New Roman"/>
                <w:color w:val="000000" w:themeColor="text1"/>
                <w:spacing w:val="-6"/>
                <w:sz w:val="24"/>
                <w:szCs w:val="24"/>
                <w14:textFill>
                  <w14:solidFill>
                    <w14:schemeClr w14:val="tx1"/>
                  </w14:solidFill>
                </w14:textFill>
              </w:rPr>
              <w:t>用地（用海）</w:t>
            </w:r>
          </w:p>
          <w:p w14:paraId="7E5A116A">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pacing w:val="-6"/>
                <w:sz w:val="24"/>
                <w:szCs w:val="24"/>
                <w14:textFill>
                  <w14:solidFill>
                    <w14:schemeClr w14:val="tx1"/>
                  </w14:solidFill>
                </w14:textFill>
              </w:rPr>
              <w:t>面积（m</w:t>
            </w:r>
            <w:r>
              <w:rPr>
                <w:rFonts w:hint="default" w:ascii="Times New Roman" w:hAnsi="Times New Roman" w:cs="Times New Roman"/>
                <w:color w:val="000000" w:themeColor="text1"/>
                <w:spacing w:val="-6"/>
                <w:sz w:val="24"/>
                <w:szCs w:val="24"/>
                <w:vertAlign w:val="superscript"/>
                <w14:textFill>
                  <w14:solidFill>
                    <w14:schemeClr w14:val="tx1"/>
                  </w14:solidFill>
                </w14:textFill>
              </w:rPr>
              <w:t>2</w:t>
            </w:r>
            <w:r>
              <w:rPr>
                <w:rFonts w:hint="default" w:ascii="Times New Roman" w:hAnsi="Times New Roman" w:cs="Times New Roman"/>
                <w:color w:val="000000" w:themeColor="text1"/>
                <w:spacing w:val="-6"/>
                <w:sz w:val="24"/>
                <w:szCs w:val="24"/>
                <w14:textFill>
                  <w14:solidFill>
                    <w14:schemeClr w14:val="tx1"/>
                  </w14:solidFill>
                </w14:textFill>
              </w:rPr>
              <w:t>）</w:t>
            </w:r>
          </w:p>
        </w:tc>
        <w:tc>
          <w:tcPr>
            <w:tcW w:w="3161" w:type="dxa"/>
            <w:noWrap w:val="0"/>
            <w:vAlign w:val="center"/>
          </w:tcPr>
          <w:p w14:paraId="35EFAEFB">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FF"/>
                <w:sz w:val="24"/>
                <w:szCs w:val="24"/>
                <w:lang w:val="en-US" w:eastAsia="zh-CN"/>
              </w:rPr>
              <w:t>3736.46</w:t>
            </w:r>
          </w:p>
        </w:tc>
      </w:tr>
      <w:tr w14:paraId="2D700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021" w:hRule="atLeast"/>
          <w:jc w:val="center"/>
        </w:trPr>
        <w:tc>
          <w:tcPr>
            <w:tcW w:w="1283" w:type="dxa"/>
            <w:noWrap w:val="0"/>
            <w:vAlign w:val="center"/>
          </w:tcPr>
          <w:p w14:paraId="387179F8">
            <w:pPr>
              <w:keepNext w:val="0"/>
              <w:keepLines w:val="0"/>
              <w:pageBreakBefore w:val="0"/>
              <w:widowControl w:val="0"/>
              <w:wordWrap/>
              <w:autoSpaceDE w:val="0"/>
              <w:autoSpaceDN w:val="0"/>
              <w:bidi w:val="0"/>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专项评价设置情况</w:t>
            </w:r>
          </w:p>
        </w:tc>
        <w:tc>
          <w:tcPr>
            <w:tcW w:w="7587" w:type="dxa"/>
            <w:gridSpan w:val="3"/>
            <w:noWrap w:val="0"/>
            <w:vAlign w:val="center"/>
          </w:tcPr>
          <w:p w14:paraId="3E913004">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无</w:t>
            </w:r>
          </w:p>
        </w:tc>
      </w:tr>
      <w:tr w14:paraId="3E1DF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1283" w:type="dxa"/>
            <w:noWrap w:val="0"/>
            <w:vAlign w:val="center"/>
          </w:tcPr>
          <w:p w14:paraId="43EE09F5">
            <w:pPr>
              <w:keepNext w:val="0"/>
              <w:keepLines w:val="0"/>
              <w:pageBreakBefore w:val="0"/>
              <w:widowControl w:val="0"/>
              <w:wordWrap/>
              <w:autoSpaceDE w:val="0"/>
              <w:autoSpaceDN w:val="0"/>
              <w:bidi w:val="0"/>
              <w:adjustRightInd w:val="0"/>
              <w:snapToGrid w:val="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规划情况</w:t>
            </w:r>
          </w:p>
        </w:tc>
        <w:tc>
          <w:tcPr>
            <w:tcW w:w="7587" w:type="dxa"/>
            <w:gridSpan w:val="3"/>
            <w:noWrap w:val="0"/>
            <w:vAlign w:val="center"/>
          </w:tcPr>
          <w:p w14:paraId="66620F0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无</w:t>
            </w:r>
          </w:p>
        </w:tc>
      </w:tr>
      <w:tr w14:paraId="2D99EB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021" w:hRule="atLeast"/>
          <w:jc w:val="center"/>
        </w:trPr>
        <w:tc>
          <w:tcPr>
            <w:tcW w:w="1283" w:type="dxa"/>
            <w:noWrap w:val="0"/>
            <w:vAlign w:val="center"/>
          </w:tcPr>
          <w:p w14:paraId="760733CE">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规划环境影响评价情况</w:t>
            </w:r>
          </w:p>
        </w:tc>
        <w:tc>
          <w:tcPr>
            <w:tcW w:w="7587" w:type="dxa"/>
            <w:gridSpan w:val="3"/>
            <w:noWrap w:val="0"/>
            <w:vAlign w:val="center"/>
          </w:tcPr>
          <w:p w14:paraId="72A8B2B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无</w:t>
            </w:r>
          </w:p>
        </w:tc>
      </w:tr>
      <w:tr w14:paraId="4A1B59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1283" w:type="dxa"/>
            <w:noWrap w:val="0"/>
            <w:vAlign w:val="center"/>
          </w:tcPr>
          <w:p w14:paraId="1788F9FE">
            <w:pPr>
              <w:keepNext w:val="0"/>
              <w:keepLines w:val="0"/>
              <w:pageBreakBefore w:val="0"/>
              <w:widowControl w:val="0"/>
              <w:wordWrap/>
              <w:autoSpaceDE w:val="0"/>
              <w:autoSpaceDN w:val="0"/>
              <w:bidi w:val="0"/>
              <w:adjustRightInd w:val="0"/>
              <w:snapToGrid w:val="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规划及规划环境影响评价符合性分析</w:t>
            </w:r>
          </w:p>
        </w:tc>
        <w:tc>
          <w:tcPr>
            <w:tcW w:w="7587" w:type="dxa"/>
            <w:gridSpan w:val="3"/>
            <w:noWrap w:val="0"/>
            <w:vAlign w:val="center"/>
          </w:tcPr>
          <w:p w14:paraId="46A4CC8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w:t>
            </w:r>
          </w:p>
        </w:tc>
      </w:tr>
      <w:tr w14:paraId="628FC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021" w:hRule="atLeast"/>
          <w:jc w:val="center"/>
        </w:trPr>
        <w:tc>
          <w:tcPr>
            <w:tcW w:w="1283" w:type="dxa"/>
            <w:noWrap w:val="0"/>
            <w:vAlign w:val="center"/>
          </w:tcPr>
          <w:p w14:paraId="19552C19">
            <w:pPr>
              <w:keepNext w:val="0"/>
              <w:keepLines w:val="0"/>
              <w:pageBreakBefore w:val="0"/>
              <w:widowControl w:val="0"/>
              <w:wordWrap/>
              <w:autoSpaceDE w:val="0"/>
              <w:autoSpaceDN w:val="0"/>
              <w:bidi w:val="0"/>
              <w:adjustRightInd w:val="0"/>
              <w:snapToGrid w:val="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其他符合性分析</w:t>
            </w:r>
          </w:p>
        </w:tc>
        <w:tc>
          <w:tcPr>
            <w:tcW w:w="7587" w:type="dxa"/>
            <w:gridSpan w:val="3"/>
            <w:noWrap w:val="0"/>
            <w:vAlign w:val="center"/>
          </w:tcPr>
          <w:p w14:paraId="673B40BC">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outlineLvl w:val="9"/>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1.</w:t>
            </w:r>
            <w:r>
              <w:rPr>
                <w:rFonts w:hint="eastAsia" w:cs="Times New Roman"/>
                <w:b/>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项目产业政策合理性分析</w:t>
            </w:r>
          </w:p>
          <w:p w14:paraId="1DBDBF89">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Cs/>
                <w:color w:val="000000" w:themeColor="text1"/>
                <w:kern w:val="24"/>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根据国家发展和改革委员会发布的《产业结构调整指导目录（2</w:t>
            </w:r>
            <w:r>
              <w:rPr>
                <w:rFonts w:hint="default" w:ascii="Times New Roman" w:hAnsi="Times New Roman" w:eastAsia="宋体" w:cs="Times New Roman"/>
                <w:bCs/>
                <w:color w:val="000000" w:themeColor="text1"/>
                <w:kern w:val="24"/>
                <w:sz w:val="24"/>
                <w:szCs w:val="24"/>
                <w:highlight w:val="none"/>
                <w:lang w:val="en-US" w:eastAsia="zh-CN"/>
                <w14:textFill>
                  <w14:solidFill>
                    <w14:schemeClr w14:val="tx1"/>
                  </w14:solidFill>
                </w14:textFill>
              </w:rPr>
              <w:t>024</w:t>
            </w: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年本）》，</w:t>
            </w:r>
            <w:r>
              <w:rPr>
                <w:rFonts w:hint="default" w:ascii="Times New Roman" w:hAnsi="Times New Roman" w:eastAsia="宋体" w:cs="Times New Roman"/>
                <w:bCs/>
                <w:color w:val="000000" w:themeColor="text1"/>
                <w:kern w:val="24"/>
                <w:sz w:val="24"/>
                <w:szCs w:val="24"/>
                <w:highlight w:val="none"/>
                <w:lang w:eastAsia="zh-CN"/>
                <w14:textFill>
                  <w14:solidFill>
                    <w14:schemeClr w14:val="tx1"/>
                  </w14:solidFill>
                </w14:textFill>
              </w:rPr>
              <w:t>本项目</w:t>
            </w: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不属于</w:t>
            </w:r>
            <w:r>
              <w:rPr>
                <w:rFonts w:hint="default" w:ascii="Times New Roman" w:hAnsi="Times New Roman" w:eastAsia="宋体" w:cs="Times New Roman"/>
                <w:bCs/>
                <w:color w:val="000000" w:themeColor="text1"/>
                <w:kern w:val="24"/>
                <w:sz w:val="24"/>
                <w:szCs w:val="24"/>
                <w:highlight w:val="none"/>
                <w:lang w:eastAsia="zh-CN"/>
                <w14:textFill>
                  <w14:solidFill>
                    <w14:schemeClr w14:val="tx1"/>
                  </w14:solidFill>
                </w14:textFill>
              </w:rPr>
              <w:t>鼓励类，限制类和</w:t>
            </w: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淘汰类</w:t>
            </w:r>
            <w:r>
              <w:rPr>
                <w:rFonts w:hint="default" w:ascii="Times New Roman" w:hAnsi="Times New Roman" w:eastAsia="宋体" w:cs="Times New Roman"/>
                <w:bCs/>
                <w:color w:val="000000" w:themeColor="text1"/>
                <w:kern w:val="24"/>
                <w:sz w:val="24"/>
                <w:szCs w:val="24"/>
                <w:highlight w:val="none"/>
                <w:lang w:eastAsia="zh-CN"/>
                <w14:textFill>
                  <w14:solidFill>
                    <w14:schemeClr w14:val="tx1"/>
                  </w14:solidFill>
                </w14:textFill>
              </w:rPr>
              <w:t>，鼓励类、限制类和淘汰类之外的，且符合国家有关法律、法规和政策规定的属于允许类，本项目符合国家有关法律法规，视为允许类。</w:t>
            </w:r>
          </w:p>
          <w:p w14:paraId="02B2F7A2">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pPr>
            <w:r>
              <w:rPr>
                <w:rFonts w:hint="default" w:ascii="Times New Roman" w:hAnsi="Times New Roman" w:eastAsia="宋体" w:cs="Times New Roman"/>
                <w:bCs/>
                <w:color w:val="0000FF"/>
                <w:kern w:val="24"/>
                <w:sz w:val="24"/>
                <w:szCs w:val="24"/>
                <w:highlight w:val="none"/>
              </w:rPr>
              <w:t>本项目于202</w:t>
            </w:r>
            <w:r>
              <w:rPr>
                <w:rFonts w:hint="eastAsia" w:cs="Times New Roman"/>
                <w:bCs/>
                <w:color w:val="0000FF"/>
                <w:kern w:val="24"/>
                <w:sz w:val="24"/>
                <w:szCs w:val="24"/>
                <w:highlight w:val="none"/>
                <w:lang w:val="en-US" w:eastAsia="zh-CN"/>
              </w:rPr>
              <w:t>4</w:t>
            </w:r>
            <w:r>
              <w:rPr>
                <w:rFonts w:hint="default" w:ascii="Times New Roman" w:hAnsi="Times New Roman" w:eastAsia="宋体" w:cs="Times New Roman"/>
                <w:bCs/>
                <w:color w:val="0000FF"/>
                <w:kern w:val="24"/>
                <w:sz w:val="24"/>
                <w:szCs w:val="24"/>
                <w:highlight w:val="none"/>
              </w:rPr>
              <w:t>年</w:t>
            </w:r>
            <w:r>
              <w:rPr>
                <w:rFonts w:hint="eastAsia" w:cs="Times New Roman"/>
                <w:bCs/>
                <w:color w:val="0000FF"/>
                <w:kern w:val="24"/>
                <w:sz w:val="24"/>
                <w:szCs w:val="24"/>
                <w:highlight w:val="none"/>
                <w:lang w:val="en-US" w:eastAsia="zh-CN"/>
              </w:rPr>
              <w:t>8</w:t>
            </w:r>
            <w:r>
              <w:rPr>
                <w:rFonts w:hint="default" w:ascii="Times New Roman" w:hAnsi="Times New Roman" w:eastAsia="宋体" w:cs="Times New Roman"/>
                <w:bCs/>
                <w:color w:val="0000FF"/>
                <w:kern w:val="24"/>
                <w:sz w:val="24"/>
                <w:szCs w:val="24"/>
                <w:highlight w:val="none"/>
              </w:rPr>
              <w:t>月</w:t>
            </w:r>
            <w:r>
              <w:rPr>
                <w:rFonts w:hint="eastAsia" w:cs="Times New Roman"/>
                <w:bCs/>
                <w:color w:val="0000FF"/>
                <w:kern w:val="24"/>
                <w:sz w:val="24"/>
                <w:szCs w:val="24"/>
                <w:highlight w:val="none"/>
                <w:lang w:val="en-US" w:eastAsia="zh-CN"/>
              </w:rPr>
              <w:t>26</w:t>
            </w:r>
            <w:r>
              <w:rPr>
                <w:rFonts w:hint="default" w:ascii="Times New Roman" w:hAnsi="Times New Roman" w:eastAsia="宋体" w:cs="Times New Roman"/>
                <w:bCs/>
                <w:color w:val="0000FF"/>
                <w:kern w:val="24"/>
                <w:sz w:val="24"/>
                <w:szCs w:val="24"/>
                <w:highlight w:val="none"/>
              </w:rPr>
              <w:t>日取得由</w:t>
            </w:r>
            <w:r>
              <w:rPr>
                <w:rFonts w:hint="eastAsia" w:cs="Times New Roman"/>
                <w:color w:val="0000FF"/>
                <w:sz w:val="24"/>
                <w:szCs w:val="24"/>
                <w:lang w:val="en-US" w:eastAsia="zh-CN"/>
              </w:rPr>
              <w:t>玛纳斯县</w:t>
            </w:r>
            <w:r>
              <w:rPr>
                <w:rFonts w:hint="default" w:ascii="Times New Roman" w:hAnsi="Times New Roman" w:cs="Times New Roman"/>
                <w:color w:val="0000FF"/>
                <w:sz w:val="24"/>
                <w:szCs w:val="24"/>
                <w:lang w:eastAsia="zh-CN"/>
              </w:rPr>
              <w:t>发展和改革委员会</w:t>
            </w:r>
            <w:r>
              <w:rPr>
                <w:rFonts w:hint="default" w:ascii="Times New Roman" w:hAnsi="Times New Roman" w:eastAsia="宋体" w:cs="Times New Roman"/>
                <w:bCs/>
                <w:color w:val="0000FF"/>
                <w:kern w:val="24"/>
                <w:sz w:val="24"/>
                <w:szCs w:val="24"/>
                <w:highlight w:val="none"/>
              </w:rPr>
              <w:t>出具的新疆维吾尔自治区投资项目备案证（详见附件2）。</w:t>
            </w:r>
          </w:p>
          <w:p w14:paraId="747F1940">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4"/>
                <w:sz w:val="24"/>
                <w:szCs w:val="24"/>
                <w:highlight w:val="none"/>
                <w:lang w:eastAsia="zh-CN"/>
                <w14:textFill>
                  <w14:solidFill>
                    <w14:schemeClr w14:val="tx1"/>
                  </w14:solidFill>
                </w14:textFill>
              </w:rPr>
              <w:t>综上，</w:t>
            </w: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本项目符合国家的产业政策。</w:t>
            </w:r>
          </w:p>
          <w:p w14:paraId="1947400E">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right="0"/>
              <w:textAlignment w:val="auto"/>
              <w:outlineLvl w:val="9"/>
              <w:rPr>
                <w:rFonts w:hint="default" w:ascii="Times New Roman" w:hAnsi="Times New Roman" w:eastAsia="宋体" w:cs="Times New Roman"/>
                <w:b/>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w:t>
            </w:r>
            <w:r>
              <w:rPr>
                <w:rFonts w:hint="eastAsia"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lang w:eastAsia="zh-CN"/>
                <w14:textFill>
                  <w14:solidFill>
                    <w14:schemeClr w14:val="tx1"/>
                  </w14:solidFill>
                </w14:textFill>
              </w:rPr>
              <w:t>选址合理性分析</w:t>
            </w:r>
          </w:p>
          <w:p w14:paraId="6910018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本项目位于</w:t>
            </w:r>
            <w:r>
              <w:rPr>
                <w:rFonts w:hint="eastAsia" w:cs="Times New Roman"/>
                <w:color w:val="000000" w:themeColor="text1"/>
                <w:sz w:val="24"/>
                <w:szCs w:val="24"/>
                <w:u w:val="none"/>
                <w:lang w:eastAsia="zh-CN"/>
                <w14:textFill>
                  <w14:solidFill>
                    <w14:schemeClr w14:val="tx1"/>
                  </w14:solidFill>
                </w14:textFill>
              </w:rPr>
              <w:t>新疆维吾尔自治区昌吉回族自治州玛纳斯县玛纳斯镇乌伊西路242号</w:t>
            </w:r>
            <w:r>
              <w:rPr>
                <w:rFonts w:hint="eastAsia" w:cs="Times New Roman"/>
                <w:color w:val="000000" w:themeColor="text1"/>
                <w:sz w:val="24"/>
                <w:szCs w:val="24"/>
                <w:lang w:val="en-US" w:eastAsia="zh-CN"/>
                <w14:textFill>
                  <w14:solidFill>
                    <w14:schemeClr w14:val="tx1"/>
                  </w14:solidFill>
                </w14:textFill>
              </w:rPr>
              <w:t>，根据2024年8月15日取得的玛纳斯县自然资源局出具的《不动产证》（详见附件3），项目所在规划用途为商业用地；</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项目东侧、</w:t>
            </w:r>
            <w:r>
              <w:rPr>
                <w:rFonts w:hint="eastAsia" w:cs="Times New Roman"/>
                <w:b w:val="0"/>
                <w:bCs w:val="0"/>
                <w:color w:val="000000" w:themeColor="text1"/>
                <w:sz w:val="24"/>
                <w:szCs w:val="24"/>
                <w:lang w:val="en-US" w:eastAsia="zh-CN"/>
                <w14:textFill>
                  <w14:solidFill>
                    <w14:schemeClr w14:val="tx1"/>
                  </w14:solidFill>
                </w14:textFill>
              </w:rPr>
              <w:t>西</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侧均</w:t>
            </w:r>
            <w:r>
              <w:rPr>
                <w:rFonts w:hint="eastAsia" w:cs="Times New Roman"/>
                <w:b w:val="0"/>
                <w:bCs w:val="0"/>
                <w:color w:val="000000" w:themeColor="text1"/>
                <w:sz w:val="24"/>
                <w:szCs w:val="24"/>
                <w:lang w:val="en-US" w:eastAsia="zh-CN"/>
                <w14:textFill>
                  <w14:solidFill>
                    <w14:schemeClr w14:val="tx1"/>
                  </w14:solidFill>
                </w14:textFill>
              </w:rPr>
              <w:t>为绿化带，北侧为</w:t>
            </w:r>
            <w:r>
              <w:rPr>
                <w:rFonts w:hint="eastAsia" w:cs="Times New Roman"/>
                <w:color w:val="000000" w:themeColor="text1"/>
                <w:sz w:val="24"/>
                <w:szCs w:val="24"/>
                <w:lang w:eastAsia="zh-CN"/>
                <w14:textFill>
                  <w14:solidFill>
                    <w14:schemeClr w14:val="tx1"/>
                  </w14:solidFill>
                </w14:textFill>
              </w:rPr>
              <w:t>凤城</w:t>
            </w:r>
            <w:r>
              <w:rPr>
                <w:rFonts w:hint="eastAsia" w:cs="Times New Roman"/>
                <w:color w:val="000000" w:themeColor="text1"/>
                <w:sz w:val="24"/>
                <w:szCs w:val="24"/>
                <w:lang w:val="en-US" w:eastAsia="zh-CN"/>
                <w14:textFill>
                  <w14:solidFill>
                    <w14:schemeClr w14:val="tx1"/>
                  </w14:solidFill>
                </w14:textFill>
              </w:rPr>
              <w:t>小区，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南侧</w:t>
            </w:r>
            <w:r>
              <w:rPr>
                <w:rFonts w:hint="eastAsia" w:cs="Times New Roman"/>
                <w:b w:val="0"/>
                <w:bCs w:val="0"/>
                <w:color w:val="000000" w:themeColor="text1"/>
                <w:sz w:val="24"/>
                <w:szCs w:val="24"/>
                <w:lang w:val="en-US" w:eastAsia="zh-CN"/>
                <w14:textFill>
                  <w14:solidFill>
                    <w14:schemeClr w14:val="tx1"/>
                  </w14:solidFill>
                </w14:textFill>
              </w:rPr>
              <w:t>为中华路</w:t>
            </w:r>
            <w:r>
              <w:rPr>
                <w:rFonts w:hint="default" w:ascii="Times New Roman" w:hAnsi="Times New Roman" w:eastAsia="宋体"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距离项目区最近建筑物为项目区北侧</w:t>
            </w:r>
            <w:r>
              <w:rPr>
                <w:rFonts w:hint="eastAsia" w:cs="Times New Roman"/>
                <w:color w:val="000000" w:themeColor="text1"/>
                <w:sz w:val="24"/>
                <w:szCs w:val="24"/>
                <w:lang w:eastAsia="zh-CN"/>
                <w14:textFill>
                  <w14:solidFill>
                    <w14:schemeClr w14:val="tx1"/>
                  </w14:solidFill>
                </w14:textFill>
              </w:rPr>
              <w:t>凤城</w:t>
            </w:r>
            <w:r>
              <w:rPr>
                <w:rFonts w:hint="eastAsia" w:cs="Times New Roman"/>
                <w:color w:val="000000" w:themeColor="text1"/>
                <w:sz w:val="24"/>
                <w:szCs w:val="24"/>
                <w:lang w:val="en-US" w:eastAsia="zh-CN"/>
                <w14:textFill>
                  <w14:solidFill>
                    <w14:schemeClr w14:val="tx1"/>
                  </w14:solidFill>
                </w14:textFill>
              </w:rPr>
              <w:t>小区</w:t>
            </w:r>
            <w:r>
              <w:rPr>
                <w:rFonts w:hint="eastAsia" w:cs="Times New Roman"/>
                <w:b w:val="0"/>
                <w:bCs w:val="0"/>
                <w:color w:val="000000" w:themeColor="text1"/>
                <w:kern w:val="0"/>
                <w:sz w:val="24"/>
                <w:szCs w:val="24"/>
                <w:lang w:val="en-US" w:eastAsia="zh-CN"/>
                <w14:textFill>
                  <w14:solidFill>
                    <w14:schemeClr w14:val="tx1"/>
                  </w14:solidFill>
                </w14:textFill>
              </w:rPr>
              <w:t>居民楼C4</w:t>
            </w:r>
            <w:r>
              <w:rPr>
                <w:rFonts w:hint="default" w:ascii="Times New Roman" w:hAnsi="Times New Roman" w:eastAsia="宋体" w:cs="Times New Roman"/>
                <w:b w:val="0"/>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根据</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《汽车加油加气加氢站技术标准》（GB50156-</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2021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有关规定，</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加油站</w:t>
            </w:r>
            <w:r>
              <w:rPr>
                <w:rFonts w:hint="default" w:ascii="Times New Roman" w:hAnsi="Times New Roman" w:eastAsia="宋体" w:cs="Times New Roman"/>
                <w:b w:val="0"/>
                <w:bCs w:val="0"/>
                <w:color w:val="000000" w:themeColor="text1"/>
                <w:sz w:val="24"/>
                <w:szCs w:val="24"/>
                <w14:textFill>
                  <w14:solidFill>
                    <w14:schemeClr w14:val="tx1"/>
                  </w14:solidFill>
                </w14:textFill>
              </w:rPr>
              <w:t>站址的选择，</w:t>
            </w:r>
            <w:r>
              <w:rPr>
                <w:rFonts w:hint="eastAsia" w:cs="Times New Roman"/>
                <w:b w:val="0"/>
                <w:bCs w:val="0"/>
                <w:color w:val="000000" w:themeColor="text1"/>
                <w:sz w:val="24"/>
                <w:szCs w:val="24"/>
                <w:lang w:eastAsia="zh-CN"/>
                <w14:textFill>
                  <w14:solidFill>
                    <w14:schemeClr w14:val="tx1"/>
                  </w14:solidFill>
                </w14:textFill>
              </w:rPr>
              <w:t>应符合</w:t>
            </w:r>
            <w:r>
              <w:rPr>
                <w:rFonts w:hint="default" w:ascii="Times New Roman" w:hAnsi="Times New Roman" w:eastAsia="宋体" w:cs="Times New Roman"/>
                <w:b w:val="0"/>
                <w:bCs w:val="0"/>
                <w:color w:val="000000" w:themeColor="text1"/>
                <w:sz w:val="24"/>
                <w:szCs w:val="24"/>
                <w14:textFill>
                  <w14:solidFill>
                    <w14:schemeClr w14:val="tx1"/>
                  </w14:solidFill>
                </w14:textFill>
              </w:rPr>
              <w:t>城市规划，环境保护和防火安全的要求，</w:t>
            </w:r>
            <w:r>
              <w:rPr>
                <w:rFonts w:hint="eastAsia" w:cs="Times New Roman"/>
                <w:b w:val="0"/>
                <w:bCs w:val="0"/>
                <w:color w:val="000000" w:themeColor="text1"/>
                <w:sz w:val="24"/>
                <w:szCs w:val="24"/>
                <w:lang w:val="en-US" w:eastAsia="zh-CN"/>
                <w14:textFill>
                  <w14:solidFill>
                    <w14:schemeClr w14:val="tx1"/>
                  </w14:solidFill>
                </w14:textFill>
              </w:rPr>
              <w:t>根据“1.2.3 项目与《汽车加油加气加氢站技术标准》（GB50156-2021）符合性分析”，本项目符合《汽车加油加气加氢站技术标准》（GB50156-2021）中站址选择的相关条件，本项目选址合理</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同时</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《汽车加油加气加氢站技术标准》（GB50156-</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2021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要求，</w:t>
            </w:r>
            <w:r>
              <w:rPr>
                <w:rFonts w:hint="eastAsia" w:cs="Times New Roman"/>
                <w:b w:val="0"/>
                <w:bCs w:val="0"/>
                <w:color w:val="000000" w:themeColor="text1"/>
                <w:sz w:val="24"/>
                <w:szCs w:val="24"/>
                <w:lang w:val="en-US" w:eastAsia="zh-CN"/>
                <w14:textFill>
                  <w14:solidFill>
                    <w14:schemeClr w14:val="tx1"/>
                  </w14:solidFill>
                </w14:textFill>
              </w:rPr>
              <w:t>城市建成区内的汽车加油加气加氢站宜靠近城市道路，但不宜选在城市干道的交叉路口附近，项目周边道路均非城市干道；</w:t>
            </w:r>
            <w:r>
              <w:rPr>
                <w:rFonts w:hint="eastAsia" w:cs="Times New Roman"/>
                <w:color w:val="000000" w:themeColor="text1"/>
                <w:sz w:val="24"/>
                <w:szCs w:val="24"/>
                <w:lang w:val="en-US" w:eastAsia="zh-CN"/>
                <w14:textFill>
                  <w14:solidFill>
                    <w14:schemeClr w14:val="tx1"/>
                  </w14:solidFill>
                </w14:textFill>
              </w:rPr>
              <w:t>根据环境风险分析，</w:t>
            </w:r>
            <w:r>
              <w:rPr>
                <w:rFonts w:hint="eastAsia" w:ascii="Times New Roman" w:hAnsi="Times New Roman" w:eastAsia="宋体" w:cs="Times New Roman"/>
                <w:color w:val="000000" w:themeColor="text1"/>
                <w:sz w:val="24"/>
                <w:szCs w:val="21"/>
                <w:lang w:eastAsia="zh-CN"/>
                <w14:textFill>
                  <w14:solidFill>
                    <w14:schemeClr w14:val="tx1"/>
                  </w14:solidFill>
                </w14:textFill>
              </w:rPr>
              <w:t>储油罐</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采用双层FF储罐</w:t>
            </w:r>
            <w:r>
              <w:rPr>
                <w:rFonts w:hint="default" w:ascii="Times New Roman" w:hAnsi="Times New Roman" w:eastAsia="宋体" w:cs="Times New Roman"/>
                <w:color w:val="000000" w:themeColor="text1"/>
                <w:sz w:val="24"/>
                <w:szCs w:val="21"/>
                <w14:textFill>
                  <w14:solidFill>
                    <w14:schemeClr w14:val="tx1"/>
                  </w14:solidFill>
                </w14:textFill>
              </w:rPr>
              <w:t>，降低了罐区油品渗漏的风险；加油区、输</w:t>
            </w:r>
            <w:r>
              <w:rPr>
                <w:rFonts w:hint="eastAsia" w:ascii="Times New Roman" w:hAnsi="Times New Roman" w:eastAsia="宋体" w:cs="Times New Roman"/>
                <w:color w:val="000000" w:themeColor="text1"/>
                <w:sz w:val="24"/>
                <w:szCs w:val="21"/>
                <w:lang w:eastAsia="zh-CN"/>
                <w14:textFill>
                  <w14:solidFill>
                    <w14:schemeClr w14:val="tx1"/>
                  </w14:solidFill>
                </w14:textFill>
              </w:rPr>
              <w:t>油</w:t>
            </w:r>
            <w:r>
              <w:rPr>
                <w:rFonts w:hint="default" w:ascii="Times New Roman" w:hAnsi="Times New Roman" w:eastAsia="宋体" w:cs="Times New Roman"/>
                <w:color w:val="000000" w:themeColor="text1"/>
                <w:sz w:val="24"/>
                <w:szCs w:val="21"/>
                <w14:textFill>
                  <w14:solidFill>
                    <w14:schemeClr w14:val="tx1"/>
                  </w14:solidFill>
                </w14:textFill>
              </w:rPr>
              <w:t>管线的防腐防渗</w:t>
            </w:r>
            <w:r>
              <w:rPr>
                <w:rFonts w:hint="eastAsia" w:ascii="Times New Roman" w:hAnsi="Times New Roman" w:eastAsia="宋体" w:cs="Times New Roman"/>
                <w:color w:val="000000" w:themeColor="text1"/>
                <w:sz w:val="24"/>
                <w:szCs w:val="21"/>
                <w:lang w:eastAsia="zh-CN"/>
                <w14:textFill>
                  <w14:solidFill>
                    <w14:schemeClr w14:val="tx1"/>
                  </w14:solidFill>
                </w14:textFill>
              </w:rPr>
              <w:t>，</w:t>
            </w:r>
            <w:r>
              <w:rPr>
                <w:rFonts w:hint="default" w:ascii="Times New Roman" w:hAnsi="Times New Roman" w:eastAsia="宋体" w:cs="Times New Roman"/>
                <w:color w:val="000000" w:themeColor="text1"/>
                <w:sz w:val="24"/>
                <w:szCs w:val="21"/>
                <w14:textFill>
                  <w14:solidFill>
                    <w14:schemeClr w14:val="tx1"/>
                  </w14:solidFill>
                </w14:textFill>
              </w:rPr>
              <w:t>减小了加油枪、加油机及输油管线发生意外泄漏时造成的油品渗漏的可能；加之泄漏检测仪24h全程监控，将油品渗漏风险降至最低</w:t>
            </w:r>
            <w:r>
              <w:rPr>
                <w:rFonts w:hint="eastAsia" w:ascii="Times New Roman" w:hAnsi="Times New Roman" w:eastAsia="宋体" w:cs="Times New Roman"/>
                <w:color w:val="000000" w:themeColor="text1"/>
                <w:sz w:val="24"/>
                <w:szCs w:val="21"/>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lang w:eastAsia="zh-CN"/>
                <w14:textFill>
                  <w14:solidFill>
                    <w14:schemeClr w14:val="tx1"/>
                  </w14:solidFill>
                </w14:textFill>
              </w:rPr>
              <w:t>调查，</w:t>
            </w:r>
            <w:r>
              <w:rPr>
                <w:rFonts w:hint="eastAsia" w:cs="Times New Roman"/>
                <w:color w:val="000000" w:themeColor="text1"/>
                <w:sz w:val="24"/>
                <w:szCs w:val="24"/>
                <w:lang w:val="en-US" w:eastAsia="zh-CN"/>
                <w14:textFill>
                  <w14:solidFill>
                    <w14:schemeClr w14:val="tx1"/>
                  </w14:solidFill>
                </w14:textFill>
              </w:rPr>
              <w:t>项目区交通、供水、排水供电设施完善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可满足项目需求，不会影响项目投产运营。</w:t>
            </w:r>
          </w:p>
          <w:p w14:paraId="33652C9A">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right="0" w:rightChars="0"/>
              <w:textAlignment w:val="auto"/>
              <w:outlineLvl w:val="9"/>
              <w:rPr>
                <w:rFonts w:hint="default" w:ascii="Times New Roman" w:hAnsi="Times New Roman" w:cs="Times New Roman"/>
                <w:b/>
                <w:color w:val="000000" w:themeColor="text1"/>
                <w:sz w:val="24"/>
                <w:szCs w:val="24"/>
                <w:lang w:val="en-US"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1.2.1</w:t>
            </w:r>
            <w:r>
              <w:rPr>
                <w:rFonts w:hint="default" w:ascii="Times New Roman" w:hAnsi="Times New Roman" w:cs="Times New Roman"/>
                <w:b/>
                <w:color w:val="000000" w:themeColor="text1"/>
                <w:sz w:val="24"/>
                <w:szCs w:val="24"/>
                <w:lang w:val="en-US" w:eastAsia="zh-CN"/>
                <w14:textFill>
                  <w14:solidFill>
                    <w14:schemeClr w14:val="tx1"/>
                  </w14:solidFill>
                </w14:textFill>
              </w:rPr>
              <w:t>项目与《汽车加油加气加氢站技术标准》（GB50156-</w:t>
            </w:r>
            <w:r>
              <w:rPr>
                <w:rFonts w:hint="eastAsia" w:ascii="Times New Roman" w:hAnsi="Times New Roman" w:cs="Times New Roman"/>
                <w:b/>
                <w:color w:val="000000" w:themeColor="text1"/>
                <w:sz w:val="24"/>
                <w:szCs w:val="24"/>
                <w:lang w:val="en-US" w:eastAsia="zh-CN"/>
                <w14:textFill>
                  <w14:solidFill>
                    <w14:schemeClr w14:val="tx1"/>
                  </w14:solidFill>
                </w14:textFill>
              </w:rPr>
              <w:t>2021</w:t>
            </w:r>
            <w:r>
              <w:rPr>
                <w:rFonts w:hint="default" w:ascii="Times New Roman" w:hAnsi="Times New Roman" w:cs="Times New Roman"/>
                <w:b/>
                <w:color w:val="000000" w:themeColor="text1"/>
                <w:sz w:val="24"/>
                <w:szCs w:val="24"/>
                <w:lang w:val="en-US" w:eastAsia="zh-CN"/>
                <w14:textFill>
                  <w14:solidFill>
                    <w14:schemeClr w14:val="tx1"/>
                  </w14:solidFill>
                </w14:textFill>
              </w:rPr>
              <w:t>）符合性分析</w:t>
            </w:r>
          </w:p>
          <w:p w14:paraId="4DA339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0" w:firstLineChars="192"/>
              <w:textAlignment w:val="auto"/>
              <w:outlineLvl w:val="9"/>
              <w:rPr>
                <w:rFonts w:hint="default" w:ascii="Times New Roman" w:hAnsi="Times New Roman" w:cs="Times New Roman"/>
                <w:snapToGrid w:val="0"/>
                <w:color w:val="000000" w:themeColor="text1"/>
                <w:kern w:val="0"/>
                <w:sz w:val="24"/>
                <w:szCs w:val="22"/>
                <w:lang w:eastAsia="zh-CN"/>
                <w14:textFill>
                  <w14:solidFill>
                    <w14:schemeClr w14:val="tx1"/>
                  </w14:solidFill>
                </w14:textFill>
              </w:rPr>
            </w:pP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根据《汽车加油加气加氢站技术标准》（GB50156-2021）规定柴油罐容积折半计入总容积量。本项目设</w:t>
            </w:r>
            <w:r>
              <w:rPr>
                <w:rFonts w:hint="eastAsia" w:cs="Times New Roman"/>
                <w:snapToGrid w:val="0"/>
                <w:color w:val="000000" w:themeColor="text1"/>
                <w:kern w:val="0"/>
                <w:sz w:val="24"/>
                <w:szCs w:val="22"/>
                <w:lang w:val="en-US" w:eastAsia="zh-CN"/>
                <w14:textFill>
                  <w14:solidFill>
                    <w14:schemeClr w14:val="tx1"/>
                  </w14:solidFill>
                </w14:textFill>
              </w:rPr>
              <w:t>1</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座</w:t>
            </w:r>
            <w:r>
              <w:rPr>
                <w:rFonts w:hint="default" w:ascii="Times New Roman" w:hAnsi="Times New Roman" w:cs="Times New Roman"/>
                <w:snapToGrid w:val="0"/>
                <w:color w:val="000000" w:themeColor="text1"/>
                <w:kern w:val="0"/>
                <w:sz w:val="24"/>
                <w:szCs w:val="22"/>
                <w:lang w:val="en-US" w:eastAsia="zh-CN"/>
                <w14:textFill>
                  <w14:solidFill>
                    <w14:schemeClr w14:val="tx1"/>
                  </w14:solidFill>
                </w14:textFill>
              </w:rPr>
              <w:t>30</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双层汽油罐</w:t>
            </w:r>
            <w:r>
              <w:rPr>
                <w:rFonts w:hint="eastAsia" w:cs="Times New Roman"/>
                <w:snapToGrid w:val="0"/>
                <w:color w:val="000000" w:themeColor="text1"/>
                <w:kern w:val="0"/>
                <w:sz w:val="24"/>
                <w:szCs w:val="22"/>
                <w:lang w:eastAsia="zh-CN"/>
                <w14:textFill>
                  <w14:solidFill>
                    <w14:schemeClr w14:val="tx1"/>
                  </w14:solidFill>
                </w14:textFill>
              </w:rPr>
              <w:t>，</w:t>
            </w:r>
            <w:r>
              <w:rPr>
                <w:rFonts w:hint="eastAsia" w:cs="Times New Roman"/>
                <w:snapToGrid w:val="0"/>
                <w:color w:val="000000" w:themeColor="text1"/>
                <w:kern w:val="0"/>
                <w:sz w:val="24"/>
                <w:szCs w:val="22"/>
                <w:lang w:val="en-US" w:eastAsia="zh-CN"/>
                <w14:textFill>
                  <w14:solidFill>
                    <w14:schemeClr w14:val="tx1"/>
                  </w14:solidFill>
                </w14:textFill>
              </w:rPr>
              <w:t>2</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座</w:t>
            </w:r>
            <w:r>
              <w:rPr>
                <w:rFonts w:hint="eastAsia" w:cs="Times New Roman"/>
                <w:snapToGrid w:val="0"/>
                <w:color w:val="000000" w:themeColor="text1"/>
                <w:kern w:val="0"/>
                <w:sz w:val="24"/>
                <w:szCs w:val="22"/>
                <w:lang w:val="en-US" w:eastAsia="zh-CN"/>
                <w14:textFill>
                  <w14:solidFill>
                    <w14:schemeClr w14:val="tx1"/>
                  </w14:solidFill>
                </w14:textFill>
              </w:rPr>
              <w:t>40</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双层汽油罐，总容积量</w:t>
            </w:r>
            <w:r>
              <w:rPr>
                <w:rFonts w:hint="eastAsia" w:cs="Times New Roman"/>
                <w:snapToGrid w:val="0"/>
                <w:color w:val="000000" w:themeColor="text1"/>
                <w:kern w:val="0"/>
                <w:sz w:val="24"/>
                <w:szCs w:val="22"/>
                <w:lang w:val="en-US" w:eastAsia="zh-CN"/>
                <w14:textFill>
                  <w14:solidFill>
                    <w14:schemeClr w14:val="tx1"/>
                  </w14:solidFill>
                </w14:textFill>
              </w:rPr>
              <w:t>110</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cs="Times New Roman"/>
                <w:snapToGrid w:val="0"/>
                <w:color w:val="000000" w:themeColor="text1"/>
                <w:kern w:val="0"/>
                <w:sz w:val="24"/>
                <w:szCs w:val="22"/>
                <w:lang w:val="en-US" w:eastAsia="zh-CN"/>
                <w14:textFill>
                  <w14:solidFill>
                    <w14:schemeClr w14:val="tx1"/>
                  </w14:solidFill>
                </w14:textFill>
              </w:rPr>
              <w:t>1</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座</w:t>
            </w:r>
            <w:r>
              <w:rPr>
                <w:rFonts w:hint="eastAsia" w:cs="Times New Roman"/>
                <w:snapToGrid w:val="0"/>
                <w:color w:val="000000" w:themeColor="text1"/>
                <w:kern w:val="0"/>
                <w:sz w:val="24"/>
                <w:szCs w:val="22"/>
                <w:lang w:val="en-US" w:eastAsia="zh-CN"/>
                <w14:textFill>
                  <w14:solidFill>
                    <w14:schemeClr w14:val="tx1"/>
                  </w14:solidFill>
                </w14:textFill>
              </w:rPr>
              <w:t>4</w:t>
            </w:r>
            <w:r>
              <w:rPr>
                <w:rFonts w:hint="default" w:ascii="Times New Roman" w:hAnsi="Times New Roman" w:cs="Times New Roman"/>
                <w:snapToGrid w:val="0"/>
                <w:color w:val="000000" w:themeColor="text1"/>
                <w:kern w:val="0"/>
                <w:sz w:val="24"/>
                <w:szCs w:val="22"/>
                <w:lang w:val="en-US" w:eastAsia="zh-CN"/>
                <w14:textFill>
                  <w14:solidFill>
                    <w14:schemeClr w14:val="tx1"/>
                  </w14:solidFill>
                </w14:textFill>
              </w:rPr>
              <w:t>0</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双层柴油罐，总容积</w:t>
            </w:r>
            <w:r>
              <w:rPr>
                <w:rFonts w:hint="eastAsia" w:cs="Times New Roman"/>
                <w:snapToGrid w:val="0"/>
                <w:color w:val="000000" w:themeColor="text1"/>
                <w:kern w:val="0"/>
                <w:sz w:val="24"/>
                <w:szCs w:val="22"/>
                <w:lang w:val="en-US" w:eastAsia="zh-CN"/>
                <w14:textFill>
                  <w14:solidFill>
                    <w14:schemeClr w14:val="tx1"/>
                  </w14:solidFill>
                </w14:textFill>
              </w:rPr>
              <w:t>20</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vertAlign w:val="baseline"/>
                <w:lang w:eastAsia="zh-CN"/>
                <w14:textFill>
                  <w14:solidFill>
                    <w14:schemeClr w14:val="tx1"/>
                  </w14:solidFill>
                </w14:textFill>
              </w:rPr>
              <w:t>（折半计）</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，则折算后总容积</w:t>
            </w:r>
            <w:r>
              <w:rPr>
                <w:rFonts w:hint="eastAsia" w:cs="Times New Roman"/>
                <w:snapToGrid w:val="0"/>
                <w:color w:val="000000" w:themeColor="text1"/>
                <w:kern w:val="0"/>
                <w:sz w:val="24"/>
                <w:szCs w:val="22"/>
                <w:lang w:val="en-US" w:eastAsia="zh-CN"/>
                <w14:textFill>
                  <w14:solidFill>
                    <w14:schemeClr w14:val="tx1"/>
                  </w14:solidFill>
                </w14:textFill>
              </w:rPr>
              <w:t>130</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default" w:ascii="Times New Roman" w:hAnsi="Times New Roman" w:cs="Times New Roman"/>
                <w:color w:val="000000" w:themeColor="text1"/>
                <w:kern w:val="0"/>
                <w:sz w:val="24"/>
                <w:szCs w:val="22"/>
                <w14:textFill>
                  <w14:solidFill>
                    <w14:schemeClr w14:val="tx1"/>
                  </w14:solidFill>
                </w14:textFill>
              </w:rPr>
              <w:t>依据《</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汽车加油加气加氢站技术标准》（GB50156-2021）</w:t>
            </w:r>
            <w:r>
              <w:rPr>
                <w:rFonts w:hint="default" w:ascii="Times New Roman" w:hAnsi="Times New Roman" w:cs="Times New Roman"/>
                <w:color w:val="000000" w:themeColor="text1"/>
                <w:kern w:val="0"/>
                <w:sz w:val="24"/>
                <w:szCs w:val="22"/>
                <w14:textFill>
                  <w14:solidFill>
                    <w14:schemeClr w14:val="tx1"/>
                  </w14:solidFill>
                </w14:textFill>
              </w:rPr>
              <w:t>的等级划分</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该加油站为</w:t>
            </w:r>
            <w:r>
              <w:rPr>
                <w:rFonts w:hint="eastAsia" w:cs="Times New Roman"/>
                <w:snapToGrid w:val="0"/>
                <w:color w:val="000000" w:themeColor="text1"/>
                <w:kern w:val="0"/>
                <w:sz w:val="24"/>
                <w:szCs w:val="22"/>
                <w:lang w:val="en-US" w:eastAsia="zh-CN"/>
                <w14:textFill>
                  <w14:solidFill>
                    <w14:schemeClr w14:val="tx1"/>
                  </w14:solidFill>
                </w14:textFill>
              </w:rPr>
              <w:t>二</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级加油站，详见表</w:t>
            </w:r>
            <w:r>
              <w:rPr>
                <w:rFonts w:hint="default" w:ascii="Times New Roman" w:hAnsi="Times New Roman" w:cs="Times New Roman"/>
                <w:snapToGrid w:val="0"/>
                <w:color w:val="000000" w:themeColor="text1"/>
                <w:kern w:val="0"/>
                <w:sz w:val="24"/>
                <w:szCs w:val="22"/>
                <w:lang w:val="en-US" w:eastAsia="zh-CN"/>
                <w14:textFill>
                  <w14:solidFill>
                    <w14:schemeClr w14:val="tx1"/>
                  </w14:solidFill>
                </w14:textFill>
              </w:rPr>
              <w:t>1-</w:t>
            </w:r>
            <w:r>
              <w:rPr>
                <w:rFonts w:hint="eastAsia" w:cs="Times New Roman"/>
                <w:snapToGrid w:val="0"/>
                <w:color w:val="000000" w:themeColor="text1"/>
                <w:kern w:val="0"/>
                <w:sz w:val="24"/>
                <w:szCs w:val="22"/>
                <w:lang w:val="en-US" w:eastAsia="zh-CN"/>
                <w14:textFill>
                  <w14:solidFill>
                    <w14:schemeClr w14:val="tx1"/>
                  </w14:solidFill>
                </w14:textFill>
              </w:rPr>
              <w:t>1</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w:t>
            </w:r>
          </w:p>
          <w:p w14:paraId="5AE3C9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加油站的等级划分</w:t>
            </w:r>
          </w:p>
          <w:tbl>
            <w:tblPr>
              <w:tblStyle w:val="103"/>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31"/>
              <w:gridCol w:w="2977"/>
              <w:gridCol w:w="3008"/>
            </w:tblGrid>
            <w:tr w14:paraId="569331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965" w:type="pct"/>
                  <w:vMerge w:val="restart"/>
                  <w:tcBorders>
                    <w:tl2br w:val="nil"/>
                    <w:tr2bl w:val="nil"/>
                  </w:tcBorders>
                  <w:vAlign w:val="center"/>
                </w:tcPr>
                <w:p w14:paraId="349ED2F7">
                  <w:pPr>
                    <w:pStyle w:val="104"/>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加油站等级</w:t>
                  </w:r>
                </w:p>
              </w:tc>
              <w:tc>
                <w:tcPr>
                  <w:tcW w:w="4034" w:type="pct"/>
                  <w:gridSpan w:val="2"/>
                  <w:tcBorders>
                    <w:tl2br w:val="nil"/>
                    <w:tr2bl w:val="nil"/>
                  </w:tcBorders>
                  <w:vAlign w:val="center"/>
                </w:tcPr>
                <w:p w14:paraId="0AF794B0">
                  <w:pPr>
                    <w:pStyle w:val="104"/>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4"/>
                      <w:sz w:val="21"/>
                      <w:szCs w:val="21"/>
                      <w14:textFill>
                        <w14:solidFill>
                          <w14:schemeClr w14:val="tx1"/>
                        </w14:solidFill>
                      </w14:textFill>
                    </w:rPr>
                    <w:t>加油站油罐容积(m³)</w:t>
                  </w:r>
                </w:p>
              </w:tc>
            </w:tr>
            <w:tr w14:paraId="1072F8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965" w:type="pct"/>
                  <w:vMerge w:val="continue"/>
                  <w:tcBorders>
                    <w:tl2br w:val="nil"/>
                    <w:tr2bl w:val="nil"/>
                  </w:tcBorders>
                  <w:vAlign w:val="center"/>
                </w:tcPr>
                <w:p w14:paraId="0DB47911">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007" w:type="pct"/>
                  <w:tcBorders>
                    <w:tl2br w:val="nil"/>
                    <w:tr2bl w:val="nil"/>
                  </w:tcBorders>
                  <w:vAlign w:val="center"/>
                </w:tcPr>
                <w:p w14:paraId="44FB22AC">
                  <w:pPr>
                    <w:pStyle w:val="104"/>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总容积V</w:t>
                  </w:r>
                </w:p>
              </w:tc>
              <w:tc>
                <w:tcPr>
                  <w:tcW w:w="2027" w:type="pct"/>
                  <w:tcBorders>
                    <w:tl2br w:val="nil"/>
                    <w:tr2bl w:val="nil"/>
                  </w:tcBorders>
                  <w:vAlign w:val="center"/>
                </w:tcPr>
                <w:p w14:paraId="26B08A3A">
                  <w:pPr>
                    <w:pStyle w:val="104"/>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单罐容积</w:t>
                  </w:r>
                </w:p>
              </w:tc>
            </w:tr>
            <w:tr w14:paraId="22BE89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965" w:type="pct"/>
                  <w:tcBorders>
                    <w:tl2br w:val="nil"/>
                    <w:tr2bl w:val="nil"/>
                  </w:tcBorders>
                  <w:vAlign w:val="center"/>
                </w:tcPr>
                <w:p w14:paraId="4C8084F0">
                  <w:pPr>
                    <w:pStyle w:val="104"/>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一级</w:t>
                  </w:r>
                </w:p>
              </w:tc>
              <w:tc>
                <w:tcPr>
                  <w:tcW w:w="2007" w:type="pct"/>
                  <w:tcBorders>
                    <w:tl2br w:val="nil"/>
                    <w:tr2bl w:val="nil"/>
                  </w:tcBorders>
                  <w:vAlign w:val="center"/>
                </w:tcPr>
                <w:p w14:paraId="43A149BC">
                  <w:pPr>
                    <w:pStyle w:val="104"/>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150&lt;V≤210</w:t>
                  </w:r>
                </w:p>
              </w:tc>
              <w:tc>
                <w:tcPr>
                  <w:tcW w:w="2027" w:type="pct"/>
                  <w:tcBorders>
                    <w:tl2br w:val="nil"/>
                    <w:tr2bl w:val="nil"/>
                  </w:tcBorders>
                  <w:vAlign w:val="center"/>
                </w:tcPr>
                <w:p w14:paraId="3998CF09">
                  <w:pPr>
                    <w:pStyle w:val="104"/>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≤50</w:t>
                  </w:r>
                </w:p>
              </w:tc>
            </w:tr>
            <w:tr w14:paraId="75EFB7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965" w:type="pct"/>
                  <w:tcBorders>
                    <w:tl2br w:val="nil"/>
                    <w:tr2bl w:val="nil"/>
                  </w:tcBorders>
                  <w:vAlign w:val="center"/>
                </w:tcPr>
                <w:p w14:paraId="1D853534">
                  <w:pPr>
                    <w:pStyle w:val="104"/>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二级</w:t>
                  </w:r>
                </w:p>
              </w:tc>
              <w:tc>
                <w:tcPr>
                  <w:tcW w:w="2007" w:type="pct"/>
                  <w:tcBorders>
                    <w:tl2br w:val="nil"/>
                    <w:tr2bl w:val="nil"/>
                  </w:tcBorders>
                  <w:vAlign w:val="center"/>
                </w:tcPr>
                <w:p w14:paraId="05103F61">
                  <w:pPr>
                    <w:pStyle w:val="104"/>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90&lt;V≤150</w:t>
                  </w:r>
                </w:p>
              </w:tc>
              <w:tc>
                <w:tcPr>
                  <w:tcW w:w="2027" w:type="pct"/>
                  <w:tcBorders>
                    <w:tl2br w:val="nil"/>
                    <w:tr2bl w:val="nil"/>
                  </w:tcBorders>
                  <w:vAlign w:val="center"/>
                </w:tcPr>
                <w:p w14:paraId="5C65E395">
                  <w:pPr>
                    <w:pStyle w:val="104"/>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≤50</w:t>
                  </w:r>
                </w:p>
              </w:tc>
            </w:tr>
            <w:tr w14:paraId="23A4E6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965" w:type="pct"/>
                  <w:tcBorders>
                    <w:tl2br w:val="nil"/>
                    <w:tr2bl w:val="nil"/>
                  </w:tcBorders>
                  <w:vAlign w:val="center"/>
                </w:tcPr>
                <w:p w14:paraId="01C06F30">
                  <w:pPr>
                    <w:pStyle w:val="104"/>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三级</w:t>
                  </w:r>
                </w:p>
              </w:tc>
              <w:tc>
                <w:tcPr>
                  <w:tcW w:w="2007" w:type="pct"/>
                  <w:tcBorders>
                    <w:tl2br w:val="nil"/>
                    <w:tr2bl w:val="nil"/>
                  </w:tcBorders>
                  <w:vAlign w:val="center"/>
                </w:tcPr>
                <w:p w14:paraId="6BB308F1">
                  <w:pPr>
                    <w:pStyle w:val="104"/>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V≤90</w:t>
                  </w:r>
                </w:p>
              </w:tc>
              <w:tc>
                <w:tcPr>
                  <w:tcW w:w="2027" w:type="pct"/>
                  <w:tcBorders>
                    <w:tl2br w:val="nil"/>
                    <w:tr2bl w:val="nil"/>
                  </w:tcBorders>
                  <w:vAlign w:val="center"/>
                </w:tcPr>
                <w:p w14:paraId="4D3077D2">
                  <w:pPr>
                    <w:pStyle w:val="104"/>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汽油罐≤30</w:t>
                  </w:r>
                  <w:r>
                    <w:rPr>
                      <w:rFonts w:hint="eastAsia"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柴油罐≤50</w:t>
                  </w:r>
                </w:p>
              </w:tc>
            </w:tr>
          </w:tbl>
          <w:p w14:paraId="10FA876C">
            <w:pPr>
              <w:pStyle w:val="69"/>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14:textFill>
                  <w14:solidFill>
                    <w14:schemeClr w14:val="tx1"/>
                  </w14:solidFill>
                </w14:textFill>
              </w:rPr>
              <w:t>注</w:t>
            </w:r>
            <w:r>
              <w:rPr>
                <w:rFonts w:hint="default" w:ascii="Times New Roman" w:hAnsi="Times New Roman" w:cs="Times New Roman"/>
                <w:b/>
                <w:bCs/>
                <w:color w:val="000000" w:themeColor="text1"/>
                <w:sz w:val="18"/>
                <w:szCs w:val="18"/>
                <w:lang w:eastAsia="zh-CN"/>
                <w14:textFill>
                  <w14:solidFill>
                    <w14:schemeClr w14:val="tx1"/>
                  </w14:solidFill>
                </w14:textFill>
              </w:rPr>
              <w:t>：柴油</w:t>
            </w:r>
            <w:r>
              <w:rPr>
                <w:rFonts w:hint="default" w:ascii="Times New Roman" w:hAnsi="Times New Roman" w:eastAsia="宋体" w:cs="Times New Roman"/>
                <w:b/>
                <w:bCs/>
                <w:color w:val="000000" w:themeColor="text1"/>
                <w:sz w:val="18"/>
                <w:szCs w:val="18"/>
                <w14:textFill>
                  <w14:solidFill>
                    <w14:schemeClr w14:val="tx1"/>
                  </w14:solidFill>
                </w14:textFill>
              </w:rPr>
              <w:t>罐容积可</w:t>
            </w:r>
            <w:r>
              <w:rPr>
                <w:rFonts w:hint="default" w:ascii="Times New Roman" w:hAnsi="Times New Roman" w:cs="Times New Roman"/>
                <w:b/>
                <w:bCs/>
                <w:color w:val="000000" w:themeColor="text1"/>
                <w:sz w:val="18"/>
                <w:szCs w:val="18"/>
                <w:lang w:eastAsia="zh-CN"/>
                <w14:textFill>
                  <w14:solidFill>
                    <w14:schemeClr w14:val="tx1"/>
                  </w14:solidFill>
                </w14:textFill>
              </w:rPr>
              <w:t>折半计入</w:t>
            </w:r>
            <w:r>
              <w:rPr>
                <w:rFonts w:hint="default" w:ascii="Times New Roman" w:hAnsi="Times New Roman" w:eastAsia="宋体" w:cs="Times New Roman"/>
                <w:b/>
                <w:bCs/>
                <w:color w:val="000000" w:themeColor="text1"/>
                <w:sz w:val="18"/>
                <w:szCs w:val="18"/>
                <w14:textFill>
                  <w14:solidFill>
                    <w14:schemeClr w14:val="tx1"/>
                  </w14:solidFill>
                </w14:textFill>
              </w:rPr>
              <w:t>油罐总容积</w:t>
            </w:r>
            <w:r>
              <w:rPr>
                <w:rFonts w:hint="default" w:ascii="Times New Roman" w:hAnsi="Times New Roman" w:cs="Times New Roman"/>
                <w:b/>
                <w:bCs/>
                <w:color w:val="000000" w:themeColor="text1"/>
                <w:sz w:val="18"/>
                <w:szCs w:val="18"/>
                <w:lang w:val="en-US" w:eastAsia="zh-CN"/>
                <w14:textFill>
                  <w14:solidFill>
                    <w14:schemeClr w14:val="tx1"/>
                  </w14:solidFill>
                </w14:textFill>
              </w:rPr>
              <w:t>。</w:t>
            </w:r>
          </w:p>
          <w:p w14:paraId="1866D932">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 xml:space="preserve">2 </w:t>
            </w:r>
            <w:r>
              <w:rPr>
                <w:rFonts w:hint="eastAsia" w:ascii="Times New Roman" w:hAnsi="Times New Roman" w:eastAsia="宋体" w:cs="Times New Roman"/>
                <w:b/>
                <w:bCs/>
                <w:color w:val="auto"/>
                <w:sz w:val="21"/>
                <w:szCs w:val="21"/>
                <w:lang w:val="en-US" w:eastAsia="zh-CN"/>
              </w:rPr>
              <w:t xml:space="preserve"> 站内建（构）筑物安全距离</w:t>
            </w:r>
          </w:p>
          <w:tbl>
            <w:tblPr>
              <w:tblStyle w:val="31"/>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autofit"/>
              <w:tblCellMar>
                <w:top w:w="0" w:type="dxa"/>
                <w:left w:w="108" w:type="dxa"/>
                <w:bottom w:w="0" w:type="dxa"/>
                <w:right w:w="108" w:type="dxa"/>
              </w:tblCellMar>
            </w:tblPr>
            <w:tblGrid>
              <w:gridCol w:w="711"/>
              <w:gridCol w:w="735"/>
              <w:gridCol w:w="834"/>
              <w:gridCol w:w="849"/>
              <w:gridCol w:w="849"/>
              <w:gridCol w:w="849"/>
              <w:gridCol w:w="849"/>
              <w:gridCol w:w="833"/>
              <w:gridCol w:w="908"/>
            </w:tblGrid>
            <w:tr w14:paraId="47CEC8B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97" w:hRule="atLeast"/>
                <w:jc w:val="center"/>
              </w:trPr>
              <w:tc>
                <w:tcPr>
                  <w:tcW w:w="479" w:type="pct"/>
                  <w:vMerge w:val="restart"/>
                  <w:tcBorders>
                    <w:tl2br w:val="nil"/>
                    <w:tr2bl w:val="nil"/>
                  </w:tcBorders>
                  <w:shd w:val="clear" w:color="auto" w:fill="auto"/>
                  <w:noWrap w:val="0"/>
                  <w:vAlign w:val="center"/>
                </w:tcPr>
                <w:p w14:paraId="789E06A7">
                  <w:pPr>
                    <w:keepNext w:val="0"/>
                    <w:keepLines w:val="0"/>
                    <w:pageBreakBefore w:val="0"/>
                    <w:widowControl w:val="0"/>
                    <w:tabs>
                      <w:tab w:val="left" w:pos="309"/>
                    </w:tabs>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val="zh-CN"/>
                    </w:rPr>
                    <w:t>名称</w:t>
                  </w:r>
                </w:p>
              </w:tc>
              <w:tc>
                <w:tcPr>
                  <w:tcW w:w="1057" w:type="pct"/>
                  <w:gridSpan w:val="2"/>
                  <w:tcBorders>
                    <w:tl2br w:val="nil"/>
                    <w:tr2bl w:val="nil"/>
                  </w:tcBorders>
                  <w:shd w:val="clear" w:color="auto" w:fill="auto"/>
                  <w:noWrap w:val="0"/>
                  <w:vAlign w:val="center"/>
                </w:tcPr>
                <w:p w14:paraId="3C92FA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lang w:val="zh-CN"/>
                    </w:rPr>
                  </w:pPr>
                  <w:r>
                    <w:rPr>
                      <w:rFonts w:hint="default" w:ascii="Times New Roman" w:hAnsi="Times New Roman" w:cs="Times New Roman"/>
                      <w:b/>
                      <w:bCs/>
                      <w:color w:val="auto"/>
                      <w:kern w:val="0"/>
                      <w:sz w:val="21"/>
                      <w:szCs w:val="21"/>
                      <w:lang w:val="zh-CN"/>
                    </w:rPr>
                    <w:t>加油机</w:t>
                  </w:r>
                </w:p>
              </w:tc>
              <w:tc>
                <w:tcPr>
                  <w:tcW w:w="1144" w:type="pct"/>
                  <w:gridSpan w:val="2"/>
                  <w:tcBorders>
                    <w:tl2br w:val="nil"/>
                    <w:tr2bl w:val="nil"/>
                  </w:tcBorders>
                  <w:shd w:val="clear" w:color="auto" w:fill="auto"/>
                  <w:noWrap w:val="0"/>
                  <w:vAlign w:val="center"/>
                </w:tcPr>
                <w:p w14:paraId="5A4BC5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lang w:val="zh-CN"/>
                    </w:rPr>
                  </w:pPr>
                  <w:r>
                    <w:rPr>
                      <w:rFonts w:hint="default" w:ascii="Times New Roman" w:hAnsi="Times New Roman" w:cs="Times New Roman"/>
                      <w:b/>
                      <w:bCs/>
                      <w:color w:val="auto"/>
                      <w:kern w:val="0"/>
                      <w:sz w:val="21"/>
                      <w:szCs w:val="21"/>
                      <w:lang w:val="zh-CN"/>
                    </w:rPr>
                    <w:t>汽油罐</w:t>
                  </w:r>
                </w:p>
              </w:tc>
              <w:tc>
                <w:tcPr>
                  <w:tcW w:w="1144" w:type="pct"/>
                  <w:gridSpan w:val="2"/>
                  <w:tcBorders>
                    <w:tl2br w:val="nil"/>
                    <w:tr2bl w:val="nil"/>
                  </w:tcBorders>
                  <w:shd w:val="clear" w:color="auto" w:fill="auto"/>
                  <w:noWrap w:val="0"/>
                  <w:vAlign w:val="center"/>
                </w:tcPr>
                <w:p w14:paraId="2D37B1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lang w:val="zh-CN"/>
                    </w:rPr>
                  </w:pPr>
                  <w:r>
                    <w:rPr>
                      <w:rFonts w:hint="default" w:ascii="Times New Roman" w:hAnsi="Times New Roman" w:cs="Times New Roman"/>
                      <w:b/>
                      <w:bCs/>
                      <w:color w:val="auto"/>
                      <w:kern w:val="0"/>
                      <w:sz w:val="21"/>
                      <w:szCs w:val="21"/>
                      <w:lang w:val="zh-CN"/>
                    </w:rPr>
                    <w:t>柴油罐</w:t>
                  </w:r>
                </w:p>
              </w:tc>
              <w:tc>
                <w:tcPr>
                  <w:tcW w:w="1173" w:type="pct"/>
                  <w:gridSpan w:val="2"/>
                  <w:tcBorders>
                    <w:tl2br w:val="nil"/>
                    <w:tr2bl w:val="nil"/>
                  </w:tcBorders>
                  <w:shd w:val="clear" w:color="auto" w:fill="auto"/>
                  <w:noWrap w:val="0"/>
                  <w:vAlign w:val="center"/>
                </w:tcPr>
                <w:p w14:paraId="7A7DB2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lang w:val="zh-CN"/>
                    </w:rPr>
                  </w:pPr>
                  <w:r>
                    <w:rPr>
                      <w:rFonts w:hint="default" w:ascii="Times New Roman" w:hAnsi="Times New Roman" w:cs="Times New Roman"/>
                      <w:b/>
                      <w:bCs/>
                      <w:color w:val="auto"/>
                      <w:kern w:val="0"/>
                      <w:sz w:val="21"/>
                      <w:szCs w:val="21"/>
                      <w:lang w:val="zh-CN"/>
                    </w:rPr>
                    <w:t>油品卸车点</w:t>
                  </w:r>
                </w:p>
              </w:tc>
            </w:tr>
            <w:tr w14:paraId="4F4C6F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79" w:type="pct"/>
                  <w:vMerge w:val="continue"/>
                  <w:tcBorders>
                    <w:tl2br w:val="nil"/>
                    <w:tr2bl w:val="nil"/>
                  </w:tcBorders>
                  <w:shd w:val="clear" w:color="auto" w:fill="auto"/>
                  <w:noWrap w:val="0"/>
                  <w:vAlign w:val="center"/>
                </w:tcPr>
                <w:p w14:paraId="5BF5DC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lang w:val="zh-CN"/>
                    </w:rPr>
                  </w:pPr>
                </w:p>
              </w:tc>
              <w:tc>
                <w:tcPr>
                  <w:tcW w:w="495" w:type="pct"/>
                  <w:tcBorders>
                    <w:tl2br w:val="nil"/>
                    <w:tr2bl w:val="nil"/>
                  </w:tcBorders>
                  <w:shd w:val="clear" w:color="auto" w:fill="auto"/>
                  <w:noWrap w:val="0"/>
                  <w:vAlign w:val="center"/>
                </w:tcPr>
                <w:p w14:paraId="1EBBDC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lang w:val="zh-CN"/>
                    </w:rPr>
                  </w:pPr>
                  <w:r>
                    <w:rPr>
                      <w:rFonts w:hint="default" w:ascii="Times New Roman" w:hAnsi="Times New Roman" w:cs="Times New Roman"/>
                      <w:b/>
                      <w:bCs/>
                      <w:color w:val="auto"/>
                      <w:kern w:val="0"/>
                      <w:sz w:val="21"/>
                      <w:szCs w:val="21"/>
                      <w:lang w:val="zh-CN"/>
                    </w:rPr>
                    <w:t>规范距离/m</w:t>
                  </w:r>
                </w:p>
              </w:tc>
              <w:tc>
                <w:tcPr>
                  <w:tcW w:w="561" w:type="pct"/>
                  <w:tcBorders>
                    <w:tl2br w:val="nil"/>
                    <w:tr2bl w:val="nil"/>
                  </w:tcBorders>
                  <w:shd w:val="clear" w:color="auto" w:fill="auto"/>
                  <w:noWrap w:val="0"/>
                  <w:vAlign w:val="center"/>
                </w:tcPr>
                <w:p w14:paraId="4715E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lang w:val="zh-CN"/>
                    </w:rPr>
                  </w:pPr>
                  <w:r>
                    <w:rPr>
                      <w:rFonts w:hint="default" w:ascii="Times New Roman" w:hAnsi="Times New Roman" w:cs="Times New Roman"/>
                      <w:b/>
                      <w:bCs/>
                      <w:color w:val="auto"/>
                      <w:kern w:val="0"/>
                      <w:sz w:val="21"/>
                      <w:szCs w:val="21"/>
                      <w:lang w:val="zh-CN"/>
                    </w:rPr>
                    <w:t>设计距离/m</w:t>
                  </w:r>
                </w:p>
              </w:tc>
              <w:tc>
                <w:tcPr>
                  <w:tcW w:w="572" w:type="pct"/>
                  <w:tcBorders>
                    <w:tl2br w:val="nil"/>
                    <w:tr2bl w:val="nil"/>
                  </w:tcBorders>
                  <w:shd w:val="clear" w:color="auto" w:fill="auto"/>
                  <w:noWrap w:val="0"/>
                  <w:vAlign w:val="center"/>
                </w:tcPr>
                <w:p w14:paraId="122704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lang w:val="zh-CN"/>
                    </w:rPr>
                  </w:pPr>
                  <w:r>
                    <w:rPr>
                      <w:rFonts w:hint="default" w:ascii="Times New Roman" w:hAnsi="Times New Roman" w:cs="Times New Roman"/>
                      <w:b/>
                      <w:bCs/>
                      <w:color w:val="auto"/>
                      <w:kern w:val="0"/>
                      <w:sz w:val="21"/>
                      <w:szCs w:val="21"/>
                      <w:lang w:val="zh-CN"/>
                    </w:rPr>
                    <w:t>规范距离/m</w:t>
                  </w:r>
                </w:p>
              </w:tc>
              <w:tc>
                <w:tcPr>
                  <w:tcW w:w="572" w:type="pct"/>
                  <w:tcBorders>
                    <w:tl2br w:val="nil"/>
                    <w:tr2bl w:val="nil"/>
                  </w:tcBorders>
                  <w:shd w:val="clear" w:color="auto" w:fill="auto"/>
                  <w:noWrap w:val="0"/>
                  <w:vAlign w:val="center"/>
                </w:tcPr>
                <w:p w14:paraId="4D4A7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lang w:val="zh-CN"/>
                    </w:rPr>
                  </w:pPr>
                  <w:r>
                    <w:rPr>
                      <w:rFonts w:hint="default" w:ascii="Times New Roman" w:hAnsi="Times New Roman" w:cs="Times New Roman"/>
                      <w:b/>
                      <w:bCs/>
                      <w:color w:val="auto"/>
                      <w:kern w:val="0"/>
                      <w:sz w:val="21"/>
                      <w:szCs w:val="21"/>
                      <w:lang w:val="zh-CN"/>
                    </w:rPr>
                    <w:t>设计距离/m</w:t>
                  </w:r>
                </w:p>
              </w:tc>
              <w:tc>
                <w:tcPr>
                  <w:tcW w:w="572" w:type="pct"/>
                  <w:tcBorders>
                    <w:tl2br w:val="nil"/>
                    <w:tr2bl w:val="nil"/>
                  </w:tcBorders>
                  <w:shd w:val="clear" w:color="auto" w:fill="auto"/>
                  <w:noWrap w:val="0"/>
                  <w:vAlign w:val="center"/>
                </w:tcPr>
                <w:p w14:paraId="185CE8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lang w:val="zh-CN"/>
                    </w:rPr>
                  </w:pPr>
                  <w:r>
                    <w:rPr>
                      <w:rFonts w:hint="default" w:ascii="Times New Roman" w:hAnsi="Times New Roman" w:cs="Times New Roman"/>
                      <w:b/>
                      <w:bCs/>
                      <w:color w:val="auto"/>
                      <w:kern w:val="0"/>
                      <w:sz w:val="21"/>
                      <w:szCs w:val="21"/>
                      <w:lang w:val="zh-CN"/>
                    </w:rPr>
                    <w:t>规范距离/m</w:t>
                  </w:r>
                </w:p>
              </w:tc>
              <w:tc>
                <w:tcPr>
                  <w:tcW w:w="572" w:type="pct"/>
                  <w:tcBorders>
                    <w:tl2br w:val="nil"/>
                    <w:tr2bl w:val="nil"/>
                  </w:tcBorders>
                  <w:shd w:val="clear" w:color="auto" w:fill="auto"/>
                  <w:noWrap w:val="0"/>
                  <w:vAlign w:val="center"/>
                </w:tcPr>
                <w:p w14:paraId="4DBFB7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lang w:val="zh-CN"/>
                    </w:rPr>
                  </w:pPr>
                  <w:r>
                    <w:rPr>
                      <w:rFonts w:hint="default" w:ascii="Times New Roman" w:hAnsi="Times New Roman" w:cs="Times New Roman"/>
                      <w:b/>
                      <w:bCs/>
                      <w:color w:val="auto"/>
                      <w:kern w:val="0"/>
                      <w:sz w:val="21"/>
                      <w:szCs w:val="21"/>
                      <w:lang w:val="zh-CN"/>
                    </w:rPr>
                    <w:t>设计距离/m</w:t>
                  </w:r>
                </w:p>
              </w:tc>
              <w:tc>
                <w:tcPr>
                  <w:tcW w:w="561" w:type="pct"/>
                  <w:tcBorders>
                    <w:tl2br w:val="nil"/>
                    <w:tr2bl w:val="nil"/>
                  </w:tcBorders>
                  <w:shd w:val="clear" w:color="auto" w:fill="auto"/>
                  <w:noWrap w:val="0"/>
                  <w:vAlign w:val="center"/>
                </w:tcPr>
                <w:p w14:paraId="3F101D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lang w:val="zh-CN"/>
                    </w:rPr>
                  </w:pPr>
                  <w:r>
                    <w:rPr>
                      <w:rFonts w:hint="default" w:ascii="Times New Roman" w:hAnsi="Times New Roman" w:cs="Times New Roman"/>
                      <w:b/>
                      <w:bCs/>
                      <w:color w:val="auto"/>
                      <w:kern w:val="0"/>
                      <w:sz w:val="21"/>
                      <w:szCs w:val="21"/>
                      <w:lang w:val="zh-CN"/>
                    </w:rPr>
                    <w:t>规范距离/m</w:t>
                  </w:r>
                </w:p>
              </w:tc>
              <w:tc>
                <w:tcPr>
                  <w:tcW w:w="611" w:type="pct"/>
                  <w:tcBorders>
                    <w:tl2br w:val="nil"/>
                    <w:tr2bl w:val="nil"/>
                  </w:tcBorders>
                  <w:shd w:val="clear" w:color="auto" w:fill="auto"/>
                  <w:noWrap w:val="0"/>
                  <w:vAlign w:val="center"/>
                </w:tcPr>
                <w:p w14:paraId="7BB0BE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bCs/>
                      <w:color w:val="auto"/>
                      <w:kern w:val="0"/>
                      <w:sz w:val="21"/>
                      <w:szCs w:val="21"/>
                      <w:lang w:val="zh-CN"/>
                    </w:rPr>
                  </w:pPr>
                  <w:r>
                    <w:rPr>
                      <w:rFonts w:hint="default" w:ascii="Times New Roman" w:hAnsi="Times New Roman" w:cs="Times New Roman"/>
                      <w:b/>
                      <w:bCs/>
                      <w:color w:val="auto"/>
                      <w:kern w:val="0"/>
                      <w:sz w:val="21"/>
                      <w:szCs w:val="21"/>
                      <w:lang w:val="zh-CN"/>
                    </w:rPr>
                    <w:t>设计距离/m</w:t>
                  </w:r>
                </w:p>
              </w:tc>
            </w:tr>
            <w:tr w14:paraId="0F9FCA4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79" w:type="pct"/>
                  <w:tcBorders>
                    <w:tl2br w:val="nil"/>
                    <w:tr2bl w:val="nil"/>
                  </w:tcBorders>
                  <w:shd w:val="clear" w:color="auto" w:fill="auto"/>
                  <w:noWrap w:val="0"/>
                  <w:vAlign w:val="center"/>
                </w:tcPr>
                <w:p w14:paraId="780F12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站房</w:t>
                  </w:r>
                </w:p>
              </w:tc>
              <w:tc>
                <w:tcPr>
                  <w:tcW w:w="495" w:type="pct"/>
                  <w:tcBorders>
                    <w:tl2br w:val="nil"/>
                    <w:tr2bl w:val="nil"/>
                  </w:tcBorders>
                  <w:shd w:val="clear" w:color="auto" w:fill="auto"/>
                  <w:noWrap w:val="0"/>
                  <w:vAlign w:val="center"/>
                </w:tcPr>
                <w:p w14:paraId="3283DD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5</w:t>
                  </w:r>
                </w:p>
              </w:tc>
              <w:tc>
                <w:tcPr>
                  <w:tcW w:w="561" w:type="pct"/>
                  <w:tcBorders>
                    <w:tl2br w:val="nil"/>
                    <w:tr2bl w:val="nil"/>
                  </w:tcBorders>
                  <w:shd w:val="clear" w:color="auto" w:fill="auto"/>
                  <w:noWrap w:val="0"/>
                  <w:vAlign w:val="center"/>
                </w:tcPr>
                <w:p w14:paraId="79E648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10.3</w:t>
                  </w:r>
                </w:p>
              </w:tc>
              <w:tc>
                <w:tcPr>
                  <w:tcW w:w="572" w:type="pct"/>
                  <w:tcBorders>
                    <w:tl2br w:val="nil"/>
                    <w:tr2bl w:val="nil"/>
                  </w:tcBorders>
                  <w:shd w:val="clear" w:color="auto" w:fill="auto"/>
                  <w:noWrap w:val="0"/>
                  <w:vAlign w:val="center"/>
                </w:tcPr>
                <w:p w14:paraId="450137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4</w:t>
                  </w:r>
                </w:p>
              </w:tc>
              <w:tc>
                <w:tcPr>
                  <w:tcW w:w="572" w:type="pct"/>
                  <w:tcBorders>
                    <w:tl2br w:val="nil"/>
                    <w:tr2bl w:val="nil"/>
                  </w:tcBorders>
                  <w:shd w:val="clear" w:color="auto" w:fill="auto"/>
                  <w:noWrap w:val="0"/>
                  <w:vAlign w:val="center"/>
                </w:tcPr>
                <w:p w14:paraId="77D8AB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18.3</w:t>
                  </w:r>
                </w:p>
              </w:tc>
              <w:tc>
                <w:tcPr>
                  <w:tcW w:w="572" w:type="pct"/>
                  <w:tcBorders>
                    <w:tl2br w:val="nil"/>
                    <w:tr2bl w:val="nil"/>
                  </w:tcBorders>
                  <w:shd w:val="clear" w:color="auto" w:fill="auto"/>
                  <w:noWrap w:val="0"/>
                  <w:vAlign w:val="center"/>
                </w:tcPr>
                <w:p w14:paraId="1A17DE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zh-CN"/>
                    </w:rPr>
                    <w:t>3</w:t>
                  </w:r>
                  <w:r>
                    <w:rPr>
                      <w:rFonts w:hint="eastAsia" w:cs="Times New Roman"/>
                      <w:color w:val="auto"/>
                      <w:kern w:val="0"/>
                      <w:sz w:val="21"/>
                      <w:szCs w:val="21"/>
                      <w:lang w:val="en-US" w:eastAsia="zh-CN"/>
                    </w:rPr>
                    <w:t>0.0</w:t>
                  </w:r>
                </w:p>
              </w:tc>
              <w:tc>
                <w:tcPr>
                  <w:tcW w:w="572" w:type="pct"/>
                  <w:tcBorders>
                    <w:tl2br w:val="nil"/>
                    <w:tr2bl w:val="nil"/>
                  </w:tcBorders>
                  <w:shd w:val="clear" w:color="auto" w:fill="auto"/>
                  <w:noWrap w:val="0"/>
                  <w:vAlign w:val="center"/>
                </w:tcPr>
                <w:p w14:paraId="5C446D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13</w:t>
                  </w:r>
                </w:p>
              </w:tc>
              <w:tc>
                <w:tcPr>
                  <w:tcW w:w="561" w:type="pct"/>
                  <w:tcBorders>
                    <w:tl2br w:val="nil"/>
                    <w:tr2bl w:val="nil"/>
                  </w:tcBorders>
                  <w:shd w:val="clear" w:color="auto" w:fill="auto"/>
                  <w:noWrap w:val="0"/>
                  <w:vAlign w:val="center"/>
                </w:tcPr>
                <w:p w14:paraId="0A7552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5</w:t>
                  </w:r>
                </w:p>
              </w:tc>
              <w:tc>
                <w:tcPr>
                  <w:tcW w:w="611" w:type="pct"/>
                  <w:tcBorders>
                    <w:tl2br w:val="nil"/>
                    <w:tr2bl w:val="nil"/>
                  </w:tcBorders>
                  <w:shd w:val="clear" w:color="auto" w:fill="auto"/>
                  <w:noWrap w:val="0"/>
                  <w:vAlign w:val="center"/>
                </w:tcPr>
                <w:p w14:paraId="485215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31.9</w:t>
                  </w:r>
                </w:p>
              </w:tc>
            </w:tr>
            <w:tr w14:paraId="117878E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79" w:type="pct"/>
                  <w:tcBorders>
                    <w:tl2br w:val="nil"/>
                    <w:tr2bl w:val="nil"/>
                  </w:tcBorders>
                  <w:shd w:val="clear" w:color="auto" w:fill="auto"/>
                  <w:noWrap w:val="0"/>
                  <w:vAlign w:val="center"/>
                </w:tcPr>
                <w:p w14:paraId="49F8BF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围墙</w:t>
                  </w:r>
                </w:p>
              </w:tc>
              <w:tc>
                <w:tcPr>
                  <w:tcW w:w="495" w:type="pct"/>
                  <w:tcBorders>
                    <w:tl2br w:val="nil"/>
                    <w:tr2bl w:val="nil"/>
                  </w:tcBorders>
                  <w:shd w:val="clear" w:color="auto" w:fill="auto"/>
                  <w:noWrap w:val="0"/>
                  <w:vAlign w:val="center"/>
                </w:tcPr>
                <w:p w14:paraId="4C1B7F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w:t>
                  </w:r>
                </w:p>
              </w:tc>
              <w:tc>
                <w:tcPr>
                  <w:tcW w:w="561" w:type="pct"/>
                  <w:tcBorders>
                    <w:tl2br w:val="nil"/>
                    <w:tr2bl w:val="nil"/>
                  </w:tcBorders>
                  <w:shd w:val="clear" w:color="auto" w:fill="auto"/>
                  <w:noWrap w:val="0"/>
                  <w:vAlign w:val="center"/>
                </w:tcPr>
                <w:p w14:paraId="5C6DD5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572" w:type="pct"/>
                  <w:tcBorders>
                    <w:tl2br w:val="nil"/>
                    <w:tr2bl w:val="nil"/>
                  </w:tcBorders>
                  <w:shd w:val="clear" w:color="auto" w:fill="auto"/>
                  <w:noWrap w:val="0"/>
                  <w:vAlign w:val="center"/>
                </w:tcPr>
                <w:p w14:paraId="21A80A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572" w:type="pct"/>
                  <w:tcBorders>
                    <w:tl2br w:val="nil"/>
                    <w:tr2bl w:val="nil"/>
                  </w:tcBorders>
                  <w:shd w:val="clear" w:color="auto" w:fill="auto"/>
                  <w:noWrap w:val="0"/>
                  <w:vAlign w:val="center"/>
                </w:tcPr>
                <w:p w14:paraId="54A6E0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6.5</w:t>
                  </w:r>
                </w:p>
              </w:tc>
              <w:tc>
                <w:tcPr>
                  <w:tcW w:w="572" w:type="pct"/>
                  <w:tcBorders>
                    <w:tl2br w:val="nil"/>
                    <w:tr2bl w:val="nil"/>
                  </w:tcBorders>
                  <w:shd w:val="clear" w:color="auto" w:fill="auto"/>
                  <w:noWrap w:val="0"/>
                  <w:vAlign w:val="center"/>
                </w:tcPr>
                <w:p w14:paraId="46BC99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2</w:t>
                  </w:r>
                  <w:r>
                    <w:rPr>
                      <w:rFonts w:hint="eastAsia" w:cs="Times New Roman"/>
                      <w:color w:val="auto"/>
                      <w:kern w:val="0"/>
                      <w:sz w:val="21"/>
                      <w:szCs w:val="21"/>
                      <w:lang w:val="en-US" w:eastAsia="zh-CN"/>
                    </w:rPr>
                    <w:t>.0</w:t>
                  </w:r>
                </w:p>
              </w:tc>
              <w:tc>
                <w:tcPr>
                  <w:tcW w:w="572" w:type="pct"/>
                  <w:tcBorders>
                    <w:tl2br w:val="nil"/>
                    <w:tr2bl w:val="nil"/>
                  </w:tcBorders>
                  <w:shd w:val="clear" w:color="auto" w:fill="auto"/>
                  <w:noWrap w:val="0"/>
                  <w:vAlign w:val="center"/>
                </w:tcPr>
                <w:p w14:paraId="10727B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7.9</w:t>
                  </w:r>
                </w:p>
              </w:tc>
              <w:tc>
                <w:tcPr>
                  <w:tcW w:w="561" w:type="pct"/>
                  <w:tcBorders>
                    <w:tl2br w:val="nil"/>
                    <w:tr2bl w:val="nil"/>
                  </w:tcBorders>
                  <w:shd w:val="clear" w:color="auto" w:fill="auto"/>
                  <w:noWrap w:val="0"/>
                  <w:vAlign w:val="center"/>
                </w:tcPr>
                <w:p w14:paraId="739255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zh-CN"/>
                    </w:rPr>
                    <w:t>-</w:t>
                  </w:r>
                </w:p>
              </w:tc>
              <w:tc>
                <w:tcPr>
                  <w:tcW w:w="611" w:type="pct"/>
                  <w:tcBorders>
                    <w:tl2br w:val="nil"/>
                    <w:tr2bl w:val="nil"/>
                  </w:tcBorders>
                  <w:shd w:val="clear" w:color="auto" w:fill="auto"/>
                  <w:noWrap w:val="0"/>
                  <w:vAlign w:val="center"/>
                </w:tcPr>
                <w:p w14:paraId="4BB218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10.2</w:t>
                  </w:r>
                </w:p>
              </w:tc>
            </w:tr>
            <w:tr w14:paraId="399EB41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79" w:type="pct"/>
                  <w:tcBorders>
                    <w:tl2br w:val="nil"/>
                    <w:tr2bl w:val="nil"/>
                  </w:tcBorders>
                  <w:shd w:val="clear" w:color="auto" w:fill="auto"/>
                  <w:noWrap w:val="0"/>
                  <w:vAlign w:val="center"/>
                </w:tcPr>
                <w:p w14:paraId="12352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汽油罐</w:t>
                  </w:r>
                </w:p>
              </w:tc>
              <w:tc>
                <w:tcPr>
                  <w:tcW w:w="495" w:type="pct"/>
                  <w:tcBorders>
                    <w:tl2br w:val="nil"/>
                    <w:tr2bl w:val="nil"/>
                  </w:tcBorders>
                  <w:shd w:val="clear" w:color="auto" w:fill="auto"/>
                  <w:noWrap w:val="0"/>
                  <w:vAlign w:val="center"/>
                </w:tcPr>
                <w:p w14:paraId="7DE94E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w:t>
                  </w:r>
                </w:p>
              </w:tc>
              <w:tc>
                <w:tcPr>
                  <w:tcW w:w="561" w:type="pct"/>
                  <w:tcBorders>
                    <w:tl2br w:val="nil"/>
                    <w:tr2bl w:val="nil"/>
                  </w:tcBorders>
                  <w:shd w:val="clear" w:color="auto" w:fill="auto"/>
                  <w:noWrap w:val="0"/>
                  <w:vAlign w:val="center"/>
                </w:tcPr>
                <w:p w14:paraId="4BAE2D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572" w:type="pct"/>
                  <w:tcBorders>
                    <w:tl2br w:val="nil"/>
                    <w:tr2bl w:val="nil"/>
                  </w:tcBorders>
                  <w:shd w:val="clear" w:color="auto" w:fill="auto"/>
                  <w:noWrap w:val="0"/>
                  <w:vAlign w:val="center"/>
                </w:tcPr>
                <w:p w14:paraId="7FDD1C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c>
                <w:tcPr>
                  <w:tcW w:w="572" w:type="pct"/>
                  <w:tcBorders>
                    <w:tl2br w:val="nil"/>
                    <w:tr2bl w:val="nil"/>
                  </w:tcBorders>
                  <w:shd w:val="clear" w:color="auto" w:fill="auto"/>
                  <w:noWrap w:val="0"/>
                  <w:vAlign w:val="center"/>
                </w:tcPr>
                <w:p w14:paraId="5A5AB5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572" w:type="pct"/>
                  <w:tcBorders>
                    <w:tl2br w:val="nil"/>
                    <w:tr2bl w:val="nil"/>
                  </w:tcBorders>
                  <w:shd w:val="clear" w:color="auto" w:fill="auto"/>
                  <w:noWrap w:val="0"/>
                  <w:vAlign w:val="center"/>
                </w:tcPr>
                <w:p w14:paraId="15F71D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c>
                <w:tcPr>
                  <w:tcW w:w="572" w:type="pct"/>
                  <w:tcBorders>
                    <w:tl2br w:val="nil"/>
                    <w:tr2bl w:val="nil"/>
                  </w:tcBorders>
                  <w:shd w:val="clear" w:color="auto" w:fill="auto"/>
                  <w:noWrap w:val="0"/>
                  <w:vAlign w:val="center"/>
                </w:tcPr>
                <w:p w14:paraId="196F20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3.0</w:t>
                  </w:r>
                </w:p>
              </w:tc>
              <w:tc>
                <w:tcPr>
                  <w:tcW w:w="561" w:type="pct"/>
                  <w:tcBorders>
                    <w:tl2br w:val="nil"/>
                    <w:tr2bl w:val="nil"/>
                  </w:tcBorders>
                  <w:shd w:val="clear" w:color="auto" w:fill="auto"/>
                  <w:noWrap w:val="0"/>
                  <w:vAlign w:val="center"/>
                </w:tcPr>
                <w:p w14:paraId="2CC4F2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w:t>
                  </w:r>
                </w:p>
              </w:tc>
              <w:tc>
                <w:tcPr>
                  <w:tcW w:w="611" w:type="pct"/>
                  <w:tcBorders>
                    <w:tl2br w:val="nil"/>
                    <w:tr2bl w:val="nil"/>
                  </w:tcBorders>
                  <w:shd w:val="clear" w:color="auto" w:fill="auto"/>
                  <w:noWrap w:val="0"/>
                  <w:vAlign w:val="center"/>
                </w:tcPr>
                <w:p w14:paraId="04733D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14:paraId="73ED462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479" w:type="pct"/>
                  <w:tcBorders>
                    <w:tl2br w:val="nil"/>
                    <w:tr2bl w:val="nil"/>
                  </w:tcBorders>
                  <w:shd w:val="clear" w:color="auto" w:fill="auto"/>
                  <w:noWrap w:val="0"/>
                  <w:vAlign w:val="center"/>
                </w:tcPr>
                <w:p w14:paraId="228A03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柴油罐</w:t>
                  </w:r>
                </w:p>
              </w:tc>
              <w:tc>
                <w:tcPr>
                  <w:tcW w:w="495" w:type="pct"/>
                  <w:tcBorders>
                    <w:tl2br w:val="nil"/>
                    <w:tr2bl w:val="nil"/>
                  </w:tcBorders>
                  <w:shd w:val="clear" w:color="auto" w:fill="auto"/>
                  <w:noWrap w:val="0"/>
                  <w:vAlign w:val="center"/>
                </w:tcPr>
                <w:p w14:paraId="2D2A98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w:t>
                  </w:r>
                </w:p>
              </w:tc>
              <w:tc>
                <w:tcPr>
                  <w:tcW w:w="561" w:type="pct"/>
                  <w:tcBorders>
                    <w:tl2br w:val="nil"/>
                    <w:tr2bl w:val="nil"/>
                  </w:tcBorders>
                  <w:shd w:val="clear" w:color="auto" w:fill="auto"/>
                  <w:noWrap w:val="0"/>
                  <w:vAlign w:val="center"/>
                </w:tcPr>
                <w:p w14:paraId="591ED3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572" w:type="pct"/>
                  <w:tcBorders>
                    <w:tl2br w:val="nil"/>
                    <w:tr2bl w:val="nil"/>
                  </w:tcBorders>
                  <w:shd w:val="clear" w:color="auto" w:fill="auto"/>
                  <w:noWrap w:val="0"/>
                  <w:vAlign w:val="center"/>
                </w:tcPr>
                <w:p w14:paraId="3039C1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c>
                <w:tcPr>
                  <w:tcW w:w="572" w:type="pct"/>
                  <w:tcBorders>
                    <w:tl2br w:val="nil"/>
                    <w:tr2bl w:val="nil"/>
                  </w:tcBorders>
                  <w:shd w:val="clear" w:color="auto" w:fill="auto"/>
                  <w:noWrap w:val="0"/>
                  <w:vAlign w:val="center"/>
                </w:tcPr>
                <w:p w14:paraId="71E59B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572" w:type="pct"/>
                  <w:tcBorders>
                    <w:tl2br w:val="nil"/>
                    <w:tr2bl w:val="nil"/>
                  </w:tcBorders>
                  <w:shd w:val="clear" w:color="auto" w:fill="auto"/>
                  <w:noWrap w:val="0"/>
                  <w:vAlign w:val="center"/>
                </w:tcPr>
                <w:p w14:paraId="257B53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c>
                <w:tcPr>
                  <w:tcW w:w="572" w:type="pct"/>
                  <w:tcBorders>
                    <w:tl2br w:val="nil"/>
                    <w:tr2bl w:val="nil"/>
                  </w:tcBorders>
                  <w:shd w:val="clear" w:color="auto" w:fill="auto"/>
                  <w:noWrap w:val="0"/>
                  <w:vAlign w:val="center"/>
                </w:tcPr>
                <w:p w14:paraId="061199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561" w:type="pct"/>
                  <w:tcBorders>
                    <w:tl2br w:val="nil"/>
                    <w:tr2bl w:val="nil"/>
                  </w:tcBorders>
                  <w:shd w:val="clear" w:color="auto" w:fill="auto"/>
                  <w:noWrap w:val="0"/>
                  <w:vAlign w:val="center"/>
                </w:tcPr>
                <w:p w14:paraId="6690AD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w:t>
                  </w:r>
                </w:p>
              </w:tc>
              <w:tc>
                <w:tcPr>
                  <w:tcW w:w="611" w:type="pct"/>
                  <w:tcBorders>
                    <w:tl2br w:val="nil"/>
                    <w:tr2bl w:val="nil"/>
                  </w:tcBorders>
                  <w:shd w:val="clear" w:color="auto" w:fill="auto"/>
                  <w:noWrap w:val="0"/>
                  <w:vAlign w:val="center"/>
                </w:tcPr>
                <w:p w14:paraId="1A5F2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bl>
          <w:p w14:paraId="431D9C00">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汽油设备与站外建（构）筑物安全距离一览表</w:t>
            </w:r>
          </w:p>
          <w:tbl>
            <w:tblPr>
              <w:tblStyle w:val="31"/>
              <w:tblW w:w="0" w:type="auto"/>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autofit"/>
              <w:tblCellMar>
                <w:top w:w="0" w:type="dxa"/>
                <w:left w:w="108" w:type="dxa"/>
                <w:bottom w:w="0" w:type="dxa"/>
                <w:right w:w="108" w:type="dxa"/>
              </w:tblCellMar>
            </w:tblPr>
            <w:tblGrid>
              <w:gridCol w:w="1092"/>
              <w:gridCol w:w="1324"/>
              <w:gridCol w:w="1368"/>
              <w:gridCol w:w="1943"/>
              <w:gridCol w:w="1690"/>
            </w:tblGrid>
            <w:tr w14:paraId="015B06B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70" w:hRule="atLeast"/>
                <w:jc w:val="center"/>
              </w:trPr>
              <w:tc>
                <w:tcPr>
                  <w:tcW w:w="1251" w:type="dxa"/>
                  <w:vMerge w:val="restart"/>
                  <w:tcBorders>
                    <w:tl2br w:val="nil"/>
                    <w:tr2bl w:val="nil"/>
                  </w:tcBorders>
                  <w:shd w:val="clear" w:color="auto" w:fill="auto"/>
                  <w:noWrap w:val="0"/>
                  <w:vAlign w:val="center"/>
                </w:tcPr>
                <w:p w14:paraId="443FA0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名称</w:t>
                  </w:r>
                </w:p>
              </w:tc>
              <w:tc>
                <w:tcPr>
                  <w:tcW w:w="3119" w:type="dxa"/>
                  <w:gridSpan w:val="2"/>
                  <w:tcBorders>
                    <w:tl2br w:val="nil"/>
                    <w:tr2bl w:val="nil"/>
                  </w:tcBorders>
                  <w:shd w:val="clear" w:color="auto" w:fill="auto"/>
                  <w:noWrap w:val="0"/>
                  <w:vAlign w:val="center"/>
                </w:tcPr>
                <w:p w14:paraId="7D3FC0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加油机、通气管</w:t>
                  </w:r>
                </w:p>
              </w:tc>
              <w:tc>
                <w:tcPr>
                  <w:tcW w:w="4277" w:type="dxa"/>
                  <w:gridSpan w:val="2"/>
                  <w:tcBorders>
                    <w:tl2br w:val="nil"/>
                    <w:tr2bl w:val="nil"/>
                  </w:tcBorders>
                  <w:shd w:val="clear" w:color="auto" w:fill="auto"/>
                  <w:noWrap w:val="0"/>
                  <w:vAlign w:val="center"/>
                </w:tcPr>
                <w:p w14:paraId="7AC3E8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汽油埋地卧罐</w:t>
                  </w:r>
                </w:p>
              </w:tc>
            </w:tr>
            <w:tr w14:paraId="0FEB37A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29" w:hRule="atLeast"/>
                <w:jc w:val="center"/>
              </w:trPr>
              <w:tc>
                <w:tcPr>
                  <w:tcW w:w="1251" w:type="dxa"/>
                  <w:vMerge w:val="continue"/>
                  <w:tcBorders>
                    <w:tl2br w:val="nil"/>
                    <w:tr2bl w:val="nil"/>
                  </w:tcBorders>
                  <w:shd w:val="clear" w:color="auto" w:fill="auto"/>
                  <w:noWrap w:val="0"/>
                  <w:vAlign w:val="center"/>
                </w:tcPr>
                <w:p w14:paraId="52B3F4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auto"/>
                      <w:sz w:val="21"/>
                      <w:szCs w:val="21"/>
                    </w:rPr>
                  </w:pPr>
                </w:p>
              </w:tc>
              <w:tc>
                <w:tcPr>
                  <w:tcW w:w="1532" w:type="dxa"/>
                  <w:tcBorders>
                    <w:tl2br w:val="nil"/>
                    <w:tr2bl w:val="nil"/>
                  </w:tcBorders>
                  <w:shd w:val="clear" w:color="auto" w:fill="auto"/>
                  <w:noWrap w:val="0"/>
                  <w:vAlign w:val="center"/>
                </w:tcPr>
                <w:p w14:paraId="5EA9AE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规范距离/m</w:t>
                  </w:r>
                </w:p>
              </w:tc>
              <w:tc>
                <w:tcPr>
                  <w:tcW w:w="1587" w:type="dxa"/>
                  <w:tcBorders>
                    <w:tl2br w:val="nil"/>
                    <w:tr2bl w:val="nil"/>
                  </w:tcBorders>
                  <w:shd w:val="clear" w:color="auto" w:fill="auto"/>
                  <w:noWrap w:val="0"/>
                  <w:vAlign w:val="center"/>
                </w:tcPr>
                <w:p w14:paraId="64EFB1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设计距离/m</w:t>
                  </w:r>
                </w:p>
              </w:tc>
              <w:tc>
                <w:tcPr>
                  <w:tcW w:w="2292" w:type="dxa"/>
                  <w:tcBorders>
                    <w:tl2br w:val="nil"/>
                    <w:tr2bl w:val="nil"/>
                  </w:tcBorders>
                  <w:shd w:val="clear" w:color="auto" w:fill="auto"/>
                  <w:noWrap w:val="0"/>
                  <w:vAlign w:val="center"/>
                </w:tcPr>
                <w:p w14:paraId="03CB0E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规范距离/m</w:t>
                  </w:r>
                </w:p>
              </w:tc>
              <w:tc>
                <w:tcPr>
                  <w:tcW w:w="1985" w:type="dxa"/>
                  <w:tcBorders>
                    <w:tl2br w:val="nil"/>
                    <w:tr2bl w:val="nil"/>
                  </w:tcBorders>
                  <w:shd w:val="clear" w:color="auto" w:fill="auto"/>
                  <w:noWrap w:val="0"/>
                  <w:vAlign w:val="center"/>
                </w:tcPr>
                <w:p w14:paraId="0941E9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设计距离/m</w:t>
                  </w:r>
                </w:p>
              </w:tc>
            </w:tr>
            <w:tr w14:paraId="131B580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1" w:hRule="atLeast"/>
                <w:jc w:val="center"/>
              </w:trPr>
              <w:tc>
                <w:tcPr>
                  <w:tcW w:w="1251" w:type="dxa"/>
                  <w:tcBorders>
                    <w:tl2br w:val="nil"/>
                    <w:tr2bl w:val="nil"/>
                  </w:tcBorders>
                  <w:shd w:val="clear" w:color="auto" w:fill="auto"/>
                  <w:noWrap w:val="0"/>
                  <w:vAlign w:val="center"/>
                </w:tcPr>
                <w:p w14:paraId="0B1FAD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站外道路</w:t>
                  </w:r>
                </w:p>
              </w:tc>
              <w:tc>
                <w:tcPr>
                  <w:tcW w:w="1532" w:type="dxa"/>
                  <w:tcBorders>
                    <w:tl2br w:val="nil"/>
                    <w:tr2bl w:val="nil"/>
                  </w:tcBorders>
                  <w:shd w:val="clear" w:color="auto" w:fill="auto"/>
                  <w:noWrap w:val="0"/>
                  <w:vAlign w:val="center"/>
                </w:tcPr>
                <w:p w14:paraId="4DAA30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5</w:t>
                  </w:r>
                </w:p>
              </w:tc>
              <w:tc>
                <w:tcPr>
                  <w:tcW w:w="1587" w:type="dxa"/>
                  <w:tcBorders>
                    <w:tl2br w:val="nil"/>
                    <w:tr2bl w:val="nil"/>
                  </w:tcBorders>
                  <w:shd w:val="clear" w:color="auto" w:fill="auto"/>
                  <w:noWrap w:val="0"/>
                  <w:vAlign w:val="center"/>
                </w:tcPr>
                <w:p w14:paraId="0CAC1E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30</w:t>
                  </w:r>
                </w:p>
              </w:tc>
              <w:tc>
                <w:tcPr>
                  <w:tcW w:w="2292" w:type="dxa"/>
                  <w:tcBorders>
                    <w:tl2br w:val="nil"/>
                    <w:tr2bl w:val="nil"/>
                  </w:tcBorders>
                  <w:shd w:val="clear" w:color="auto" w:fill="auto"/>
                  <w:noWrap w:val="0"/>
                  <w:vAlign w:val="center"/>
                </w:tcPr>
                <w:p w14:paraId="5AB3EB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5.5</w:t>
                  </w:r>
                </w:p>
              </w:tc>
              <w:tc>
                <w:tcPr>
                  <w:tcW w:w="1985" w:type="dxa"/>
                  <w:tcBorders>
                    <w:tl2br w:val="nil"/>
                    <w:tr2bl w:val="nil"/>
                  </w:tcBorders>
                  <w:shd w:val="clear" w:color="auto" w:fill="auto"/>
                  <w:noWrap w:val="0"/>
                  <w:vAlign w:val="center"/>
                </w:tcPr>
                <w:p w14:paraId="412E74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c>
            </w:tr>
          </w:tbl>
          <w:p w14:paraId="3FDD2A0A">
            <w:pPr>
              <w:keepNext w:val="0"/>
              <w:keepLines w:val="0"/>
              <w:pageBreakBefore w:val="0"/>
              <w:widowControl w:val="0"/>
              <w:wordWrap/>
              <w:bidi w:val="0"/>
              <w:adjustRightInd w:val="0"/>
              <w:snapToGrid w:val="0"/>
              <w:spacing w:line="440" w:lineRule="exact"/>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 xml:space="preserve">  柴油设备与站外建（构）筑物安全距离一览表</w:t>
            </w:r>
          </w:p>
          <w:tbl>
            <w:tblPr>
              <w:tblStyle w:val="31"/>
              <w:tblW w:w="0" w:type="auto"/>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autofit"/>
              <w:tblCellMar>
                <w:top w:w="0" w:type="dxa"/>
                <w:left w:w="108" w:type="dxa"/>
                <w:bottom w:w="0" w:type="dxa"/>
                <w:right w:w="108" w:type="dxa"/>
              </w:tblCellMar>
            </w:tblPr>
            <w:tblGrid>
              <w:gridCol w:w="1094"/>
              <w:gridCol w:w="1462"/>
              <w:gridCol w:w="1356"/>
              <w:gridCol w:w="1645"/>
              <w:gridCol w:w="1860"/>
            </w:tblGrid>
            <w:tr w14:paraId="717A6AC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456" w:hRule="atLeast"/>
                <w:jc w:val="center"/>
              </w:trPr>
              <w:tc>
                <w:tcPr>
                  <w:tcW w:w="1264" w:type="dxa"/>
                  <w:vMerge w:val="restart"/>
                  <w:tcBorders>
                    <w:tl2br w:val="nil"/>
                    <w:tr2bl w:val="nil"/>
                  </w:tcBorders>
                  <w:shd w:val="clear" w:color="auto" w:fill="auto"/>
                  <w:noWrap w:val="0"/>
                  <w:vAlign w:val="center"/>
                </w:tcPr>
                <w:p w14:paraId="4ACB8EC1">
                  <w:pPr>
                    <w:keepNext w:val="0"/>
                    <w:keepLines w:val="0"/>
                    <w:pageBreakBefore w:val="0"/>
                    <w:widowControl w:val="0"/>
                    <w:wordWrap/>
                    <w:bidi w:val="0"/>
                    <w:adjustRightInd w:val="0"/>
                    <w:snapToGrid w:val="0"/>
                    <w:spacing w:line="14" w:lineRule="atLeast"/>
                    <w:jc w:val="center"/>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名称</w:t>
                  </w:r>
                </w:p>
              </w:tc>
              <w:tc>
                <w:tcPr>
                  <w:tcW w:w="3307" w:type="dxa"/>
                  <w:gridSpan w:val="2"/>
                  <w:tcBorders>
                    <w:tl2br w:val="nil"/>
                    <w:tr2bl w:val="nil"/>
                  </w:tcBorders>
                  <w:shd w:val="clear" w:color="auto" w:fill="auto"/>
                  <w:noWrap w:val="0"/>
                  <w:vAlign w:val="center"/>
                </w:tcPr>
                <w:p w14:paraId="49BF7C37">
                  <w:pPr>
                    <w:keepNext w:val="0"/>
                    <w:keepLines w:val="0"/>
                    <w:pageBreakBefore w:val="0"/>
                    <w:widowControl w:val="0"/>
                    <w:wordWrap/>
                    <w:bidi w:val="0"/>
                    <w:adjustRightInd w:val="0"/>
                    <w:snapToGrid w:val="0"/>
                    <w:spacing w:line="14" w:lineRule="atLeast"/>
                    <w:jc w:val="center"/>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加油机、通气管</w:t>
                  </w:r>
                </w:p>
              </w:tc>
              <w:tc>
                <w:tcPr>
                  <w:tcW w:w="4168" w:type="dxa"/>
                  <w:gridSpan w:val="2"/>
                  <w:tcBorders>
                    <w:tl2br w:val="nil"/>
                    <w:tr2bl w:val="nil"/>
                  </w:tcBorders>
                  <w:shd w:val="clear" w:color="auto" w:fill="auto"/>
                  <w:noWrap w:val="0"/>
                  <w:vAlign w:val="center"/>
                </w:tcPr>
                <w:p w14:paraId="59ADF87A">
                  <w:pPr>
                    <w:keepNext w:val="0"/>
                    <w:keepLines w:val="0"/>
                    <w:pageBreakBefore w:val="0"/>
                    <w:widowControl w:val="0"/>
                    <w:wordWrap/>
                    <w:bidi w:val="0"/>
                    <w:adjustRightInd w:val="0"/>
                    <w:snapToGrid w:val="0"/>
                    <w:spacing w:line="14" w:lineRule="atLeast"/>
                    <w:jc w:val="center"/>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柴油埋地卧罐</w:t>
                  </w:r>
                </w:p>
              </w:tc>
            </w:tr>
            <w:tr w14:paraId="2B5050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47" w:hRule="atLeast"/>
                <w:jc w:val="center"/>
              </w:trPr>
              <w:tc>
                <w:tcPr>
                  <w:tcW w:w="1264" w:type="dxa"/>
                  <w:vMerge w:val="continue"/>
                  <w:tcBorders>
                    <w:tl2br w:val="nil"/>
                    <w:tr2bl w:val="nil"/>
                  </w:tcBorders>
                  <w:shd w:val="clear" w:color="auto" w:fill="auto"/>
                  <w:noWrap w:val="0"/>
                  <w:vAlign w:val="center"/>
                </w:tcPr>
                <w:p w14:paraId="5F0E59E3">
                  <w:pPr>
                    <w:keepNext w:val="0"/>
                    <w:keepLines w:val="0"/>
                    <w:pageBreakBefore w:val="0"/>
                    <w:widowControl w:val="0"/>
                    <w:wordWrap/>
                    <w:bidi w:val="0"/>
                    <w:adjustRightInd w:val="0"/>
                    <w:snapToGrid w:val="0"/>
                    <w:rPr>
                      <w:rFonts w:hint="default" w:ascii="Times New Roman" w:hAnsi="Times New Roman" w:cs="Times New Roman"/>
                      <w:b/>
                      <w:bCs/>
                      <w:color w:val="auto"/>
                      <w:sz w:val="21"/>
                      <w:szCs w:val="21"/>
                    </w:rPr>
                  </w:pPr>
                </w:p>
              </w:tc>
              <w:tc>
                <w:tcPr>
                  <w:tcW w:w="1720" w:type="dxa"/>
                  <w:tcBorders>
                    <w:tl2br w:val="nil"/>
                    <w:tr2bl w:val="nil"/>
                  </w:tcBorders>
                  <w:shd w:val="clear" w:color="auto" w:fill="auto"/>
                  <w:noWrap w:val="0"/>
                  <w:vAlign w:val="center"/>
                </w:tcPr>
                <w:p w14:paraId="3AB51D26">
                  <w:pPr>
                    <w:keepNext w:val="0"/>
                    <w:keepLines w:val="0"/>
                    <w:pageBreakBefore w:val="0"/>
                    <w:widowControl w:val="0"/>
                    <w:wordWrap/>
                    <w:bidi w:val="0"/>
                    <w:adjustRightInd w:val="0"/>
                    <w:snapToGrid w:val="0"/>
                    <w:spacing w:line="14" w:lineRule="atLeast"/>
                    <w:jc w:val="center"/>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规范距离/m</w:t>
                  </w:r>
                </w:p>
              </w:tc>
              <w:tc>
                <w:tcPr>
                  <w:tcW w:w="1587" w:type="dxa"/>
                  <w:tcBorders>
                    <w:tl2br w:val="nil"/>
                    <w:tr2bl w:val="nil"/>
                  </w:tcBorders>
                  <w:shd w:val="clear" w:color="auto" w:fill="auto"/>
                  <w:noWrap w:val="0"/>
                  <w:vAlign w:val="center"/>
                </w:tcPr>
                <w:p w14:paraId="286E78D6">
                  <w:pPr>
                    <w:keepNext w:val="0"/>
                    <w:keepLines w:val="0"/>
                    <w:pageBreakBefore w:val="0"/>
                    <w:widowControl w:val="0"/>
                    <w:wordWrap/>
                    <w:bidi w:val="0"/>
                    <w:adjustRightInd w:val="0"/>
                    <w:snapToGrid w:val="0"/>
                    <w:spacing w:line="14" w:lineRule="atLeast"/>
                    <w:jc w:val="center"/>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设计距离/m</w:t>
                  </w:r>
                </w:p>
              </w:tc>
              <w:tc>
                <w:tcPr>
                  <w:tcW w:w="1949" w:type="dxa"/>
                  <w:tcBorders>
                    <w:tl2br w:val="nil"/>
                    <w:tr2bl w:val="nil"/>
                  </w:tcBorders>
                  <w:shd w:val="clear" w:color="auto" w:fill="auto"/>
                  <w:noWrap w:val="0"/>
                  <w:vAlign w:val="center"/>
                </w:tcPr>
                <w:p w14:paraId="659FDDDB">
                  <w:pPr>
                    <w:keepNext w:val="0"/>
                    <w:keepLines w:val="0"/>
                    <w:pageBreakBefore w:val="0"/>
                    <w:widowControl w:val="0"/>
                    <w:wordWrap/>
                    <w:bidi w:val="0"/>
                    <w:adjustRightInd w:val="0"/>
                    <w:snapToGrid w:val="0"/>
                    <w:spacing w:line="14" w:lineRule="atLeast"/>
                    <w:jc w:val="center"/>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规范距离/m</w:t>
                  </w:r>
                </w:p>
              </w:tc>
              <w:tc>
                <w:tcPr>
                  <w:tcW w:w="2219" w:type="dxa"/>
                  <w:tcBorders>
                    <w:tl2br w:val="nil"/>
                    <w:tr2bl w:val="nil"/>
                  </w:tcBorders>
                  <w:shd w:val="clear" w:color="auto" w:fill="auto"/>
                  <w:noWrap w:val="0"/>
                  <w:vAlign w:val="center"/>
                </w:tcPr>
                <w:p w14:paraId="0913D3FF">
                  <w:pPr>
                    <w:keepNext w:val="0"/>
                    <w:keepLines w:val="0"/>
                    <w:pageBreakBefore w:val="0"/>
                    <w:widowControl w:val="0"/>
                    <w:wordWrap/>
                    <w:bidi w:val="0"/>
                    <w:adjustRightInd w:val="0"/>
                    <w:snapToGrid w:val="0"/>
                    <w:spacing w:line="14" w:lineRule="atLeast"/>
                    <w:jc w:val="center"/>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设计距离/m</w:t>
                  </w:r>
                </w:p>
              </w:tc>
            </w:tr>
            <w:tr w14:paraId="3D31CAE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83" w:hRule="atLeast"/>
                <w:jc w:val="center"/>
              </w:trPr>
              <w:tc>
                <w:tcPr>
                  <w:tcW w:w="1264" w:type="dxa"/>
                  <w:tcBorders>
                    <w:tl2br w:val="nil"/>
                    <w:tr2bl w:val="nil"/>
                  </w:tcBorders>
                  <w:shd w:val="clear" w:color="auto" w:fill="auto"/>
                  <w:noWrap w:val="0"/>
                  <w:vAlign w:val="center"/>
                </w:tcPr>
                <w:p w14:paraId="12BBC747">
                  <w:pPr>
                    <w:keepNext w:val="0"/>
                    <w:keepLines w:val="0"/>
                    <w:pageBreakBefore w:val="0"/>
                    <w:widowControl w:val="0"/>
                    <w:wordWrap/>
                    <w:bidi w:val="0"/>
                    <w:adjustRightInd w:val="0"/>
                    <w:snapToGrid w:val="0"/>
                    <w:spacing w:line="14" w:lineRule="atLeast"/>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站外道路</w:t>
                  </w:r>
                </w:p>
              </w:tc>
              <w:tc>
                <w:tcPr>
                  <w:tcW w:w="1720" w:type="dxa"/>
                  <w:tcBorders>
                    <w:tl2br w:val="nil"/>
                    <w:tr2bl w:val="nil"/>
                  </w:tcBorders>
                  <w:shd w:val="clear" w:color="auto" w:fill="auto"/>
                  <w:noWrap w:val="0"/>
                  <w:vAlign w:val="center"/>
                </w:tcPr>
                <w:p w14:paraId="13BF5937">
                  <w:pPr>
                    <w:keepNext w:val="0"/>
                    <w:keepLines w:val="0"/>
                    <w:pageBreakBefore w:val="0"/>
                    <w:widowControl w:val="0"/>
                    <w:wordWrap/>
                    <w:bidi w:val="0"/>
                    <w:adjustRightInd w:val="0"/>
                    <w:snapToGrid w:val="0"/>
                    <w:spacing w:line="14" w:lineRule="atLeast"/>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3</w:t>
                  </w:r>
                </w:p>
              </w:tc>
              <w:tc>
                <w:tcPr>
                  <w:tcW w:w="1587" w:type="dxa"/>
                  <w:tcBorders>
                    <w:tl2br w:val="nil"/>
                    <w:tr2bl w:val="nil"/>
                  </w:tcBorders>
                  <w:shd w:val="clear" w:color="auto" w:fill="auto"/>
                  <w:noWrap w:val="0"/>
                  <w:vAlign w:val="center"/>
                </w:tcPr>
                <w:p w14:paraId="73A72259">
                  <w:pPr>
                    <w:keepNext w:val="0"/>
                    <w:keepLines w:val="0"/>
                    <w:pageBreakBefore w:val="0"/>
                    <w:widowControl w:val="0"/>
                    <w:wordWrap/>
                    <w:bidi w:val="0"/>
                    <w:adjustRightInd w:val="0"/>
                    <w:snapToGrid w:val="0"/>
                    <w:spacing w:line="14" w:lineRule="atLeast"/>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40</w:t>
                  </w:r>
                </w:p>
              </w:tc>
              <w:tc>
                <w:tcPr>
                  <w:tcW w:w="1949" w:type="dxa"/>
                  <w:tcBorders>
                    <w:tl2br w:val="nil"/>
                    <w:tr2bl w:val="nil"/>
                  </w:tcBorders>
                  <w:shd w:val="clear" w:color="auto" w:fill="auto"/>
                  <w:noWrap w:val="0"/>
                  <w:vAlign w:val="center"/>
                </w:tcPr>
                <w:p w14:paraId="3839F644">
                  <w:pPr>
                    <w:keepNext w:val="0"/>
                    <w:keepLines w:val="0"/>
                    <w:pageBreakBefore w:val="0"/>
                    <w:widowControl w:val="0"/>
                    <w:wordWrap/>
                    <w:bidi w:val="0"/>
                    <w:adjustRightInd w:val="0"/>
                    <w:snapToGrid w:val="0"/>
                    <w:spacing w:line="14" w:lineRule="atLeast"/>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3</w:t>
                  </w:r>
                </w:p>
              </w:tc>
              <w:tc>
                <w:tcPr>
                  <w:tcW w:w="2219" w:type="dxa"/>
                  <w:tcBorders>
                    <w:tl2br w:val="nil"/>
                    <w:tr2bl w:val="nil"/>
                  </w:tcBorders>
                  <w:shd w:val="clear" w:color="auto" w:fill="auto"/>
                  <w:noWrap w:val="0"/>
                  <w:vAlign w:val="center"/>
                </w:tcPr>
                <w:p w14:paraId="3C8D8FF1">
                  <w:pPr>
                    <w:keepNext w:val="0"/>
                    <w:keepLines w:val="0"/>
                    <w:pageBreakBefore w:val="0"/>
                    <w:widowControl w:val="0"/>
                    <w:wordWrap/>
                    <w:bidi w:val="0"/>
                    <w:adjustRightInd w:val="0"/>
                    <w:snapToGrid w:val="0"/>
                    <w:spacing w:line="14"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c>
            </w:tr>
          </w:tbl>
          <w:p w14:paraId="21D2A46B">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根据《汽车加油加气加氢站技术标准》（GB50156-2021）中“站址选择”，开展本项目选址可行性分析，具体见表1-</w:t>
            </w:r>
            <w:r>
              <w:rPr>
                <w:rFonts w:hint="eastAsia"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55D89A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表1-</w:t>
            </w:r>
            <w:r>
              <w:rPr>
                <w:rFonts w:hint="eastAsia"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本项目站址选择符合性对照表</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2773"/>
              <w:gridCol w:w="3538"/>
              <w:gridCol w:w="656"/>
            </w:tblGrid>
            <w:tr w14:paraId="59968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0" w:type="auto"/>
                  <w:tcBorders>
                    <w:tl2br w:val="nil"/>
                    <w:tr2bl w:val="nil"/>
                  </w:tcBorders>
                  <w:noWrap w:val="0"/>
                  <w:vAlign w:val="center"/>
                </w:tcPr>
                <w:p w14:paraId="4DE0ED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0" w:type="auto"/>
                  <w:tcBorders>
                    <w:tl2br w:val="nil"/>
                    <w:tr2bl w:val="nil"/>
                  </w:tcBorders>
                  <w:noWrap w:val="0"/>
                  <w:vAlign w:val="center"/>
                </w:tcPr>
                <w:p w14:paraId="0FBC47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《汽车加油加气加氢站技术标准》（GB50156-2021）</w:t>
                  </w:r>
                </w:p>
              </w:tc>
              <w:tc>
                <w:tcPr>
                  <w:tcW w:w="3538" w:type="dxa"/>
                  <w:tcBorders>
                    <w:tl2br w:val="nil"/>
                    <w:tr2bl w:val="nil"/>
                  </w:tcBorders>
                  <w:noWrap w:val="0"/>
                  <w:vAlign w:val="center"/>
                </w:tcPr>
                <w:p w14:paraId="69A614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本项目情况</w:t>
                  </w:r>
                </w:p>
              </w:tc>
              <w:tc>
                <w:tcPr>
                  <w:tcW w:w="656" w:type="dxa"/>
                  <w:tcBorders>
                    <w:tl2br w:val="nil"/>
                    <w:tr2bl w:val="nil"/>
                  </w:tcBorders>
                  <w:noWrap w:val="0"/>
                  <w:vAlign w:val="center"/>
                </w:tcPr>
                <w:p w14:paraId="01251E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符合情况</w:t>
                  </w:r>
                </w:p>
              </w:tc>
            </w:tr>
            <w:tr w14:paraId="6BAF4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0" w:type="auto"/>
                  <w:tcBorders>
                    <w:tl2br w:val="nil"/>
                    <w:tr2bl w:val="nil"/>
                  </w:tcBorders>
                  <w:noWrap w:val="0"/>
                  <w:vAlign w:val="center"/>
                </w:tcPr>
                <w:p w14:paraId="7066DE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0" w:type="auto"/>
                  <w:tcBorders>
                    <w:tl2br w:val="nil"/>
                    <w:tr2bl w:val="nil"/>
                  </w:tcBorders>
                  <w:noWrap w:val="0"/>
                  <w:vAlign w:val="center"/>
                </w:tcPr>
                <w:p w14:paraId="0389F7E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加油加气站的站址选择，应符合城乡规划、环境保护和防火安全的要求，并应选在交通便利的地方。</w:t>
                  </w:r>
                </w:p>
              </w:tc>
              <w:tc>
                <w:tcPr>
                  <w:tcW w:w="3538" w:type="dxa"/>
                  <w:tcBorders>
                    <w:tl2br w:val="nil"/>
                    <w:tr2bl w:val="nil"/>
                  </w:tcBorders>
                  <w:noWrap w:val="0"/>
                  <w:vAlign w:val="center"/>
                </w:tcPr>
                <w:p w14:paraId="41C6A7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项目用地为商业用地</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（详见附件3）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，选址符合当地规划要求；项目按照</w:t>
                  </w:r>
                  <w:r>
                    <w:rPr>
                      <w:rFonts w:hint="eastAsia" w:cs="Times New Roman"/>
                      <w:b w:val="0"/>
                      <w:bCs w:val="0"/>
                      <w:color w:val="000000" w:themeColor="text1"/>
                      <w:sz w:val="21"/>
                      <w:szCs w:val="21"/>
                      <w:vertAlign w:val="baseline"/>
                      <w:lang w:val="en-US" w:eastAsia="zh-CN"/>
                      <w14:textFill>
                        <w14:solidFill>
                          <w14:schemeClr w14:val="tx1"/>
                        </w14:solidFill>
                      </w14:textFill>
                    </w:rPr>
                    <w:t>已设置三次</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油气回收系统等环保施、加强站区绿化，符合环境保护要求；项目选址与周边保护物满足防火安全要求（具体见表1-</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和1-</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6、1-7</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）；所在区域交通便利，符合要求。</w:t>
                  </w:r>
                </w:p>
              </w:tc>
              <w:tc>
                <w:tcPr>
                  <w:tcW w:w="656" w:type="dxa"/>
                  <w:tcBorders>
                    <w:tl2br w:val="nil"/>
                    <w:tr2bl w:val="nil"/>
                  </w:tcBorders>
                  <w:noWrap w:val="0"/>
                  <w:vAlign w:val="center"/>
                </w:tcPr>
                <w:p w14:paraId="6E9C13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44DDC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0" w:type="auto"/>
                  <w:tcBorders>
                    <w:tl2br w:val="nil"/>
                    <w:tr2bl w:val="nil"/>
                  </w:tcBorders>
                  <w:noWrap w:val="0"/>
                  <w:vAlign w:val="center"/>
                </w:tcPr>
                <w:p w14:paraId="2F3A20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0" w:type="auto"/>
                  <w:tcBorders>
                    <w:tl2br w:val="nil"/>
                    <w:tr2bl w:val="nil"/>
                  </w:tcBorders>
                  <w:noWrap w:val="0"/>
                  <w:vAlign w:val="center"/>
                </w:tcPr>
                <w:p w14:paraId="515423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在城市中心区不应建一级汽车加油加气加氢站、CNG加气母站</w:t>
                  </w:r>
                </w:p>
              </w:tc>
              <w:tc>
                <w:tcPr>
                  <w:tcW w:w="3538" w:type="dxa"/>
                  <w:tcBorders>
                    <w:tl2br w:val="nil"/>
                    <w:tr2bl w:val="nil"/>
                  </w:tcBorders>
                  <w:noWrap w:val="0"/>
                  <w:vAlign w:val="center"/>
                </w:tcPr>
                <w:p w14:paraId="0C3D4B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本项目为二级加油站，符合要求。</w:t>
                  </w:r>
                </w:p>
              </w:tc>
              <w:tc>
                <w:tcPr>
                  <w:tcW w:w="656" w:type="dxa"/>
                  <w:tcBorders>
                    <w:tl2br w:val="nil"/>
                    <w:tr2bl w:val="nil"/>
                  </w:tcBorders>
                  <w:noWrap w:val="0"/>
                  <w:vAlign w:val="center"/>
                </w:tcPr>
                <w:p w14:paraId="2899D3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24590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0" w:type="auto"/>
                  <w:tcBorders>
                    <w:tl2br w:val="nil"/>
                    <w:tr2bl w:val="nil"/>
                  </w:tcBorders>
                  <w:noWrap w:val="0"/>
                  <w:vAlign w:val="center"/>
                </w:tcPr>
                <w:p w14:paraId="6C65E6F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c>
                <w:tcPr>
                  <w:tcW w:w="0" w:type="auto"/>
                  <w:tcBorders>
                    <w:tl2br w:val="nil"/>
                    <w:tr2bl w:val="nil"/>
                  </w:tcBorders>
                  <w:noWrap w:val="0"/>
                  <w:vAlign w:val="center"/>
                </w:tcPr>
                <w:p w14:paraId="75AA506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城市建成区内的加油加气站，宜靠近城市道路，但不宜选在城市干道的交叉路口附近。</w:t>
                  </w:r>
                </w:p>
              </w:tc>
              <w:tc>
                <w:tcPr>
                  <w:tcW w:w="3538" w:type="dxa"/>
                  <w:tcBorders>
                    <w:tl2br w:val="nil"/>
                    <w:tr2bl w:val="nil"/>
                  </w:tcBorders>
                  <w:noWrap w:val="0"/>
                  <w:vAlign w:val="center"/>
                </w:tcPr>
                <w:p w14:paraId="140078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本项目不在城市干道的交叉路口附近，符合要求。</w:t>
                  </w:r>
                </w:p>
              </w:tc>
              <w:tc>
                <w:tcPr>
                  <w:tcW w:w="656" w:type="dxa"/>
                  <w:tcBorders>
                    <w:tl2br w:val="nil"/>
                    <w:tr2bl w:val="nil"/>
                  </w:tcBorders>
                  <w:noWrap w:val="0"/>
                  <w:vAlign w:val="center"/>
                </w:tcPr>
                <w:p w14:paraId="647E642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072CA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0" w:type="auto"/>
                  <w:tcBorders>
                    <w:tl2br w:val="nil"/>
                    <w:tr2bl w:val="nil"/>
                  </w:tcBorders>
                  <w:noWrap w:val="0"/>
                  <w:vAlign w:val="center"/>
                </w:tcPr>
                <w:p w14:paraId="4CAF4A0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c>
                <w:tcPr>
                  <w:tcW w:w="0" w:type="auto"/>
                  <w:tcBorders>
                    <w:tl2br w:val="nil"/>
                    <w:tr2bl w:val="nil"/>
                  </w:tcBorders>
                  <w:noWrap w:val="0"/>
                  <w:vAlign w:val="center"/>
                </w:tcPr>
                <w:p w14:paraId="0EBA45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加油站、加油加气合建站的汽油设备与站外建（构）筑物的安全间距，不应小于表4.0.4中规定。</w:t>
                  </w:r>
                </w:p>
              </w:tc>
              <w:tc>
                <w:tcPr>
                  <w:tcW w:w="3538" w:type="dxa"/>
                  <w:tcBorders>
                    <w:tl2br w:val="nil"/>
                    <w:tr2bl w:val="nil"/>
                  </w:tcBorders>
                  <w:noWrap w:val="0"/>
                  <w:vAlign w:val="center"/>
                </w:tcPr>
                <w:p w14:paraId="208183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经与技术标准中的安全间距对比，本项目油罐区与站外各个建（构）筑物的距离均符合要求。</w:t>
                  </w:r>
                </w:p>
              </w:tc>
              <w:tc>
                <w:tcPr>
                  <w:tcW w:w="656" w:type="dxa"/>
                  <w:tcBorders>
                    <w:tl2br w:val="nil"/>
                    <w:tr2bl w:val="nil"/>
                  </w:tcBorders>
                  <w:noWrap w:val="0"/>
                  <w:vAlign w:val="center"/>
                </w:tcPr>
                <w:p w14:paraId="1DBCE26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bl>
          <w:p w14:paraId="3DC2F7A7">
            <w:pPr>
              <w:pStyle w:val="56"/>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baseline"/>
              <w:rPr>
                <w:rFonts w:hint="default" w:ascii="Times New Roman" w:hAnsi="Times New Roman" w:eastAsia="宋体" w:cs="Times New Roman"/>
                <w:b/>
                <w:color w:val="000000" w:themeColor="text1"/>
                <w:kern w:val="24"/>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综上，本项目选址较为合理，具备项目建设条件。</w:t>
            </w:r>
          </w:p>
          <w:p w14:paraId="0D40B1E7">
            <w:pPr>
              <w:pStyle w:val="5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Times New Roman" w:hAnsi="Times New Roman" w:eastAsia="宋体" w:cs="Times New Roman"/>
                <w:b/>
                <w:color w:val="000000" w:themeColor="text1"/>
                <w:kern w:val="24"/>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24"/>
                <w:sz w:val="24"/>
                <w:szCs w:val="24"/>
                <w:highlight w:val="none"/>
                <w:lang w:val="en-US" w:eastAsia="zh-CN"/>
                <w14:textFill>
                  <w14:solidFill>
                    <w14:schemeClr w14:val="tx1"/>
                  </w14:solidFill>
                </w14:textFill>
              </w:rPr>
              <w:t>1.</w:t>
            </w:r>
            <w:r>
              <w:rPr>
                <w:rFonts w:hint="eastAsia" w:ascii="Times New Roman" w:hAnsi="Times New Roman" w:eastAsia="宋体" w:cs="Times New Roman"/>
                <w:b/>
                <w:color w:val="000000" w:themeColor="text1"/>
                <w:kern w:val="24"/>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kern w:val="24"/>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24"/>
                <w:sz w:val="24"/>
                <w:szCs w:val="24"/>
                <w:highlight w:val="none"/>
                <w14:textFill>
                  <w14:solidFill>
                    <w14:schemeClr w14:val="tx1"/>
                  </w14:solidFill>
                </w14:textFill>
              </w:rPr>
              <w:t>与“三线一单”符合性分析</w:t>
            </w:r>
          </w:p>
          <w:p w14:paraId="31B57F94">
            <w:pPr>
              <w:pStyle w:val="5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Times New Roman" w:hAnsi="Times New Roman" w:eastAsia="宋体" w:cs="Times New Roman"/>
                <w:b/>
                <w:bCs/>
                <w:color w:val="000000" w:themeColor="text1"/>
                <w:kern w:val="24"/>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24"/>
                <w:sz w:val="24"/>
                <w:szCs w:val="24"/>
                <w:highlight w:val="none"/>
                <w14:textFill>
                  <w14:solidFill>
                    <w14:schemeClr w14:val="tx1"/>
                  </w14:solidFill>
                </w14:textFill>
              </w:rPr>
              <w:t>与《新疆维吾尔自治区“三线一单”生态环境分区管控方案》合项分析</w:t>
            </w:r>
          </w:p>
          <w:p w14:paraId="0AF63250">
            <w:pPr>
              <w:pStyle w:val="56"/>
              <w:keepNext w:val="0"/>
              <w:keepLines w:val="0"/>
              <w:pageBreakBefore w:val="0"/>
              <w:widowControl w:val="0"/>
              <w:wordWrap/>
              <w:overflowPunct/>
              <w:autoSpaceDE/>
              <w:autoSpaceDN/>
              <w:bidi w:val="0"/>
              <w:adjustRightInd w:val="0"/>
              <w:snapToGrid w:val="0"/>
              <w:spacing w:line="360" w:lineRule="auto"/>
              <w:ind w:firstLine="480" w:firstLineChars="200"/>
              <w:rPr>
                <w:rFonts w:hint="default" w:ascii="Times New Roman" w:hAnsi="Times New Roman" w:eastAsia="宋体" w:cs="Times New Roman"/>
                <w:color w:val="000000" w:themeColor="text1"/>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根据《新疆维吾尔自治区“三线一单”生态环境分区管控方案》的通知（新政发</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2021</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18号）中提出的分区管控方案，具体位置详见新疆维吾尔自治区“三线一单”环境管控单元图，本项目与该方案符合性分析一览表，见表1-</w:t>
            </w:r>
            <w:r>
              <w:rPr>
                <w:rFonts w:hint="eastAsia"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w:t>
            </w:r>
          </w:p>
          <w:p w14:paraId="2B392AE5">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表1-</w:t>
            </w:r>
            <w:r>
              <w:rPr>
                <w:rFonts w:hint="eastAsia" w:ascii="Times New Roman" w:hAnsi="Times New Roman" w:eastAsia="宋体" w:cs="Times New Roman"/>
                <w:b/>
                <w:bCs/>
                <w:color w:val="000000" w:themeColor="text1"/>
                <w:kern w:val="24"/>
                <w:sz w:val="21"/>
                <w:szCs w:val="2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 xml:space="preserve">  与《新疆维吾尔自治区“三线一单”生态环境分区管控方案》</w:t>
            </w:r>
          </w:p>
          <w:p w14:paraId="620ED125">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符合性分析一览表</w:t>
            </w:r>
          </w:p>
          <w:tbl>
            <w:tblPr>
              <w:tblStyle w:val="3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7" w:type="dxa"/>
                <w:left w:w="57" w:type="dxa"/>
                <w:bottom w:w="57" w:type="dxa"/>
                <w:right w:w="57" w:type="dxa"/>
              </w:tblCellMar>
            </w:tblPr>
            <w:tblGrid>
              <w:gridCol w:w="442"/>
              <w:gridCol w:w="3319"/>
              <w:gridCol w:w="3257"/>
              <w:gridCol w:w="395"/>
            </w:tblGrid>
            <w:tr w14:paraId="3FC16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c>
                <w:tcPr>
                  <w:tcW w:w="2536" w:type="pct"/>
                  <w:gridSpan w:val="2"/>
                  <w:tcBorders>
                    <w:tl2br w:val="nil"/>
                    <w:tr2bl w:val="nil"/>
                  </w:tcBorders>
                  <w:noWrap w:val="0"/>
                  <w:vAlign w:val="center"/>
                </w:tcPr>
                <w:p w14:paraId="73AA9F0F">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生态环境分区管控方案要求</w:t>
                  </w:r>
                </w:p>
              </w:tc>
              <w:tc>
                <w:tcPr>
                  <w:tcW w:w="2196" w:type="pct"/>
                  <w:tcBorders>
                    <w:tl2br w:val="nil"/>
                    <w:tr2bl w:val="nil"/>
                  </w:tcBorders>
                  <w:noWrap w:val="0"/>
                  <w:vAlign w:val="center"/>
                </w:tcPr>
                <w:p w14:paraId="5D240DB5">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项目情况</w:t>
                  </w:r>
                </w:p>
              </w:tc>
              <w:tc>
                <w:tcPr>
                  <w:tcW w:w="266" w:type="pct"/>
                  <w:tcBorders>
                    <w:tl2br w:val="nil"/>
                    <w:tr2bl w:val="nil"/>
                  </w:tcBorders>
                  <w:noWrap w:val="0"/>
                  <w:vAlign w:val="center"/>
                </w:tcPr>
                <w:p w14:paraId="367046CC">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符合性</w:t>
                  </w:r>
                </w:p>
              </w:tc>
            </w:tr>
            <w:tr w14:paraId="3EB69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525" w:hRule="atLeast"/>
              </w:trPr>
              <w:tc>
                <w:tcPr>
                  <w:tcW w:w="298" w:type="pct"/>
                  <w:tcBorders>
                    <w:tl2br w:val="nil"/>
                    <w:tr2bl w:val="nil"/>
                  </w:tcBorders>
                  <w:noWrap w:val="0"/>
                  <w:vAlign w:val="center"/>
                </w:tcPr>
                <w:p w14:paraId="62CAC282">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生态保护红线</w:t>
                  </w:r>
                </w:p>
              </w:tc>
              <w:tc>
                <w:tcPr>
                  <w:tcW w:w="2238" w:type="pct"/>
                  <w:tcBorders>
                    <w:tl2br w:val="nil"/>
                    <w:tr2bl w:val="nil"/>
                  </w:tcBorders>
                  <w:noWrap w:val="0"/>
                  <w:vAlign w:val="center"/>
                </w:tcPr>
                <w:p w14:paraId="7AD49BEB">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按照“生态功能不降低、面积不减少、性质不改变”的基本要求，对划定的生态保护红线实施严格管控，保障和维护国家生态安全的底线和生命线。</w:t>
                  </w:r>
                </w:p>
              </w:tc>
              <w:tc>
                <w:tcPr>
                  <w:tcW w:w="2196" w:type="pct"/>
                  <w:tcBorders>
                    <w:tl2br w:val="nil"/>
                    <w:tr2bl w:val="nil"/>
                  </w:tcBorders>
                  <w:noWrap w:val="0"/>
                  <w:vAlign w:val="center"/>
                </w:tcPr>
                <w:p w14:paraId="728C98BF">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本项目位于</w:t>
                  </w:r>
                  <w:r>
                    <w:rPr>
                      <w:rFonts w:hint="eastAsia" w:ascii="Times New Roman" w:hAnsi="Times New Roman" w:eastAsia="宋体" w:cs="Times New Roman"/>
                      <w:color w:val="000000" w:themeColor="text1"/>
                      <w:kern w:val="24"/>
                      <w:sz w:val="21"/>
                      <w:szCs w:val="21"/>
                      <w:highlight w:val="none"/>
                      <w:lang w:eastAsia="zh-CN"/>
                      <w14:textFill>
                        <w14:solidFill>
                          <w14:schemeClr w14:val="tx1"/>
                        </w14:solidFill>
                      </w14:textFill>
                    </w:rPr>
                    <w:t>新疆维吾尔自治区昌吉回族自治州玛纳斯县玛纳斯镇乌伊西路242号</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，不占用永久基本农田，不占用耕地，</w:t>
                  </w: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根据202</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日</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取得的</w:t>
                  </w:r>
                  <w:r>
                    <w:rPr>
                      <w:rFonts w:hint="eastAsia" w:ascii="Times New Roman" w:hAnsi="Times New Roman" w:eastAsia="宋体" w:cs="Times New Roman"/>
                      <w:color w:val="000000" w:themeColor="text1"/>
                      <w:kern w:val="24"/>
                      <w:sz w:val="21"/>
                      <w:szCs w:val="21"/>
                      <w:highlight w:val="none"/>
                      <w:lang w:eastAsia="zh-CN"/>
                      <w14:textFill>
                        <w14:solidFill>
                          <w14:schemeClr w14:val="tx1"/>
                        </w14:solidFill>
                      </w14:textFill>
                    </w:rPr>
                    <w:t>玛纳斯县</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自然资源局出具</w:t>
                  </w: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的《</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不动产证</w:t>
                  </w: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》（详见附件3），项目所在规划用途为商业用地</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本项目用地不涉及生态红线保护区域。</w:t>
                  </w:r>
                </w:p>
              </w:tc>
              <w:tc>
                <w:tcPr>
                  <w:tcW w:w="266" w:type="pct"/>
                  <w:tcBorders>
                    <w:tl2br w:val="nil"/>
                    <w:tr2bl w:val="nil"/>
                  </w:tcBorders>
                  <w:noWrap w:val="0"/>
                  <w:vAlign w:val="center"/>
                </w:tcPr>
                <w:p w14:paraId="1001A1B5">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符合</w:t>
                  </w:r>
                </w:p>
              </w:tc>
            </w:tr>
            <w:tr w14:paraId="55D19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c>
                <w:tcPr>
                  <w:tcW w:w="298" w:type="pct"/>
                  <w:tcBorders>
                    <w:tl2br w:val="nil"/>
                    <w:tr2bl w:val="nil"/>
                  </w:tcBorders>
                  <w:noWrap w:val="0"/>
                  <w:vAlign w:val="center"/>
                </w:tcPr>
                <w:p w14:paraId="6119CEE8">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环境质量底线</w:t>
                  </w:r>
                </w:p>
              </w:tc>
              <w:tc>
                <w:tcPr>
                  <w:tcW w:w="2238" w:type="pct"/>
                  <w:tcBorders>
                    <w:tl2br w:val="nil"/>
                    <w:tr2bl w:val="nil"/>
                  </w:tcBorders>
                  <w:noWrap w:val="0"/>
                  <w:vAlign w:val="center"/>
                </w:tcPr>
                <w:p w14:paraId="754EABB9">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4"/>
                      <w:sz w:val="21"/>
                      <w:szCs w:val="21"/>
                      <w:highlight w:val="none"/>
                      <w14:textFill>
                        <w14:solidFill>
                          <w14:schemeClr w14:val="tx1"/>
                        </w14:solidFill>
                      </w14:textFill>
                    </w:rPr>
                    <w:t>全区水环境质量持续改善，受污染地表水体得到有效治理，饮用水安全保障水平持续提升，地下水超采得到严格控制，地下水水质保持稳定；全区环境空气质量有所提升，重污染天数持续减少，已达标城市环境空气保持稳定，未达标城市环境空气质量持续改善，沙尘影响严重地区</w:t>
                  </w:r>
                  <w:r>
                    <w:rPr>
                      <w:rFonts w:hint="default" w:ascii="Times New Roman" w:hAnsi="Times New Roman" w:eastAsia="宋体" w:cs="Times New Roman"/>
                      <w:bCs/>
                      <w:color w:val="000000" w:themeColor="text1"/>
                      <w:kern w:val="24"/>
                      <w:sz w:val="21"/>
                      <w:szCs w:val="21"/>
                      <w:highlight w:val="none"/>
                      <w:lang w:eastAsia="zh-CN"/>
                      <w14:textFill>
                        <w14:solidFill>
                          <w14:schemeClr w14:val="tx1"/>
                        </w14:solidFill>
                      </w14:textFill>
                    </w:rPr>
                    <w:t>做</w:t>
                  </w:r>
                  <w:r>
                    <w:rPr>
                      <w:rFonts w:hint="default" w:ascii="Times New Roman" w:hAnsi="Times New Roman" w:eastAsia="宋体" w:cs="Times New Roman"/>
                      <w:bCs/>
                      <w:color w:val="000000" w:themeColor="text1"/>
                      <w:kern w:val="24"/>
                      <w:sz w:val="21"/>
                      <w:szCs w:val="21"/>
                      <w:highlight w:val="none"/>
                      <w14:textFill>
                        <w14:solidFill>
                          <w14:schemeClr w14:val="tx1"/>
                        </w14:solidFill>
                      </w14:textFill>
                    </w:rPr>
                    <w:t>好防风固沙、生态环境保护修复等工作；全区土壤环境质量保持稳定，污染地块安全利用水平稳中有升，土壤环境风险得到进一步管控。</w:t>
                  </w:r>
                </w:p>
              </w:tc>
              <w:tc>
                <w:tcPr>
                  <w:tcW w:w="2196" w:type="pct"/>
                  <w:tcBorders>
                    <w:tl2br w:val="nil"/>
                    <w:tr2bl w:val="nil"/>
                  </w:tcBorders>
                  <w:noWrap w:val="0"/>
                  <w:vAlign w:val="center"/>
                </w:tcPr>
                <w:p w14:paraId="5881409A">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eastAsia" w:ascii="Times New Roman" w:hAnsi="Times New Roman" w:eastAsia="宋体" w:cs="Times New Roman"/>
                      <w:b w:val="0"/>
                      <w:bCs/>
                      <w:color w:val="000000" w:themeColor="text1"/>
                      <w:kern w:val="24"/>
                      <w:sz w:val="21"/>
                      <w:szCs w:val="21"/>
                      <w:highlight w:val="none"/>
                      <w:vertAlign w:val="baseline"/>
                      <w:lang w:eastAsia="zh-CN"/>
                      <w14:textFill>
                        <w14:solidFill>
                          <w14:schemeClr w14:val="tx1"/>
                        </w14:solidFill>
                      </w14:textFill>
                    </w:rPr>
                    <w:t>本项目</w:t>
                  </w:r>
                  <w:r>
                    <w:rPr>
                      <w:rFonts w:hint="eastAsia" w:cs="Times New Roman"/>
                      <w:color w:val="000000" w:themeColor="text1"/>
                      <w:sz w:val="21"/>
                      <w:szCs w:val="21"/>
                      <w:highlight w:val="none"/>
                      <w:vertAlign w:val="baseline"/>
                      <w:lang w:val="en-US" w:eastAsia="zh-CN"/>
                      <w14:textFill>
                        <w14:solidFill>
                          <w14:schemeClr w14:val="tx1"/>
                        </w14:solidFill>
                      </w14:textFill>
                    </w:rPr>
                    <w:t>生活废水排入污水管网，洗车废水经隔油沉淀池处理后回排入污水管网，最终纳入污水处理厂处理</w:t>
                  </w:r>
                  <w:r>
                    <w:rPr>
                      <w:rFonts w:hint="default" w:ascii="Times New Roman" w:hAnsi="Times New Roman" w:eastAsia="宋体" w:cs="Times New Roman"/>
                      <w:b w:val="0"/>
                      <w:bCs/>
                      <w:color w:val="000000" w:themeColor="text1"/>
                      <w:kern w:val="24"/>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废气中的污染物主要为非甲烷总烃，经过相应的环保设施处理后达标排放，对区域环境空气质量影响较小。本项目正常运营前加强绿化，并做好防风固沙工作，采取以上措施后对</w:t>
                  </w:r>
                  <w:r>
                    <w:rPr>
                      <w:rFonts w:hint="default" w:ascii="Times New Roman" w:hAnsi="Times New Roman" w:eastAsia="宋体" w:cs="Times New Roman"/>
                      <w:bCs/>
                      <w:color w:val="000000" w:themeColor="text1"/>
                      <w:kern w:val="24"/>
                      <w:sz w:val="21"/>
                      <w:szCs w:val="21"/>
                      <w:highlight w:val="none"/>
                      <w14:textFill>
                        <w14:solidFill>
                          <w14:schemeClr w14:val="tx1"/>
                        </w14:solidFill>
                      </w14:textFill>
                    </w:rPr>
                    <w:t>土壤环境风险得到进一步管控</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w:t>
                  </w:r>
                </w:p>
              </w:tc>
              <w:tc>
                <w:tcPr>
                  <w:tcW w:w="266" w:type="pct"/>
                  <w:tcBorders>
                    <w:tl2br w:val="nil"/>
                    <w:tr2bl w:val="nil"/>
                  </w:tcBorders>
                  <w:noWrap w:val="0"/>
                  <w:vAlign w:val="center"/>
                </w:tcPr>
                <w:p w14:paraId="27864127">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符合</w:t>
                  </w:r>
                </w:p>
              </w:tc>
            </w:tr>
            <w:tr w14:paraId="22A27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90" w:hRule="atLeast"/>
              </w:trPr>
              <w:tc>
                <w:tcPr>
                  <w:tcW w:w="298" w:type="pct"/>
                  <w:tcBorders>
                    <w:tl2br w:val="nil"/>
                    <w:tr2bl w:val="nil"/>
                  </w:tcBorders>
                  <w:noWrap w:val="0"/>
                  <w:vAlign w:val="center"/>
                </w:tcPr>
                <w:p w14:paraId="4177B485">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资源利用上线</w:t>
                  </w:r>
                </w:p>
              </w:tc>
              <w:tc>
                <w:tcPr>
                  <w:tcW w:w="2238" w:type="pct"/>
                  <w:tcBorders>
                    <w:tl2br w:val="nil"/>
                    <w:tr2bl w:val="nil"/>
                  </w:tcBorders>
                  <w:noWrap w:val="0"/>
                  <w:vAlign w:val="center"/>
                </w:tcPr>
                <w:p w14:paraId="1A648CE6">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4"/>
                      <w:sz w:val="21"/>
                      <w:szCs w:val="21"/>
                      <w:highlight w:val="none"/>
                      <w14:textFill>
                        <w14:solidFill>
                          <w14:schemeClr w14:val="tx1"/>
                        </w14:solidFill>
                      </w14:textFill>
                    </w:rPr>
                    <w:t>强化节约集约利用，持续提升资源能源利用效率、水资源、土地资源、能源消耗等达到国家、自治区下达的总量和总强度控制目标。加快区域低碳发展，积极推动乌鲁木齐市、昌吉市、伊宁市、和田市等4个国家低碳试点城市发挥低碳试点示范和引领作用。</w:t>
                  </w:r>
                </w:p>
              </w:tc>
              <w:tc>
                <w:tcPr>
                  <w:tcW w:w="2196" w:type="pct"/>
                  <w:tcBorders>
                    <w:tl2br w:val="nil"/>
                    <w:tr2bl w:val="nil"/>
                  </w:tcBorders>
                  <w:noWrap w:val="0"/>
                  <w:vAlign w:val="center"/>
                </w:tcPr>
                <w:p w14:paraId="4AAC869E">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本项目为</w:t>
                  </w:r>
                  <w:r>
                    <w:rPr>
                      <w:rFonts w:hint="eastAsia" w:ascii="Times New Roman" w:hAnsi="Times New Roman" w:eastAsia="宋体" w:cs="Times New Roman"/>
                      <w:color w:val="000000" w:themeColor="text1"/>
                      <w:kern w:val="24"/>
                      <w:sz w:val="21"/>
                      <w:szCs w:val="21"/>
                      <w:highlight w:val="none"/>
                      <w:lang w:eastAsia="zh-CN"/>
                      <w14:textFill>
                        <w14:solidFill>
                          <w14:schemeClr w14:val="tx1"/>
                        </w14:solidFill>
                      </w14:textFill>
                    </w:rPr>
                    <w:t>加油站建设</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项目，正常运营主要消耗的资源为水和电，本项目资源消耗量相对于区域资源利用量较小，符合资源利用上线要求。</w:t>
                  </w:r>
                </w:p>
              </w:tc>
              <w:tc>
                <w:tcPr>
                  <w:tcW w:w="266" w:type="pct"/>
                  <w:tcBorders>
                    <w:tl2br w:val="nil"/>
                    <w:tr2bl w:val="nil"/>
                  </w:tcBorders>
                  <w:noWrap w:val="0"/>
                  <w:vAlign w:val="center"/>
                </w:tcPr>
                <w:p w14:paraId="5298C893">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符合</w:t>
                  </w:r>
                </w:p>
              </w:tc>
            </w:tr>
          </w:tbl>
          <w:p w14:paraId="5116DF22">
            <w:pPr>
              <w:pStyle w:val="56"/>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baseline"/>
              <w:rPr>
                <w:rFonts w:hint="default"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t xml:space="preserve">1.3.2 </w:t>
            </w:r>
            <w:r>
              <w:rPr>
                <w:rFonts w:hint="default"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t>与</w:t>
            </w:r>
            <w:r>
              <w:rPr>
                <w:rFonts w:hint="default" w:ascii="Times New Roman" w:hAnsi="Times New Roman" w:eastAsia="宋体" w:cs="Times New Roman"/>
                <w:b/>
                <w:bCs/>
                <w:color w:val="000000" w:themeColor="text1"/>
                <w:kern w:val="24"/>
                <w:sz w:val="24"/>
                <w:szCs w:val="24"/>
                <w:highlight w:val="none"/>
                <w:u w:val="none"/>
                <w:lang w:val="en-US" w:eastAsia="zh-CN"/>
                <w14:textFill>
                  <w14:solidFill>
                    <w14:schemeClr w14:val="tx1"/>
                  </w14:solidFill>
                </w14:textFill>
              </w:rPr>
              <w:t>《新疆维吾尔自治区七大片区“三线一单”生态环境分区管控要求》（新环环评发〔2021〕162号）符合性分析</w:t>
            </w:r>
          </w:p>
          <w:p w14:paraId="3EA5AD94">
            <w:pPr>
              <w:pStyle w:val="5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themeColor="text1"/>
                <w:kern w:val="24"/>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24"/>
                <w:sz w:val="24"/>
                <w:szCs w:val="24"/>
                <w:u w:val="none"/>
                <w:lang w:val="en-US" w:eastAsia="zh-CN"/>
                <w14:textFill>
                  <w14:solidFill>
                    <w14:schemeClr w14:val="tx1"/>
                  </w14:solidFill>
                </w14:textFill>
              </w:rPr>
              <w:t>与《新疆维吾尔自治区七大片区“三线一单”生态环境分区管控要求》（新环环评发〔2021〕162号）符合性分析详见表1-</w:t>
            </w:r>
            <w:r>
              <w:rPr>
                <w:rFonts w:hint="eastAsia" w:ascii="Times New Roman" w:hAnsi="Times New Roman" w:eastAsia="宋体" w:cs="Times New Roman"/>
                <w:b w:val="0"/>
                <w:bCs w:val="0"/>
                <w:color w:val="000000" w:themeColor="text1"/>
                <w:kern w:val="24"/>
                <w:sz w:val="24"/>
                <w:szCs w:val="24"/>
                <w:u w:val="no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kern w:val="24"/>
                <w:sz w:val="24"/>
                <w:szCs w:val="24"/>
                <w:lang w:val="en-US" w:eastAsia="zh-CN" w:bidi="ar"/>
                <w14:textFill>
                  <w14:solidFill>
                    <w14:schemeClr w14:val="tx1"/>
                  </w14:solidFill>
                </w14:textFill>
              </w:rPr>
              <w:t>。</w:t>
            </w:r>
          </w:p>
          <w:p w14:paraId="58278B60">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表1-</w:t>
            </w:r>
            <w:r>
              <w:rPr>
                <w:rFonts w:hint="eastAsia" w:ascii="Times New Roman" w:hAnsi="Times New Roman" w:eastAsia="宋体" w:cs="Times New Roman"/>
                <w:b/>
                <w:bCs/>
                <w:color w:val="000000" w:themeColor="text1"/>
                <w:kern w:val="24"/>
                <w:sz w:val="21"/>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 xml:space="preserve"> 与《新疆维吾尔自治区七大片区“三线一单”生态环境分区管控要求》</w:t>
            </w:r>
          </w:p>
          <w:p w14:paraId="0FF1BF45">
            <w:pPr>
              <w:pStyle w:val="56"/>
              <w:keepNext w:val="0"/>
              <w:keepLines w:val="0"/>
              <w:pageBreakBefore w:val="0"/>
              <w:widowControl w:val="0"/>
              <w:wordWrap/>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符合性分析一览表</w:t>
            </w:r>
          </w:p>
          <w:tbl>
            <w:tblPr>
              <w:tblStyle w:val="3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7" w:type="dxa"/>
                <w:left w:w="57" w:type="dxa"/>
                <w:bottom w:w="57" w:type="dxa"/>
                <w:right w:w="57" w:type="dxa"/>
              </w:tblCellMar>
            </w:tblPr>
            <w:tblGrid>
              <w:gridCol w:w="442"/>
              <w:gridCol w:w="3620"/>
              <w:gridCol w:w="2956"/>
              <w:gridCol w:w="395"/>
            </w:tblGrid>
            <w:tr w14:paraId="1CA82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c>
                <w:tcPr>
                  <w:tcW w:w="2739" w:type="pct"/>
                  <w:gridSpan w:val="2"/>
                  <w:tcBorders>
                    <w:tl2br w:val="nil"/>
                    <w:tr2bl w:val="nil"/>
                  </w:tcBorders>
                  <w:noWrap w:val="0"/>
                  <w:vAlign w:val="center"/>
                </w:tcPr>
                <w:p w14:paraId="3EA9C0CE">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生态环境分区管控方案要求</w:t>
                  </w:r>
                </w:p>
              </w:tc>
              <w:tc>
                <w:tcPr>
                  <w:tcW w:w="1993" w:type="pct"/>
                  <w:tcBorders>
                    <w:tl2br w:val="nil"/>
                    <w:tr2bl w:val="nil"/>
                  </w:tcBorders>
                  <w:noWrap w:val="0"/>
                  <w:vAlign w:val="center"/>
                </w:tcPr>
                <w:p w14:paraId="761606B8">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项目情况</w:t>
                  </w:r>
                </w:p>
              </w:tc>
              <w:tc>
                <w:tcPr>
                  <w:tcW w:w="266" w:type="pct"/>
                  <w:tcBorders>
                    <w:tl2br w:val="nil"/>
                    <w:tr2bl w:val="nil"/>
                  </w:tcBorders>
                  <w:noWrap w:val="0"/>
                  <w:vAlign w:val="center"/>
                </w:tcPr>
                <w:p w14:paraId="44D436AC">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符合性</w:t>
                  </w:r>
                </w:p>
              </w:tc>
            </w:tr>
            <w:tr w14:paraId="5DE9B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525" w:hRule="atLeast"/>
              </w:trPr>
              <w:tc>
                <w:tcPr>
                  <w:tcW w:w="298" w:type="pct"/>
                  <w:tcBorders>
                    <w:tl2br w:val="nil"/>
                    <w:tr2bl w:val="nil"/>
                  </w:tcBorders>
                  <w:noWrap w:val="0"/>
                  <w:vAlign w:val="center"/>
                </w:tcPr>
                <w:p w14:paraId="68DDCA79">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kern w:val="24"/>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vertAlign w:val="baseline"/>
                      <w:lang w:val="en-US" w:eastAsia="zh-CN"/>
                      <w14:textFill>
                        <w14:solidFill>
                          <w14:schemeClr w14:val="tx1"/>
                        </w14:solidFill>
                      </w14:textFill>
                    </w:rPr>
                    <w:t>空间约束布局</w:t>
                  </w:r>
                </w:p>
              </w:tc>
              <w:tc>
                <w:tcPr>
                  <w:tcW w:w="2441" w:type="pct"/>
                  <w:tcBorders>
                    <w:tl2br w:val="nil"/>
                    <w:tr2bl w:val="nil"/>
                  </w:tcBorders>
                  <w:noWrap w:val="0"/>
                  <w:vAlign w:val="center"/>
                </w:tcPr>
                <w:p w14:paraId="7AFFA50E">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严格执行国家、自治区产业政策和环境准入要求，严禁“三高”项目进新疆，坚决遏制“两高”项目盲目发展。不得在水源涵养区、饮用水水源保护区内和河流、湖泊、水库周围建设重化工、涉重金属等工业污染项目。推动项目集聚发展，新建、改建、扩建工业项目原则上应布置于由县级及以上人民政府批准建立、环境保护基础设施完善的产业园区、工业聚集区或规划矿区，并且符合相关规划和规划环评要求。</w:t>
                  </w:r>
                </w:p>
              </w:tc>
              <w:tc>
                <w:tcPr>
                  <w:tcW w:w="1993" w:type="pct"/>
                  <w:tcBorders>
                    <w:tl2br w:val="nil"/>
                    <w:tr2bl w:val="nil"/>
                  </w:tcBorders>
                  <w:noWrap w:val="0"/>
                  <w:vAlign w:val="center"/>
                </w:tcPr>
                <w:p w14:paraId="36626D6B">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本项目位于新疆维吾尔自治区昌吉回族自治州玛纳斯县玛纳斯镇乌伊西路242号</w:t>
                  </w: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，根据202</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日</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取得的</w:t>
                  </w:r>
                  <w:r>
                    <w:rPr>
                      <w:rFonts w:hint="eastAsia" w:ascii="Times New Roman" w:hAnsi="Times New Roman" w:eastAsia="宋体" w:cs="Times New Roman"/>
                      <w:color w:val="000000" w:themeColor="text1"/>
                      <w:kern w:val="24"/>
                      <w:sz w:val="21"/>
                      <w:szCs w:val="21"/>
                      <w:highlight w:val="none"/>
                      <w:lang w:eastAsia="zh-CN"/>
                      <w14:textFill>
                        <w14:solidFill>
                          <w14:schemeClr w14:val="tx1"/>
                        </w14:solidFill>
                      </w14:textFill>
                    </w:rPr>
                    <w:t>玛纳斯县</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自然资源局出具</w:t>
                  </w: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的《</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不动产证</w:t>
                  </w: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》（详见附件3），项目所在规划用途为商业用地；</w:t>
                  </w:r>
                </w:p>
                <w:p w14:paraId="1B5FAB1C">
                  <w:pPr>
                    <w:pStyle w:val="56"/>
                    <w:keepNext w:val="0"/>
                    <w:keepLines w:val="0"/>
                    <w:pageBreakBefore w:val="0"/>
                    <w:widowControl w:val="0"/>
                    <w:wordWrap/>
                    <w:autoSpaceDE/>
                    <w:autoSpaceDN/>
                    <w:bidi w:val="0"/>
                    <w:adjustRightInd w:val="0"/>
                    <w:snapToGrid w:val="0"/>
                    <w:spacing w:line="240" w:lineRule="auto"/>
                    <w:ind w:firstLine="0" w:firstLineChars="0"/>
                    <w:rPr>
                      <w:rFonts w:hint="default" w:ascii="Times New Roman" w:hAnsi="Times New Roman" w:eastAsia="宋体" w:cs="Times New Roman"/>
                      <w:b w:val="0"/>
                      <w:bCs/>
                      <w:color w:val="000000" w:themeColor="text1"/>
                      <w:kern w:val="24"/>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2.本项目周边无</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饮用水水源保护区和河流、湖泊、水库</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等</w:t>
                  </w:r>
                  <w:r>
                    <w:rPr>
                      <w:rFonts w:hint="eastAsia" w:ascii="Times New Roman" w:hAnsi="Times New Roman" w:eastAsia="宋体" w:cs="Times New Roman"/>
                      <w:color w:val="000000" w:themeColor="text1"/>
                      <w:kern w:val="24"/>
                      <w:sz w:val="21"/>
                      <w:szCs w:val="21"/>
                      <w:highlight w:val="none"/>
                      <w:lang w:eastAsia="zh-CN"/>
                      <w14:textFill>
                        <w14:solidFill>
                          <w14:schemeClr w14:val="tx1"/>
                        </w14:solidFill>
                      </w14:textFill>
                    </w:rPr>
                    <w:t>；</w:t>
                  </w:r>
                </w:p>
                <w:p w14:paraId="1578593D">
                  <w:pPr>
                    <w:pStyle w:val="56"/>
                    <w:keepNext w:val="0"/>
                    <w:keepLines w:val="0"/>
                    <w:pageBreakBefore w:val="0"/>
                    <w:widowControl w:val="0"/>
                    <w:wordWrap/>
                    <w:autoSpaceDE/>
                    <w:autoSpaceDN/>
                    <w:bidi w:val="0"/>
                    <w:adjustRightInd w:val="0"/>
                    <w:snapToGrid w:val="0"/>
                    <w:spacing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4"/>
                      <w:sz w:val="21"/>
                      <w:szCs w:val="21"/>
                      <w:highlight w:val="none"/>
                      <w:vertAlign w:val="baseli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24"/>
                      <w:sz w:val="21"/>
                      <w:szCs w:val="21"/>
                      <w:highlight w:val="none"/>
                      <w:lang w:val="en-US" w:eastAsia="zh-CN"/>
                      <w14:textFill>
                        <w14:solidFill>
                          <w14:schemeClr w14:val="tx1"/>
                        </w14:solidFill>
                      </w14:textFill>
                    </w:rPr>
                    <w:t>本项目针</w:t>
                  </w:r>
                  <w:r>
                    <w:rPr>
                      <w:rFonts w:hint="eastAsia" w:ascii="Times New Roman" w:hAnsi="Times New Roman" w:eastAsia="宋体" w:cs="Times New Roman"/>
                      <w:b w:val="0"/>
                      <w:bCs w:val="0"/>
                      <w:color w:val="000000" w:themeColor="text1"/>
                      <w:kern w:val="24"/>
                      <w:sz w:val="21"/>
                      <w:szCs w:val="21"/>
                      <w:highlight w:val="none"/>
                      <w:lang w:val="en-US" w:eastAsia="zh-CN"/>
                      <w14:textFill>
                        <w14:solidFill>
                          <w14:schemeClr w14:val="tx1"/>
                        </w14:solidFill>
                      </w14:textFill>
                    </w:rPr>
                    <w:t>加油站建设项目，可不入园</w:t>
                  </w:r>
                  <w:r>
                    <w:rPr>
                      <w:rFonts w:hint="default" w:ascii="Times New Roman" w:hAnsi="Times New Roman" w:eastAsia="宋体" w:cs="Times New Roman"/>
                      <w:b w:val="0"/>
                      <w:bCs/>
                      <w:color w:val="000000" w:themeColor="text1"/>
                      <w:kern w:val="24"/>
                      <w:sz w:val="21"/>
                      <w:szCs w:val="21"/>
                      <w:highlight w:val="none"/>
                      <w:vertAlign w:val="baseline"/>
                      <w:lang w:eastAsia="zh-CN"/>
                      <w14:textFill>
                        <w14:solidFill>
                          <w14:schemeClr w14:val="tx1"/>
                        </w14:solidFill>
                      </w14:textFill>
                    </w:rPr>
                    <w:t>。</w:t>
                  </w:r>
                </w:p>
              </w:tc>
              <w:tc>
                <w:tcPr>
                  <w:tcW w:w="266" w:type="pct"/>
                  <w:tcBorders>
                    <w:tl2br w:val="nil"/>
                    <w:tr2bl w:val="nil"/>
                  </w:tcBorders>
                  <w:noWrap w:val="0"/>
                  <w:vAlign w:val="center"/>
                </w:tcPr>
                <w:p w14:paraId="0E710916">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符合</w:t>
                  </w:r>
                </w:p>
              </w:tc>
            </w:tr>
            <w:tr w14:paraId="5CB09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c>
                <w:tcPr>
                  <w:tcW w:w="298" w:type="pct"/>
                  <w:tcBorders>
                    <w:tl2br w:val="nil"/>
                    <w:tr2bl w:val="nil"/>
                  </w:tcBorders>
                  <w:noWrap w:val="0"/>
                  <w:vAlign w:val="center"/>
                </w:tcPr>
                <w:p w14:paraId="71DC8A97">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kern w:val="24"/>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vertAlign w:val="baseline"/>
                      <w:lang w:val="en-US" w:eastAsia="zh-CN"/>
                      <w14:textFill>
                        <w14:solidFill>
                          <w14:schemeClr w14:val="tx1"/>
                        </w14:solidFill>
                      </w14:textFill>
                    </w:rPr>
                    <w:t>污染物排放管控</w:t>
                  </w:r>
                </w:p>
              </w:tc>
              <w:tc>
                <w:tcPr>
                  <w:tcW w:w="2441" w:type="pct"/>
                  <w:tcBorders>
                    <w:tl2br w:val="nil"/>
                    <w:tr2bl w:val="nil"/>
                  </w:tcBorders>
                  <w:noWrap w:val="0"/>
                  <w:vAlign w:val="center"/>
                </w:tcPr>
                <w:p w14:paraId="622CFDE9">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深化行业污染源头治理，深入开展火电行业减排，全力推进钢铁行业超低排放改造，有序推进石化行业“泄漏检测与修复”技术改造。强化煤化工、石化、有机化工、表面涂装、包装印刷等重点行业挥发性有机物控制。深入开展燃煤锅炉污染综合整治，深化工业</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炉窑</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综合治理。加强“散乱污”企业综合整治。优化区域交通运输结构，加快货物运输绿色转型做好车油联合管控。以改善流域水环境质量为核心，强化源头控制，“一河</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湖</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一策”精准施治，减少水污染物排放，持续改善水环境质量。强化园区</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工业集聚区</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水污染防治，不断提高工业用水重复利用率。加快实施城镇污水处理设施提质增效，补齐生活污水收集和处理设施短板，提高再生水回用比例。持续推进农业农村污染防治。提升土壤环境监管能力，加强污染地块安全利用监管。强化工矿用地管理，严格建设用地土壤环境风险管控。加强农用地土壤污染源头控制，科学施用化肥农药，提高农膜回收率。</w:t>
                  </w:r>
                </w:p>
              </w:tc>
              <w:tc>
                <w:tcPr>
                  <w:tcW w:w="1993" w:type="pct"/>
                  <w:tcBorders>
                    <w:tl2br w:val="nil"/>
                    <w:tr2bl w:val="nil"/>
                  </w:tcBorders>
                  <w:noWrap w:val="0"/>
                  <w:vAlign w:val="center"/>
                </w:tcPr>
                <w:p w14:paraId="49E766EB">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eastAsia" w:ascii="Times New Roman" w:hAnsi="Times New Roman" w:eastAsia="宋体" w:cs="Times New Roman"/>
                      <w:b w:val="0"/>
                      <w:bCs/>
                      <w:color w:val="000000" w:themeColor="text1"/>
                      <w:kern w:val="24"/>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kern w:val="24"/>
                      <w:sz w:val="21"/>
                      <w:szCs w:val="21"/>
                      <w:highlight w:val="none"/>
                      <w:vertAlign w:val="baseline"/>
                      <w:lang w:val="en-US" w:eastAsia="zh-CN"/>
                      <w14:textFill>
                        <w14:solidFill>
                          <w14:schemeClr w14:val="tx1"/>
                        </w14:solidFill>
                      </w14:textFill>
                    </w:rPr>
                    <w:t>1.本项目</w:t>
                  </w:r>
                  <w:r>
                    <w:rPr>
                      <w:rFonts w:hint="eastAsia" w:ascii="Times New Roman" w:hAnsi="Times New Roman" w:eastAsia="宋体" w:cs="Times New Roman"/>
                      <w:b w:val="0"/>
                      <w:bCs/>
                      <w:color w:val="000000" w:themeColor="text1"/>
                      <w:kern w:val="24"/>
                      <w:sz w:val="21"/>
                      <w:szCs w:val="21"/>
                      <w:highlight w:val="none"/>
                      <w:vertAlign w:val="baseline"/>
                      <w:lang w:val="en-US" w:eastAsia="zh-CN"/>
                      <w14:textFill>
                        <w14:solidFill>
                          <w14:schemeClr w14:val="tx1"/>
                        </w14:solidFill>
                      </w14:textFill>
                    </w:rPr>
                    <w:t>非</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火电</w:t>
                  </w:r>
                  <w:r>
                    <w:rPr>
                      <w:rFonts w:hint="eastAsia" w:ascii="Times New Roman" w:hAnsi="Times New Roman" w:eastAsia="宋体" w:cs="Times New Roman"/>
                      <w:color w:val="000000" w:themeColor="text1"/>
                      <w:kern w:val="2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煤化工、石化、有机化工、表面涂装、包装印刷等重点行业</w:t>
                  </w:r>
                  <w:r>
                    <w:rPr>
                      <w:rFonts w:hint="eastAsia" w:ascii="Times New Roman" w:hAnsi="Times New Roman" w:eastAsia="宋体" w:cs="Times New Roman"/>
                      <w:color w:val="000000" w:themeColor="text1"/>
                      <w:kern w:val="24"/>
                      <w:sz w:val="21"/>
                      <w:szCs w:val="21"/>
                      <w:highlight w:val="none"/>
                      <w:lang w:eastAsia="zh-CN"/>
                      <w14:textFill>
                        <w14:solidFill>
                          <w14:schemeClr w14:val="tx1"/>
                        </w14:solidFill>
                      </w14:textFill>
                    </w:rPr>
                    <w:t>；</w:t>
                  </w:r>
                </w:p>
                <w:p w14:paraId="59F9DD02">
                  <w:pPr>
                    <w:pStyle w:val="56"/>
                    <w:keepNext w:val="0"/>
                    <w:keepLines w:val="0"/>
                    <w:pageBreakBefore w:val="0"/>
                    <w:widowControl w:val="0"/>
                    <w:wordWrap/>
                    <w:autoSpaceDE/>
                    <w:autoSpaceDN/>
                    <w:bidi w:val="0"/>
                    <w:adjustRightInd w:val="0"/>
                    <w:snapToGrid w:val="0"/>
                    <w:spacing w:line="240" w:lineRule="auto"/>
                    <w:ind w:firstLine="0" w:firstLineChars="0"/>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本项目非工业园区或工业聚集区，</w:t>
                  </w:r>
                  <w:r>
                    <w:rPr>
                      <w:rFonts w:hint="eastAsia" w:cs="Times New Roman"/>
                      <w:color w:val="000000" w:themeColor="text1"/>
                      <w:sz w:val="21"/>
                      <w:szCs w:val="21"/>
                      <w:highlight w:val="none"/>
                      <w:vertAlign w:val="baseline"/>
                      <w:lang w:val="en-US" w:eastAsia="zh-CN"/>
                      <w14:textFill>
                        <w14:solidFill>
                          <w14:schemeClr w14:val="tx1"/>
                        </w14:solidFill>
                      </w14:textFill>
                    </w:rPr>
                    <w:t>生活废水排入污水管网，洗车废水经隔油沉淀池处理后回排入污水管网，最终纳入污水处理厂处理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336A0E13">
                  <w:pPr>
                    <w:pStyle w:val="56"/>
                    <w:keepNext w:val="0"/>
                    <w:keepLines w:val="0"/>
                    <w:pageBreakBefore w:val="0"/>
                    <w:widowControl w:val="0"/>
                    <w:wordWrap/>
                    <w:autoSpaceDE/>
                    <w:autoSpaceDN/>
                    <w:bidi w:val="0"/>
                    <w:adjustRightInd w:val="0"/>
                    <w:snapToGrid w:val="0"/>
                    <w:spacing w:line="240" w:lineRule="auto"/>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本项目不涉及农业农村污染防治及工矿用地管理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66" w:type="pct"/>
                  <w:tcBorders>
                    <w:tl2br w:val="nil"/>
                    <w:tr2bl w:val="nil"/>
                  </w:tcBorders>
                  <w:noWrap w:val="0"/>
                  <w:vAlign w:val="center"/>
                </w:tcPr>
                <w:p w14:paraId="5D540091">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符合</w:t>
                  </w:r>
                </w:p>
              </w:tc>
            </w:tr>
            <w:tr w14:paraId="57915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90" w:hRule="atLeast"/>
              </w:trPr>
              <w:tc>
                <w:tcPr>
                  <w:tcW w:w="298" w:type="pct"/>
                  <w:tcBorders>
                    <w:tl2br w:val="nil"/>
                    <w:tr2bl w:val="nil"/>
                  </w:tcBorders>
                  <w:noWrap w:val="0"/>
                  <w:vAlign w:val="center"/>
                </w:tcPr>
                <w:p w14:paraId="627D0629">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kern w:val="24"/>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vertAlign w:val="baseline"/>
                      <w:lang w:val="en-US" w:eastAsia="zh-CN"/>
                      <w14:textFill>
                        <w14:solidFill>
                          <w14:schemeClr w14:val="tx1"/>
                        </w14:solidFill>
                      </w14:textFill>
                    </w:rPr>
                    <w:t>环境风险防控</w:t>
                  </w:r>
                </w:p>
              </w:tc>
              <w:tc>
                <w:tcPr>
                  <w:tcW w:w="2441" w:type="pct"/>
                  <w:tcBorders>
                    <w:tl2br w:val="nil"/>
                    <w:tr2bl w:val="nil"/>
                  </w:tcBorders>
                  <w:noWrap w:val="0"/>
                  <w:vAlign w:val="center"/>
                </w:tcPr>
                <w:p w14:paraId="5A5ABE8B">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禁止在化工园区外新建、扩建危险化学品生产项目</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严格落实危险废物处置相关要求。加强重点流域水环境风险管控，保障水环境安全。</w:t>
                  </w:r>
                </w:p>
              </w:tc>
              <w:tc>
                <w:tcPr>
                  <w:tcW w:w="1993" w:type="pct"/>
                  <w:tcBorders>
                    <w:tl2br w:val="nil"/>
                    <w:tr2bl w:val="nil"/>
                  </w:tcBorders>
                  <w:noWrap w:val="0"/>
                  <w:vAlign w:val="center"/>
                </w:tcPr>
                <w:p w14:paraId="096E6B3F">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本项目为</w:t>
                  </w:r>
                  <w:r>
                    <w:rPr>
                      <w:rFonts w:hint="eastAsia" w:ascii="Times New Roman" w:hAnsi="Times New Roman" w:eastAsia="宋体" w:cs="Times New Roman"/>
                      <w:color w:val="000000" w:themeColor="text1"/>
                      <w:kern w:val="24"/>
                      <w:sz w:val="21"/>
                      <w:szCs w:val="21"/>
                      <w:highlight w:val="none"/>
                      <w:lang w:eastAsia="zh-CN"/>
                      <w14:textFill>
                        <w14:solidFill>
                          <w14:schemeClr w14:val="tx1"/>
                        </w14:solidFill>
                      </w14:textFill>
                    </w:rPr>
                    <w:t>加油站建设</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项目，</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非</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危险化学品生产项目</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w:t>
                  </w:r>
                </w:p>
                <w:p w14:paraId="13FE4E68">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2.本项目</w:t>
                  </w:r>
                  <w:r>
                    <w:rPr>
                      <w:rFonts w:hint="eastAsia"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不涉及重点流域水环境</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w:t>
                  </w:r>
                </w:p>
              </w:tc>
              <w:tc>
                <w:tcPr>
                  <w:tcW w:w="266" w:type="pct"/>
                  <w:tcBorders>
                    <w:tl2br w:val="nil"/>
                    <w:tr2bl w:val="nil"/>
                  </w:tcBorders>
                  <w:noWrap w:val="0"/>
                  <w:vAlign w:val="center"/>
                </w:tcPr>
                <w:p w14:paraId="66D7F5FB">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符合</w:t>
                  </w:r>
                </w:p>
              </w:tc>
            </w:tr>
            <w:tr w14:paraId="65FDF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c>
                <w:tcPr>
                  <w:tcW w:w="298" w:type="pct"/>
                  <w:tcBorders>
                    <w:tl2br w:val="nil"/>
                    <w:tr2bl w:val="nil"/>
                  </w:tcBorders>
                  <w:noWrap w:val="0"/>
                  <w:vAlign w:val="center"/>
                </w:tcPr>
                <w:p w14:paraId="5D0B7274">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kern w:val="24"/>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vertAlign w:val="baseline"/>
                      <w:lang w:val="en-US" w:eastAsia="zh-CN"/>
                      <w14:textFill>
                        <w14:solidFill>
                          <w14:schemeClr w14:val="tx1"/>
                        </w14:solidFill>
                      </w14:textFill>
                    </w:rPr>
                    <w:t>资源利用效率</w:t>
                  </w:r>
                </w:p>
              </w:tc>
              <w:tc>
                <w:tcPr>
                  <w:tcW w:w="2441" w:type="pct"/>
                  <w:tcBorders>
                    <w:tl2br w:val="nil"/>
                    <w:tr2bl w:val="nil"/>
                  </w:tcBorders>
                  <w:noWrap w:val="0"/>
                  <w:vAlign w:val="center"/>
                </w:tcPr>
                <w:p w14:paraId="2540C65B">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优化能源结构，控制煤炭等化石能源使用量，鼓励使用清洁能源，协同推进减污降碳。全面实施节水工程，合理开发利用水资源，提升水资源利用效率，保障生态用水，严防地下水超采。</w:t>
                  </w:r>
                </w:p>
              </w:tc>
              <w:tc>
                <w:tcPr>
                  <w:tcW w:w="1993" w:type="pct"/>
                  <w:tcBorders>
                    <w:tl2br w:val="nil"/>
                    <w:tr2bl w:val="nil"/>
                  </w:tcBorders>
                  <w:noWrap w:val="0"/>
                  <w:vAlign w:val="center"/>
                </w:tcPr>
                <w:p w14:paraId="1E99109D">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本项目</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使用能源为电，为清洁能源；</w:t>
                  </w:r>
                </w:p>
                <w:p w14:paraId="32EF3B18">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不</w:t>
                  </w:r>
                  <w:r>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t>涉及水资源的开发利用</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w:t>
                  </w:r>
                </w:p>
              </w:tc>
              <w:tc>
                <w:tcPr>
                  <w:tcW w:w="266" w:type="pct"/>
                  <w:tcBorders>
                    <w:tl2br w:val="nil"/>
                    <w:tr2bl w:val="nil"/>
                  </w:tcBorders>
                  <w:noWrap w:val="0"/>
                  <w:vAlign w:val="center"/>
                </w:tcPr>
                <w:p w14:paraId="50BBDB64">
                  <w:pPr>
                    <w:pStyle w:val="56"/>
                    <w:keepNext w:val="0"/>
                    <w:keepLines w:val="0"/>
                    <w:pageBreakBefore w:val="0"/>
                    <w:widowControl w:val="0"/>
                    <w:wordWrap/>
                    <w:overflowPunct/>
                    <w:autoSpaceDE/>
                    <w:autoSpaceDN/>
                    <w:bidi w:val="0"/>
                    <w:adjustRightInd w:val="0"/>
                    <w:snapToGrid w:val="0"/>
                    <w:spacing w:line="240" w:lineRule="auto"/>
                    <w:ind w:firstLine="0" w:firstLineChars="0"/>
                    <w:textAlignment w:val="baseline"/>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符合</w:t>
                  </w:r>
                </w:p>
              </w:tc>
            </w:tr>
          </w:tbl>
          <w:p w14:paraId="2E110A66">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157" w:beforeLines="50" w:after="0" w:afterAutospacing="0" w:line="360" w:lineRule="auto"/>
              <w:jc w:val="both"/>
              <w:textAlignment w:val="baseline"/>
              <w:rPr>
                <w:rFonts w:hint="default" w:ascii="Times New Roman" w:hAnsi="Times New Roman" w:eastAsia="宋体" w:cs="Times New Roman"/>
                <w:b/>
                <w:bCs/>
                <w:color w:val="0000FF"/>
                <w:sz w:val="24"/>
                <w:szCs w:val="24"/>
                <w:highlight w:val="none"/>
                <w:lang w:val="en-US" w:eastAsia="zh-CN"/>
              </w:rPr>
            </w:pPr>
            <w:r>
              <w:rPr>
                <w:rFonts w:hint="default" w:ascii="Times New Roman" w:hAnsi="Times New Roman" w:eastAsia="宋体" w:cs="Times New Roman"/>
                <w:b/>
                <w:bCs/>
                <w:color w:val="0000FF"/>
                <w:kern w:val="24"/>
                <w:sz w:val="24"/>
                <w:szCs w:val="24"/>
                <w:highlight w:val="none"/>
                <w:lang w:val="en-US" w:eastAsia="zh-CN"/>
              </w:rPr>
              <w:t>1.</w:t>
            </w:r>
            <w:r>
              <w:rPr>
                <w:rFonts w:hint="eastAsia" w:cs="Times New Roman"/>
                <w:b/>
                <w:bCs/>
                <w:color w:val="0000FF"/>
                <w:kern w:val="24"/>
                <w:sz w:val="24"/>
                <w:szCs w:val="24"/>
                <w:highlight w:val="none"/>
                <w:lang w:val="en-US" w:eastAsia="zh-CN"/>
              </w:rPr>
              <w:t>3</w:t>
            </w:r>
            <w:r>
              <w:rPr>
                <w:rFonts w:hint="default" w:ascii="Times New Roman" w:hAnsi="Times New Roman" w:eastAsia="宋体" w:cs="Times New Roman"/>
                <w:b/>
                <w:bCs/>
                <w:color w:val="0000FF"/>
                <w:kern w:val="24"/>
                <w:sz w:val="24"/>
                <w:szCs w:val="24"/>
                <w:highlight w:val="none"/>
                <w:lang w:val="en-US" w:eastAsia="zh-CN"/>
              </w:rPr>
              <w:t xml:space="preserve">.3 </w:t>
            </w:r>
            <w:r>
              <w:rPr>
                <w:rFonts w:hint="default" w:ascii="Times New Roman" w:hAnsi="Times New Roman" w:eastAsia="宋体" w:cs="Times New Roman"/>
                <w:b/>
                <w:bCs/>
                <w:color w:val="0000FF"/>
                <w:sz w:val="24"/>
                <w:szCs w:val="24"/>
                <w:highlight w:val="none"/>
                <w:lang w:val="en-US" w:eastAsia="zh-CN"/>
              </w:rPr>
              <w:t>《昌吉回族自治州“三线一单”生态环境分区管控方案》</w:t>
            </w:r>
            <w:r>
              <w:rPr>
                <w:rFonts w:hint="eastAsia" w:cs="Times New Roman"/>
                <w:b/>
                <w:bCs/>
                <w:color w:val="0000FF"/>
                <w:sz w:val="24"/>
                <w:szCs w:val="24"/>
                <w:highlight w:val="none"/>
                <w:lang w:val="en-US" w:eastAsia="zh-CN"/>
              </w:rPr>
              <w:t>及动态成果更新</w:t>
            </w:r>
            <w:r>
              <w:rPr>
                <w:rFonts w:hint="eastAsia" w:ascii="Times New Roman" w:hAnsi="Times New Roman" w:eastAsia="宋体" w:cs="Times New Roman"/>
                <w:b/>
                <w:bCs/>
                <w:color w:val="0000FF"/>
                <w:sz w:val="24"/>
                <w:szCs w:val="24"/>
                <w:highlight w:val="none"/>
                <w:lang w:val="en-US" w:eastAsia="zh-CN"/>
              </w:rPr>
              <w:t>符合性分析</w:t>
            </w:r>
          </w:p>
          <w:p w14:paraId="2E8B18C1">
            <w:pPr>
              <w:pStyle w:val="5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0000FF"/>
                <w:kern w:val="24"/>
                <w:sz w:val="24"/>
                <w:szCs w:val="24"/>
                <w:highlight w:val="none"/>
                <w:lang w:val="en-US" w:eastAsia="zh-CN"/>
              </w:rPr>
            </w:pPr>
            <w:r>
              <w:rPr>
                <w:rFonts w:hint="eastAsia" w:ascii="Times New Roman" w:hAnsi="Times New Roman" w:eastAsia="宋体" w:cs="Times New Roman"/>
                <w:color w:val="0000FF"/>
                <w:sz w:val="24"/>
                <w:szCs w:val="24"/>
                <w:highlight w:val="none"/>
                <w:lang w:val="en-US" w:eastAsia="zh-CN"/>
              </w:rPr>
              <w:t>本项目位于</w:t>
            </w:r>
            <w:r>
              <w:rPr>
                <w:rFonts w:hint="eastAsia" w:ascii="Times New Roman" w:hAnsi="Times New Roman" w:cs="Times New Roman"/>
                <w:color w:val="0000FF"/>
                <w:sz w:val="24"/>
                <w:szCs w:val="24"/>
                <w:u w:val="none"/>
                <w:lang w:eastAsia="zh-CN"/>
              </w:rPr>
              <w:t>新疆维吾尔自治区昌吉回族自治州玛纳斯县玛纳斯镇乌伊西路242号</w:t>
            </w:r>
            <w:r>
              <w:rPr>
                <w:rFonts w:hint="default" w:ascii="Times New Roman" w:hAnsi="Times New Roman" w:eastAsia="宋体" w:cs="Times New Roman"/>
                <w:color w:val="0000FF"/>
                <w:sz w:val="24"/>
                <w:szCs w:val="24"/>
                <w:highlight w:val="none"/>
                <w:lang w:val="en-US" w:eastAsia="zh-CN"/>
              </w:rPr>
              <w:t>，根据《昌吉回族自治州“三线一单”生态环境分区管控方案》</w:t>
            </w:r>
            <w:r>
              <w:rPr>
                <w:rFonts w:hint="eastAsia" w:ascii="Times New Roman" w:hAnsi="Times New Roman" w:eastAsia="宋体" w:cs="Times New Roman"/>
                <w:color w:val="0000FF"/>
                <w:sz w:val="24"/>
                <w:szCs w:val="24"/>
                <w:highlight w:val="none"/>
                <w:lang w:val="en-US" w:eastAsia="zh-CN"/>
              </w:rPr>
              <w:t>及动态成果更新</w:t>
            </w:r>
            <w:r>
              <w:rPr>
                <w:rFonts w:hint="default" w:ascii="Times New Roman" w:hAnsi="Times New Roman" w:eastAsia="宋体" w:cs="Times New Roman"/>
                <w:color w:val="0000FF"/>
                <w:sz w:val="24"/>
                <w:szCs w:val="24"/>
                <w:highlight w:val="none"/>
                <w:lang w:val="en-US" w:eastAsia="zh-CN"/>
              </w:rPr>
              <w:t>，本项目选址属于</w:t>
            </w:r>
            <w:r>
              <w:rPr>
                <w:rFonts w:hint="eastAsia" w:ascii="Times New Roman" w:hAnsi="Times New Roman" w:eastAsia="宋体" w:cs="Times New Roman"/>
                <w:color w:val="0000FF"/>
                <w:sz w:val="24"/>
                <w:szCs w:val="24"/>
                <w:highlight w:val="none"/>
                <w:lang w:val="en-US" w:eastAsia="zh-CN"/>
              </w:rPr>
              <w:t>重点管控单元，环境管控单元名称：玛纳斯县城镇集中建设区，环境管控单元编码：ZH65232420001</w:t>
            </w:r>
            <w:r>
              <w:rPr>
                <w:rFonts w:hint="default" w:ascii="Times New Roman" w:hAnsi="Times New Roman" w:eastAsia="宋体" w:cs="Times New Roman"/>
                <w:color w:val="0000FF"/>
                <w:sz w:val="24"/>
                <w:szCs w:val="24"/>
                <w:highlight w:val="none"/>
                <w:lang w:val="en-US" w:eastAsia="zh-CN"/>
              </w:rPr>
              <w:t>。本项目与《昌吉回族自治州“三线一单”生态环境分区管控方案》符合性分析见表1-</w:t>
            </w:r>
            <w:r>
              <w:rPr>
                <w:rFonts w:hint="eastAsia" w:ascii="Times New Roman" w:hAnsi="Times New Roman" w:eastAsia="宋体" w:cs="Times New Roman"/>
                <w:color w:val="0000FF"/>
                <w:sz w:val="24"/>
                <w:szCs w:val="24"/>
                <w:highlight w:val="none"/>
                <w:lang w:val="en-US" w:eastAsia="zh-CN"/>
              </w:rPr>
              <w:t>8</w:t>
            </w:r>
            <w:r>
              <w:rPr>
                <w:rFonts w:hint="default" w:ascii="Times New Roman" w:hAnsi="Times New Roman" w:eastAsia="宋体" w:cs="Times New Roman"/>
                <w:color w:val="0000FF"/>
                <w:kern w:val="24"/>
                <w:sz w:val="24"/>
                <w:szCs w:val="24"/>
                <w:highlight w:val="none"/>
                <w:lang w:val="en-US" w:eastAsia="zh-CN"/>
              </w:rPr>
              <w:t>。</w:t>
            </w:r>
          </w:p>
          <w:p w14:paraId="60C14E47">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kern w:val="24"/>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FF"/>
                <w:kern w:val="24"/>
                <w:sz w:val="21"/>
                <w:szCs w:val="21"/>
                <w:highlight w:val="none"/>
                <w:lang w:val="en-US" w:eastAsia="zh-CN"/>
              </w:rPr>
              <w:t>表1-</w:t>
            </w:r>
            <w:r>
              <w:rPr>
                <w:rFonts w:hint="eastAsia" w:ascii="Times New Roman" w:hAnsi="Times New Roman" w:eastAsia="宋体" w:cs="Times New Roman"/>
                <w:b/>
                <w:bCs/>
                <w:color w:val="0000FF"/>
                <w:kern w:val="24"/>
                <w:sz w:val="21"/>
                <w:szCs w:val="21"/>
                <w:highlight w:val="none"/>
                <w:lang w:val="en-US" w:eastAsia="zh-CN"/>
              </w:rPr>
              <w:t>8</w:t>
            </w:r>
            <w:r>
              <w:rPr>
                <w:rFonts w:hint="default" w:ascii="Times New Roman" w:hAnsi="Times New Roman" w:eastAsia="宋体" w:cs="Times New Roman"/>
                <w:b/>
                <w:bCs/>
                <w:color w:val="0000FF"/>
                <w:kern w:val="24"/>
                <w:sz w:val="21"/>
                <w:szCs w:val="21"/>
                <w:highlight w:val="none"/>
                <w:lang w:val="en-US" w:eastAsia="zh-CN"/>
              </w:rPr>
              <w:t xml:space="preserve">  与《昌吉回族自治州“三线一单”生态环</w:t>
            </w:r>
            <w:r>
              <w:rPr>
                <w:rFonts w:hint="default" w:ascii="Times New Roman" w:hAnsi="Times New Roman" w:eastAsia="宋体" w:cs="Times New Roman"/>
                <w:b/>
                <w:bCs/>
                <w:color w:val="000000" w:themeColor="text1"/>
                <w:kern w:val="24"/>
                <w:sz w:val="21"/>
                <w:szCs w:val="21"/>
                <w:highlight w:val="none"/>
                <w:lang w:val="en-US" w:eastAsia="zh-CN"/>
                <w14:textFill>
                  <w14:solidFill>
                    <w14:schemeClr w14:val="tx1"/>
                  </w14:solidFill>
                </w14:textFill>
              </w:rPr>
              <w:t>境分区管控方案》</w:t>
            </w:r>
            <w:r>
              <w:rPr>
                <w:rFonts w:hint="eastAsia" w:ascii="Times New Roman" w:hAnsi="Times New Roman" w:eastAsia="宋体" w:cs="Times New Roman"/>
                <w:b/>
                <w:bCs/>
                <w:color w:val="000000" w:themeColor="text1"/>
                <w:kern w:val="24"/>
                <w:sz w:val="21"/>
                <w:szCs w:val="21"/>
                <w:highlight w:val="none"/>
                <w:lang w:val="en-US" w:eastAsia="zh-CN"/>
                <w14:textFill>
                  <w14:solidFill>
                    <w14:schemeClr w14:val="tx1"/>
                  </w14:solidFill>
                </w14:textFill>
              </w:rPr>
              <w:t>及动态成果更新</w:t>
            </w:r>
          </w:p>
          <w:p w14:paraId="45854260">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kern w:val="24"/>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lang w:val="en-US" w:eastAsia="zh-CN"/>
                <w14:textFill>
                  <w14:solidFill>
                    <w14:schemeClr w14:val="tx1"/>
                  </w14:solidFill>
                </w14:textFill>
              </w:rPr>
              <w:t>符合性分析一览表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96"/>
              <w:gridCol w:w="3759"/>
              <w:gridCol w:w="2755"/>
              <w:gridCol w:w="407"/>
            </w:tblGrid>
            <w:tr w14:paraId="5DDF4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868" w:type="pct"/>
                  <w:gridSpan w:val="2"/>
                  <w:tcBorders>
                    <w:tl2br w:val="nil"/>
                    <w:tr2bl w:val="nil"/>
                  </w:tcBorders>
                  <w:noWrap w:val="0"/>
                  <w:vAlign w:val="center"/>
                </w:tcPr>
                <w:p w14:paraId="1FFB8BBB">
                  <w:pPr>
                    <w:pStyle w:val="5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FF"/>
                      <w:kern w:val="24"/>
                      <w:sz w:val="21"/>
                      <w:szCs w:val="21"/>
                      <w:highlight w:val="none"/>
                      <w:vertAlign w:val="baseline"/>
                      <w:lang w:val="en-US" w:eastAsia="zh-CN"/>
                    </w:rPr>
                  </w:pPr>
                  <w:r>
                    <w:rPr>
                      <w:rFonts w:hint="default" w:ascii="Times New Roman" w:hAnsi="Times New Roman" w:eastAsia="宋体" w:cs="Times New Roman"/>
                      <w:b/>
                      <w:bCs/>
                      <w:color w:val="0000FF"/>
                      <w:kern w:val="24"/>
                      <w:sz w:val="21"/>
                      <w:szCs w:val="21"/>
                      <w:highlight w:val="none"/>
                      <w:vertAlign w:val="baseline"/>
                      <w:lang w:val="en-US" w:eastAsia="zh-CN"/>
                    </w:rPr>
                    <w:t>重点管控单元管控要求</w:t>
                  </w:r>
                </w:p>
              </w:tc>
              <w:tc>
                <w:tcPr>
                  <w:tcW w:w="1857" w:type="pct"/>
                  <w:tcBorders>
                    <w:tl2br w:val="nil"/>
                    <w:tr2bl w:val="nil"/>
                  </w:tcBorders>
                  <w:noWrap w:val="0"/>
                  <w:vAlign w:val="center"/>
                </w:tcPr>
                <w:p w14:paraId="26837789">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FF"/>
                      <w:kern w:val="24"/>
                      <w:sz w:val="21"/>
                      <w:szCs w:val="21"/>
                      <w:highlight w:val="none"/>
                      <w:vertAlign w:val="baseline"/>
                      <w:lang w:val="en-US" w:eastAsia="zh-CN"/>
                    </w:rPr>
                  </w:pPr>
                  <w:r>
                    <w:rPr>
                      <w:rFonts w:hint="default" w:ascii="Times New Roman" w:hAnsi="Times New Roman" w:eastAsia="宋体" w:cs="Times New Roman"/>
                      <w:b/>
                      <w:bCs/>
                      <w:color w:val="0000FF"/>
                      <w:kern w:val="24"/>
                      <w:sz w:val="21"/>
                      <w:szCs w:val="21"/>
                      <w:highlight w:val="none"/>
                      <w:vertAlign w:val="baseline"/>
                      <w:lang w:val="en-US" w:eastAsia="zh-CN"/>
                    </w:rPr>
                    <w:t>本项目情况</w:t>
                  </w:r>
                </w:p>
              </w:tc>
              <w:tc>
                <w:tcPr>
                  <w:tcW w:w="274" w:type="pct"/>
                  <w:tcBorders>
                    <w:tl2br w:val="nil"/>
                    <w:tr2bl w:val="nil"/>
                  </w:tcBorders>
                  <w:noWrap w:val="0"/>
                  <w:vAlign w:val="center"/>
                </w:tcPr>
                <w:p w14:paraId="706E52B4">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FF"/>
                      <w:kern w:val="24"/>
                      <w:sz w:val="21"/>
                      <w:szCs w:val="21"/>
                      <w:highlight w:val="none"/>
                      <w:vertAlign w:val="baseline"/>
                      <w:lang w:val="en-US" w:eastAsia="zh-CN"/>
                    </w:rPr>
                  </w:pPr>
                  <w:r>
                    <w:rPr>
                      <w:rFonts w:hint="default" w:ascii="Times New Roman" w:hAnsi="Times New Roman" w:eastAsia="宋体" w:cs="Times New Roman"/>
                      <w:b/>
                      <w:bCs/>
                      <w:color w:val="0000FF"/>
                      <w:kern w:val="24"/>
                      <w:sz w:val="21"/>
                      <w:szCs w:val="21"/>
                      <w:highlight w:val="none"/>
                      <w:vertAlign w:val="baseline"/>
                      <w:lang w:val="en-US" w:eastAsia="zh-CN"/>
                    </w:rPr>
                    <w:t>符合性</w:t>
                  </w:r>
                </w:p>
              </w:tc>
            </w:tr>
            <w:tr w14:paraId="38FFA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4" w:type="pct"/>
                  <w:tcBorders>
                    <w:tl2br w:val="nil"/>
                    <w:tr2bl w:val="nil"/>
                  </w:tcBorders>
                  <w:noWrap w:val="0"/>
                  <w:vAlign w:val="center"/>
                </w:tcPr>
                <w:p w14:paraId="20DF6B0D">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afterLines="100" w:afterAutospacing="0" w:line="240" w:lineRule="auto"/>
                    <w:ind w:left="0" w:leftChars="0" w:firstLine="0" w:firstLineChars="0"/>
                    <w:jc w:val="center"/>
                    <w:textAlignment w:val="baseline"/>
                    <w:rPr>
                      <w:rFonts w:hint="default" w:ascii="Times New Roman" w:hAnsi="Times New Roman" w:eastAsia="宋体" w:cs="Times New Roman"/>
                      <w:color w:val="0000FF"/>
                      <w:kern w:val="24"/>
                      <w:sz w:val="21"/>
                      <w:szCs w:val="21"/>
                      <w:highlight w:val="none"/>
                      <w:vertAlign w:val="baseline"/>
                      <w:lang w:val="en-US" w:eastAsia="zh-CN"/>
                    </w:rPr>
                  </w:pPr>
                  <w:r>
                    <w:rPr>
                      <w:rFonts w:hint="default" w:ascii="Times New Roman" w:hAnsi="Times New Roman" w:eastAsia="宋体" w:cs="Times New Roman"/>
                      <w:color w:val="0000FF"/>
                      <w:sz w:val="21"/>
                      <w:szCs w:val="21"/>
                      <w:highlight w:val="none"/>
                      <w:vertAlign w:val="baseline"/>
                      <w:lang w:val="en-US" w:eastAsia="zh-CN"/>
                    </w:rPr>
                    <w:t>空间约束布局</w:t>
                  </w:r>
                </w:p>
              </w:tc>
              <w:tc>
                <w:tcPr>
                  <w:tcW w:w="2534" w:type="pct"/>
                  <w:tcBorders>
                    <w:tl2br w:val="nil"/>
                    <w:tr2bl w:val="nil"/>
                  </w:tcBorders>
                  <w:noWrap w:val="0"/>
                  <w:vAlign w:val="center"/>
                </w:tcPr>
                <w:p w14:paraId="40B46300">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afterLines="0" w:afterAutospacing="0" w:line="240" w:lineRule="auto"/>
                    <w:ind w:left="0" w:leftChars="0" w:firstLine="0" w:firstLineChars="0"/>
                    <w:jc w:val="both"/>
                    <w:textAlignment w:val="baseline"/>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11、城市建成区内不得建设高污染的火电、化工、冶金、造纸、钢铁、建材等工业项目；已经建成的，应当逐步搬迁。</w:t>
                  </w:r>
                </w:p>
                <w:p w14:paraId="45737DC0">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afterLines="0" w:afterAutospacing="0" w:line="240" w:lineRule="auto"/>
                    <w:ind w:left="0" w:leftChars="0" w:firstLine="0" w:firstLineChars="0"/>
                    <w:jc w:val="both"/>
                    <w:textAlignment w:val="baseline"/>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2、昌吉州“乌-昌-石”区域内不再新建自备燃煤机组。有序推进昌吉州“乌-昌-石”区域内自备电厂替代或退出。</w:t>
                  </w:r>
                </w:p>
                <w:p w14:paraId="31E0A71E">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afterLines="0" w:afterAutospacing="0" w:line="240" w:lineRule="auto"/>
                    <w:ind w:left="0" w:leftChars="0" w:firstLine="0" w:firstLineChars="0"/>
                    <w:jc w:val="both"/>
                    <w:textAlignment w:val="baseline"/>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3、不再新建每小时65蒸吨以下的燃煤锅炉。</w:t>
                  </w:r>
                </w:p>
                <w:p w14:paraId="5CDDAB5C">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afterLines="0" w:afterAutospacing="0" w:line="240" w:lineRule="auto"/>
                    <w:ind w:left="0" w:leftChars="0" w:firstLine="0" w:firstLineChars="0"/>
                    <w:jc w:val="both"/>
                    <w:textAlignment w:val="baseline"/>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4、禁止在集中供热管网覆盖地区新建、扩建分散燃煤供热锅炉。</w:t>
                  </w:r>
                </w:p>
                <w:p w14:paraId="1F31220D">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afterLines="0" w:afterAutospacing="0" w:line="240" w:lineRule="auto"/>
                    <w:ind w:left="0" w:leftChars="0" w:firstLine="0" w:firstLineChars="0"/>
                    <w:jc w:val="both"/>
                    <w:textAlignment w:val="baseline"/>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5、在居民住宅区等人口密集区域和机关、医院、学校、幼儿园、养老院等其他需要特殊保护的区域及其周边，不得新建和扩建易产生恶臭气体的生产项目，或者从事其他产生恶臭气体的生产经营活动。已建成的，应当逐步搬迁或者升级改造。</w:t>
                  </w:r>
                </w:p>
              </w:tc>
              <w:tc>
                <w:tcPr>
                  <w:tcW w:w="1857" w:type="pct"/>
                  <w:tcBorders>
                    <w:tl2br w:val="nil"/>
                    <w:tr2bl w:val="nil"/>
                  </w:tcBorders>
                  <w:noWrap w:val="0"/>
                  <w:vAlign w:val="center"/>
                </w:tcPr>
                <w:p w14:paraId="0B5E9E84">
                  <w:pPr>
                    <w:keepNext w:val="0"/>
                    <w:keepLines w:val="0"/>
                    <w:pageBreakBefore w:val="0"/>
                    <w:widowControl w:val="0"/>
                    <w:kinsoku w:val="0"/>
                    <w:wordWrap/>
                    <w:overflowPunct/>
                    <w:topLinePunct w:val="0"/>
                    <w:autoSpaceDE w:val="0"/>
                    <w:autoSpaceDN w:val="0"/>
                    <w:bidi w:val="0"/>
                    <w:adjustRightInd w:val="0"/>
                    <w:snapToGrid w:val="0"/>
                    <w:spacing w:after="0"/>
                    <w:jc w:val="both"/>
                    <w:textAlignment w:val="baseline"/>
                    <w:rPr>
                      <w:rFonts w:hint="eastAsia"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1.本项目非</w:t>
                  </w:r>
                  <w:r>
                    <w:rPr>
                      <w:rFonts w:hint="default" w:ascii="Times New Roman" w:hAnsi="Times New Roman" w:eastAsia="宋体" w:cs="Times New Roman"/>
                      <w:color w:val="0000FF"/>
                      <w:sz w:val="21"/>
                      <w:szCs w:val="21"/>
                      <w:lang w:val="en-US" w:eastAsia="zh-CN"/>
                    </w:rPr>
                    <w:t>高污染的火电、化工、冶金、造纸、钢铁、建材等工业项目</w:t>
                  </w:r>
                  <w:r>
                    <w:rPr>
                      <w:rFonts w:hint="eastAsia" w:cs="Times New Roman"/>
                      <w:color w:val="0000FF"/>
                      <w:sz w:val="21"/>
                      <w:szCs w:val="21"/>
                      <w:highlight w:val="none"/>
                      <w:vertAlign w:val="baseline"/>
                      <w:lang w:val="en-US" w:eastAsia="zh-CN"/>
                    </w:rPr>
                    <w:t>；</w:t>
                  </w:r>
                </w:p>
                <w:p w14:paraId="2DDDFD09">
                  <w:pPr>
                    <w:keepNext w:val="0"/>
                    <w:keepLines w:val="0"/>
                    <w:pageBreakBefore w:val="0"/>
                    <w:widowControl w:val="0"/>
                    <w:kinsoku w:val="0"/>
                    <w:wordWrap/>
                    <w:overflowPunct/>
                    <w:topLinePunct w:val="0"/>
                    <w:autoSpaceDE w:val="0"/>
                    <w:autoSpaceDN w:val="0"/>
                    <w:bidi w:val="0"/>
                    <w:adjustRightInd w:val="0"/>
                    <w:snapToGrid w:val="0"/>
                    <w:spacing w:after="0"/>
                    <w:jc w:val="both"/>
                    <w:textAlignment w:val="baseline"/>
                    <w:rPr>
                      <w:rFonts w:hint="eastAsia"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2.本项目无恶臭气体排放；</w:t>
                  </w:r>
                </w:p>
                <w:p w14:paraId="6C3CACEC">
                  <w:pPr>
                    <w:keepNext w:val="0"/>
                    <w:keepLines w:val="0"/>
                    <w:pageBreakBefore w:val="0"/>
                    <w:widowControl w:val="0"/>
                    <w:kinsoku w:val="0"/>
                    <w:wordWrap/>
                    <w:overflowPunct/>
                    <w:topLinePunct w:val="0"/>
                    <w:autoSpaceDE w:val="0"/>
                    <w:autoSpaceDN w:val="0"/>
                    <w:bidi w:val="0"/>
                    <w:adjustRightInd w:val="0"/>
                    <w:snapToGrid w:val="0"/>
                    <w:spacing w:after="0"/>
                    <w:jc w:val="both"/>
                    <w:textAlignment w:val="baseline"/>
                    <w:rPr>
                      <w:rFonts w:hint="default" w:ascii="Times New Roman" w:hAnsi="Times New Roman" w:eastAsia="宋体" w:cs="Times New Roman"/>
                      <w:color w:val="0000FF"/>
                      <w:sz w:val="21"/>
                      <w:szCs w:val="21"/>
                      <w:lang w:val="en-US" w:eastAsia="zh-CN"/>
                    </w:rPr>
                  </w:pPr>
                  <w:r>
                    <w:rPr>
                      <w:rFonts w:hint="eastAsia" w:cs="Times New Roman"/>
                      <w:color w:val="0000FF"/>
                      <w:sz w:val="21"/>
                      <w:szCs w:val="21"/>
                      <w:highlight w:val="none"/>
                      <w:vertAlign w:val="baseline"/>
                      <w:lang w:val="en-US" w:eastAsia="zh-CN"/>
                    </w:rPr>
                    <w:t>3.本项目采用电采暖，不涉及燃煤锅炉建设。</w:t>
                  </w:r>
                </w:p>
              </w:tc>
              <w:tc>
                <w:tcPr>
                  <w:tcW w:w="274" w:type="pct"/>
                  <w:tcBorders>
                    <w:tl2br w:val="nil"/>
                    <w:tr2bl w:val="nil"/>
                  </w:tcBorders>
                  <w:noWrap w:val="0"/>
                  <w:vAlign w:val="center"/>
                </w:tcPr>
                <w:p w14:paraId="2EAB39FB">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FF"/>
                      <w:kern w:val="24"/>
                      <w:sz w:val="21"/>
                      <w:szCs w:val="21"/>
                      <w:highlight w:val="none"/>
                      <w:vertAlign w:val="baseline"/>
                      <w:lang w:val="en-US" w:eastAsia="zh-CN"/>
                    </w:rPr>
                  </w:pPr>
                  <w:r>
                    <w:rPr>
                      <w:rFonts w:hint="default" w:ascii="Times New Roman" w:hAnsi="Times New Roman" w:eastAsia="宋体" w:cs="Times New Roman"/>
                      <w:color w:val="0000FF"/>
                      <w:kern w:val="24"/>
                      <w:sz w:val="21"/>
                      <w:szCs w:val="21"/>
                      <w:highlight w:val="none"/>
                      <w:vertAlign w:val="baseline"/>
                      <w:lang w:val="en-US" w:eastAsia="zh-CN"/>
                    </w:rPr>
                    <w:t>符合</w:t>
                  </w:r>
                </w:p>
              </w:tc>
            </w:tr>
            <w:tr w14:paraId="24235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17" w:hRule="atLeast"/>
                <w:jc w:val="center"/>
              </w:trPr>
              <w:tc>
                <w:tcPr>
                  <w:tcW w:w="334" w:type="pct"/>
                  <w:tcBorders>
                    <w:tl2br w:val="nil"/>
                    <w:tr2bl w:val="nil"/>
                  </w:tcBorders>
                  <w:noWrap w:val="0"/>
                  <w:vAlign w:val="center"/>
                </w:tcPr>
                <w:p w14:paraId="41611A60">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afterLines="100" w:afterAutospacing="0" w:line="240" w:lineRule="auto"/>
                    <w:ind w:left="0" w:leftChars="0" w:firstLine="0" w:firstLineChars="0"/>
                    <w:jc w:val="center"/>
                    <w:textAlignment w:val="baseline"/>
                    <w:rPr>
                      <w:rFonts w:hint="default" w:ascii="Times New Roman" w:hAnsi="Times New Roman" w:eastAsia="宋体" w:cs="Times New Roman"/>
                      <w:color w:val="0000FF"/>
                      <w:kern w:val="24"/>
                      <w:sz w:val="21"/>
                      <w:szCs w:val="21"/>
                      <w:highlight w:val="none"/>
                      <w:vertAlign w:val="baseline"/>
                      <w:lang w:val="en-US" w:eastAsia="zh-CN"/>
                    </w:rPr>
                  </w:pPr>
                  <w:r>
                    <w:rPr>
                      <w:rFonts w:hint="default" w:ascii="Times New Roman" w:hAnsi="Times New Roman" w:eastAsia="宋体" w:cs="Times New Roman"/>
                      <w:color w:val="0000FF"/>
                      <w:sz w:val="21"/>
                      <w:szCs w:val="21"/>
                      <w:highlight w:val="none"/>
                      <w:vertAlign w:val="baseline"/>
                      <w:lang w:val="en-US" w:eastAsia="zh-CN"/>
                    </w:rPr>
                    <w:t>污染物排放管控</w:t>
                  </w:r>
                </w:p>
              </w:tc>
              <w:tc>
                <w:tcPr>
                  <w:tcW w:w="2534" w:type="pct"/>
                  <w:tcBorders>
                    <w:tl2br w:val="nil"/>
                    <w:tr2bl w:val="nil"/>
                  </w:tcBorders>
                  <w:noWrap w:val="0"/>
                  <w:vAlign w:val="center"/>
                </w:tcPr>
                <w:p w14:paraId="38B17E56">
                  <w:pPr>
                    <w:keepNext w:val="0"/>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1、推进燃气锅炉低氮燃烧改造和65蒸吨/小时及以上燃煤锅炉超低排放改造，到2024年县级及以上城市建成区基本淘汰35蒸吨/小时及以下的燃煤锅炉，“乌—昌—石”区域基本淘汰65蒸吨/小时以下燃煤锅炉。</w:t>
                  </w:r>
                </w:p>
                <w:p w14:paraId="3C7C8839">
                  <w:pPr>
                    <w:keepNext w:val="0"/>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2、“乌-昌-石”区域内，已实施超低排放的涉气排污单位，其实施超低排放改造的污染因子执行超低排放限值，其他污染因子执行特别排放限值和特别控制要求。</w:t>
                  </w:r>
                </w:p>
                <w:p w14:paraId="6ECFF97C">
                  <w:pPr>
                    <w:keepNext w:val="0"/>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3、加大对纯凝机组和热电联产机组技术改造力度，加快供热管网建设，充分释放和提高供热能力。</w:t>
                  </w:r>
                </w:p>
                <w:p w14:paraId="223839F9">
                  <w:pPr>
                    <w:keepNext w:val="0"/>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color w:val="0000FF"/>
                      <w:kern w:val="24"/>
                      <w:sz w:val="21"/>
                      <w:szCs w:val="21"/>
                      <w:highlight w:val="none"/>
                      <w:vertAlign w:val="baseline"/>
                      <w:lang w:val="en-US" w:eastAsia="zh-CN"/>
                    </w:rPr>
                  </w:pPr>
                  <w:r>
                    <w:rPr>
                      <w:rFonts w:hint="default" w:ascii="Times New Roman" w:hAnsi="Times New Roman" w:eastAsia="宋体" w:cs="Times New Roman"/>
                      <w:color w:val="0000FF"/>
                      <w:sz w:val="21"/>
                      <w:szCs w:val="21"/>
                    </w:rPr>
                    <w:t>4、施工工地全面落实“六个百分之百”（施工工地周边围挡、物料堆放覆盖、出入车辆冲洗、施工现场地面硬化、拆迁工地湿法作业、渣土车辆密闭运输）。</w:t>
                  </w:r>
                </w:p>
              </w:tc>
              <w:tc>
                <w:tcPr>
                  <w:tcW w:w="1857" w:type="pct"/>
                  <w:tcBorders>
                    <w:tl2br w:val="nil"/>
                    <w:tr2bl w:val="nil"/>
                  </w:tcBorders>
                  <w:noWrap w:val="0"/>
                  <w:vAlign w:val="center"/>
                </w:tcPr>
                <w:p w14:paraId="4BCAD4BA">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after="0" w:afterLines="0" w:afterAutospacing="0" w:line="240" w:lineRule="auto"/>
                    <w:jc w:val="both"/>
                    <w:textAlignment w:val="baseline"/>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1.</w:t>
                  </w:r>
                  <w:r>
                    <w:rPr>
                      <w:rFonts w:hint="eastAsia" w:cs="Times New Roman"/>
                      <w:color w:val="0000FF"/>
                      <w:sz w:val="21"/>
                      <w:szCs w:val="21"/>
                      <w:highlight w:val="none"/>
                      <w:lang w:val="en-US" w:eastAsia="zh-CN"/>
                    </w:rPr>
                    <w:t>本项目为加油站建设项目，非锅炉建设项目；</w:t>
                  </w:r>
                </w:p>
                <w:p w14:paraId="23448EE8">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after="0" w:afterLines="0" w:afterAutospacing="0" w:line="240" w:lineRule="auto"/>
                    <w:jc w:val="both"/>
                    <w:textAlignment w:val="baseline"/>
                    <w:rPr>
                      <w:rFonts w:hint="default" w:ascii="Times New Roman" w:hAnsi="Times New Roman" w:eastAsia="宋体" w:cs="Times New Roman"/>
                      <w:color w:val="0000FF"/>
                      <w:sz w:val="21"/>
                      <w:szCs w:val="21"/>
                      <w:highlight w:val="none"/>
                      <w:lang w:eastAsia="zh-CN"/>
                    </w:rPr>
                  </w:pPr>
                  <w:r>
                    <w:rPr>
                      <w:rFonts w:hint="eastAsia" w:cs="Times New Roman"/>
                      <w:color w:val="0000FF"/>
                      <w:sz w:val="21"/>
                      <w:szCs w:val="21"/>
                      <w:highlight w:val="none"/>
                      <w:lang w:val="en-US" w:eastAsia="zh-CN"/>
                    </w:rPr>
                    <w:t>2.</w:t>
                  </w:r>
                  <w:r>
                    <w:rPr>
                      <w:rFonts w:hint="default" w:ascii="Times New Roman" w:hAnsi="Times New Roman" w:eastAsia="宋体" w:cs="Times New Roman"/>
                      <w:color w:val="0000FF"/>
                      <w:sz w:val="21"/>
                      <w:szCs w:val="21"/>
                      <w:highlight w:val="none"/>
                      <w:lang w:val="en-US" w:eastAsia="zh-CN"/>
                    </w:rPr>
                    <w:t>本项目执行《加油站大气污染物排放标准》（GB20952-2020）中排放限值</w:t>
                  </w:r>
                  <w:r>
                    <w:rPr>
                      <w:rFonts w:hint="eastAsia" w:ascii="Times New Roman" w:hAnsi="Times New Roman" w:eastAsia="宋体" w:cs="Times New Roman"/>
                      <w:color w:val="0000FF"/>
                      <w:sz w:val="21"/>
                      <w:szCs w:val="21"/>
                      <w:highlight w:val="none"/>
                      <w:lang w:val="en-US" w:eastAsia="zh-CN"/>
                    </w:rPr>
                    <w:t>要求</w:t>
                  </w:r>
                  <w:r>
                    <w:rPr>
                      <w:rFonts w:hint="default" w:ascii="Times New Roman" w:hAnsi="Times New Roman" w:eastAsia="宋体" w:cs="Times New Roman"/>
                      <w:color w:val="0000FF"/>
                      <w:sz w:val="21"/>
                      <w:szCs w:val="21"/>
                      <w:highlight w:val="none"/>
                      <w:lang w:eastAsia="zh-CN"/>
                    </w:rPr>
                    <w:t>；</w:t>
                  </w:r>
                </w:p>
                <w:p w14:paraId="2004615B">
                  <w:pPr>
                    <w:keepNext w:val="0"/>
                    <w:keepLines w:val="0"/>
                    <w:pageBreakBefore w:val="0"/>
                    <w:widowControl w:val="0"/>
                    <w:kinsoku w:val="0"/>
                    <w:wordWrap/>
                    <w:overflowPunct/>
                    <w:topLinePunct w:val="0"/>
                    <w:autoSpaceDE w:val="0"/>
                    <w:autoSpaceDN w:val="0"/>
                    <w:bidi w:val="0"/>
                    <w:adjustRightInd w:val="0"/>
                    <w:snapToGrid w:val="0"/>
                    <w:jc w:val="both"/>
                    <w:textAlignment w:val="baseline"/>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sz w:val="21"/>
                      <w:szCs w:val="21"/>
                      <w:highlight w:val="none"/>
                      <w:vertAlign w:val="baseline"/>
                      <w:lang w:val="en-US" w:eastAsia="zh-CN"/>
                    </w:rPr>
                    <w:t>3</w:t>
                  </w:r>
                  <w:r>
                    <w:rPr>
                      <w:rFonts w:hint="default" w:ascii="Times New Roman" w:hAnsi="Times New Roman" w:eastAsia="宋体" w:cs="Times New Roman"/>
                      <w:color w:val="0000FF"/>
                      <w:sz w:val="21"/>
                      <w:szCs w:val="21"/>
                      <w:highlight w:val="none"/>
                      <w:vertAlign w:val="baseline"/>
                      <w:lang w:val="en-US" w:eastAsia="zh-CN"/>
                    </w:rPr>
                    <w:t>.本项目</w:t>
                  </w:r>
                  <w:r>
                    <w:rPr>
                      <w:rFonts w:hint="eastAsia" w:cs="Times New Roman"/>
                      <w:color w:val="0000FF"/>
                      <w:sz w:val="21"/>
                      <w:szCs w:val="21"/>
                      <w:highlight w:val="none"/>
                      <w:vertAlign w:val="baseline"/>
                      <w:lang w:val="en-US" w:eastAsia="zh-CN"/>
                    </w:rPr>
                    <w:t>生活废水排入污水管网，洗车废水经隔油沉淀池处理后回排入污水管网，最终纳入污水处理厂处理。</w:t>
                  </w:r>
                </w:p>
              </w:tc>
              <w:tc>
                <w:tcPr>
                  <w:tcW w:w="274" w:type="pct"/>
                  <w:tcBorders>
                    <w:tl2br w:val="nil"/>
                    <w:tr2bl w:val="nil"/>
                  </w:tcBorders>
                  <w:noWrap w:val="0"/>
                  <w:vAlign w:val="center"/>
                </w:tcPr>
                <w:p w14:paraId="5066FFCD">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FF"/>
                      <w:kern w:val="24"/>
                      <w:sz w:val="21"/>
                      <w:szCs w:val="21"/>
                      <w:highlight w:val="none"/>
                      <w:vertAlign w:val="baseline"/>
                      <w:lang w:val="en-US" w:eastAsia="zh-CN"/>
                    </w:rPr>
                  </w:pPr>
                  <w:r>
                    <w:rPr>
                      <w:rFonts w:hint="default" w:ascii="Times New Roman" w:hAnsi="Times New Roman" w:eastAsia="宋体" w:cs="Times New Roman"/>
                      <w:color w:val="0000FF"/>
                      <w:kern w:val="24"/>
                      <w:sz w:val="21"/>
                      <w:szCs w:val="21"/>
                      <w:highlight w:val="none"/>
                      <w:vertAlign w:val="baseline"/>
                      <w:lang w:val="en-US" w:eastAsia="zh-CN"/>
                    </w:rPr>
                    <w:t>符合</w:t>
                  </w:r>
                </w:p>
              </w:tc>
            </w:tr>
            <w:tr w14:paraId="01065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4" w:type="pct"/>
                  <w:tcBorders>
                    <w:tl2br w:val="nil"/>
                    <w:tr2bl w:val="nil"/>
                  </w:tcBorders>
                  <w:noWrap w:val="0"/>
                  <w:vAlign w:val="center"/>
                </w:tcPr>
                <w:p w14:paraId="17BC8D50">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afterLines="100" w:afterAutospacing="0" w:line="240" w:lineRule="auto"/>
                    <w:ind w:left="0" w:leftChars="0" w:firstLine="0" w:firstLineChars="0"/>
                    <w:jc w:val="center"/>
                    <w:textAlignment w:val="baseline"/>
                    <w:rPr>
                      <w:rFonts w:hint="default" w:ascii="Times New Roman" w:hAnsi="Times New Roman" w:eastAsia="宋体" w:cs="Times New Roman"/>
                      <w:color w:val="0000FF"/>
                      <w:kern w:val="24"/>
                      <w:sz w:val="21"/>
                      <w:szCs w:val="21"/>
                      <w:highlight w:val="none"/>
                      <w:vertAlign w:val="baseline"/>
                      <w:lang w:val="en-US" w:eastAsia="zh-CN"/>
                    </w:rPr>
                  </w:pPr>
                  <w:r>
                    <w:rPr>
                      <w:rFonts w:hint="default" w:ascii="Times New Roman" w:hAnsi="Times New Roman" w:eastAsia="宋体" w:cs="Times New Roman"/>
                      <w:color w:val="0000FF"/>
                      <w:sz w:val="21"/>
                      <w:szCs w:val="21"/>
                      <w:highlight w:val="none"/>
                      <w:vertAlign w:val="baseline"/>
                      <w:lang w:val="en-US" w:eastAsia="zh-CN"/>
                    </w:rPr>
                    <w:t>环境风险防控</w:t>
                  </w:r>
                </w:p>
              </w:tc>
              <w:tc>
                <w:tcPr>
                  <w:tcW w:w="2534" w:type="pct"/>
                  <w:tcBorders>
                    <w:tl2br w:val="nil"/>
                    <w:tr2bl w:val="nil"/>
                  </w:tcBorders>
                  <w:noWrap w:val="0"/>
                  <w:vAlign w:val="center"/>
                </w:tcPr>
                <w:p w14:paraId="51D6D40D">
                  <w:pPr>
                    <w:keepNext w:val="0"/>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1、严格危险化学品废弃处置。对城镇人口密集区现有不符合安全和卫生防护距离要求的危险化学品生产企业，进行定量风险评估，就地改造达标、搬迁进入规范化工园区或关闭退出。</w:t>
                  </w:r>
                </w:p>
                <w:p w14:paraId="0238459F">
                  <w:pPr>
                    <w:keepNext w:val="0"/>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color w:val="0000FF"/>
                      <w:kern w:val="24"/>
                      <w:sz w:val="21"/>
                      <w:szCs w:val="21"/>
                      <w:highlight w:val="none"/>
                      <w:vertAlign w:val="baseline"/>
                      <w:lang w:val="en-US" w:eastAsia="zh-CN"/>
                    </w:rPr>
                  </w:pPr>
                  <w:r>
                    <w:rPr>
                      <w:rFonts w:hint="default" w:ascii="Times New Roman" w:hAnsi="Times New Roman" w:eastAsia="宋体" w:cs="Times New Roman"/>
                      <w:color w:val="0000FF"/>
                      <w:sz w:val="21"/>
                      <w:szCs w:val="21"/>
                    </w:rPr>
                    <w:t>2、提升饮用水安全保障水平。以县级及以上集中式饮用水水源地为重点，推进饮用水水源保护区规范化建设，统筹推进备用水源或应急水源建设。强化饮用水水源保护区环境应急管理，完善重大突发环境事件的物资和技术储备。针对汇水区、补给区存在兵地跨界的，建立统一的饮用水水源应急和执法机制，共享应急物资。</w:t>
                  </w:r>
                </w:p>
              </w:tc>
              <w:tc>
                <w:tcPr>
                  <w:tcW w:w="1857" w:type="pct"/>
                  <w:tcBorders>
                    <w:tl2br w:val="nil"/>
                    <w:tr2bl w:val="nil"/>
                  </w:tcBorders>
                  <w:noWrap w:val="0"/>
                  <w:vAlign w:val="center"/>
                </w:tcPr>
                <w:p w14:paraId="06CA0896">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after="0" w:afterAutospacing="0" w:line="240" w:lineRule="auto"/>
                    <w:ind w:left="0" w:leftChars="0" w:firstLine="0" w:firstLineChars="0"/>
                    <w:jc w:val="both"/>
                    <w:textAlignment w:val="baseline"/>
                    <w:rPr>
                      <w:rFonts w:hint="eastAsia"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1.</w:t>
                  </w:r>
                  <w:r>
                    <w:rPr>
                      <w:rFonts w:hint="default" w:ascii="Times New Roman" w:hAnsi="Times New Roman" w:eastAsia="宋体" w:cs="Times New Roman"/>
                      <w:color w:val="0000FF"/>
                      <w:sz w:val="21"/>
                      <w:szCs w:val="21"/>
                      <w:highlight w:val="none"/>
                      <w:vertAlign w:val="baseline"/>
                      <w:lang w:val="en-US" w:eastAsia="zh-CN"/>
                    </w:rPr>
                    <w:t>本项目</w:t>
                  </w:r>
                  <w:r>
                    <w:rPr>
                      <w:rFonts w:hint="eastAsia" w:ascii="Times New Roman" w:hAnsi="Times New Roman" w:eastAsia="宋体" w:cs="Times New Roman"/>
                      <w:color w:val="0000FF"/>
                      <w:sz w:val="21"/>
                      <w:szCs w:val="21"/>
                      <w:highlight w:val="none"/>
                      <w:vertAlign w:val="baseline"/>
                      <w:lang w:val="en-US" w:eastAsia="zh-CN"/>
                    </w:rPr>
                    <w:t>生产废水</w:t>
                  </w:r>
                  <w:r>
                    <w:rPr>
                      <w:rFonts w:hint="eastAsia" w:cs="Times New Roman"/>
                      <w:color w:val="0000FF"/>
                      <w:sz w:val="21"/>
                      <w:szCs w:val="21"/>
                      <w:highlight w:val="none"/>
                      <w:vertAlign w:val="baseline"/>
                      <w:lang w:val="en-US" w:eastAsia="zh-CN"/>
                    </w:rPr>
                    <w:t>外排</w:t>
                  </w:r>
                  <w:r>
                    <w:rPr>
                      <w:rFonts w:hint="eastAsia" w:ascii="Times New Roman" w:hAnsi="Times New Roman" w:eastAsia="宋体" w:cs="Times New Roman"/>
                      <w:color w:val="0000FF"/>
                      <w:sz w:val="21"/>
                      <w:szCs w:val="21"/>
                      <w:highlight w:val="none"/>
                      <w:vertAlign w:val="baseline"/>
                      <w:lang w:val="en-US" w:eastAsia="zh-CN"/>
                    </w:rPr>
                    <w:t>，生活污水排入污水管网，最终纳入污水处理厂处理；</w:t>
                  </w:r>
                </w:p>
                <w:p w14:paraId="23ED8C45">
                  <w:pPr>
                    <w:pStyle w:val="15"/>
                    <w:keepNext w:val="0"/>
                    <w:keepLines w:val="0"/>
                    <w:pageBreakBefore w:val="0"/>
                    <w:widowControl w:val="0"/>
                    <w:wordWrap/>
                    <w:overflowPunct/>
                    <w:topLinePunct w:val="0"/>
                    <w:bidi w:val="0"/>
                    <w:ind w:firstLine="0" w:firstLineChars="0"/>
                    <w:rPr>
                      <w:rFonts w:hint="default"/>
                      <w:color w:val="0000FF"/>
                      <w:lang w:val="en-US" w:eastAsia="zh-CN"/>
                    </w:rPr>
                  </w:pPr>
                  <w:r>
                    <w:rPr>
                      <w:rFonts w:hint="eastAsia" w:ascii="Times New Roman" w:hAnsi="Times New Roman" w:cs="Times New Roman"/>
                      <w:color w:val="0000FF"/>
                      <w:sz w:val="21"/>
                      <w:szCs w:val="21"/>
                      <w:highlight w:val="none"/>
                      <w:vertAlign w:val="baseline"/>
                      <w:lang w:val="en-US" w:eastAsia="zh-CN"/>
                    </w:rPr>
                    <w:t>2.本项目非危险化学品生产项目；</w:t>
                  </w:r>
                </w:p>
                <w:p w14:paraId="4C032721">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after="0" w:afterAutospacing="0" w:line="240" w:lineRule="auto"/>
                    <w:ind w:left="0" w:leftChars="0" w:firstLine="0" w:firstLineChars="0"/>
                    <w:jc w:val="both"/>
                    <w:textAlignment w:val="baseline"/>
                    <w:rPr>
                      <w:rFonts w:hint="default" w:ascii="Times New Roman" w:hAnsi="Times New Roman" w:eastAsia="宋体" w:cs="Times New Roman"/>
                      <w:color w:val="0000FF"/>
                      <w:kern w:val="24"/>
                      <w:sz w:val="21"/>
                      <w:szCs w:val="21"/>
                      <w:lang w:val="en-US" w:eastAsia="zh-CN"/>
                    </w:rPr>
                  </w:pPr>
                  <w:r>
                    <w:rPr>
                      <w:rFonts w:hint="eastAsia" w:cs="Times New Roman"/>
                      <w:color w:val="0000FF"/>
                      <w:sz w:val="21"/>
                      <w:szCs w:val="21"/>
                      <w:highlight w:val="none"/>
                      <w:vertAlign w:val="baseline"/>
                      <w:lang w:val="en-US" w:eastAsia="zh-CN"/>
                    </w:rPr>
                    <w:t>3.</w:t>
                  </w:r>
                  <w:r>
                    <w:rPr>
                      <w:rFonts w:hint="eastAsia" w:ascii="Times New Roman" w:hAnsi="Times New Roman" w:eastAsia="宋体" w:cs="Times New Roman"/>
                      <w:color w:val="0000FF"/>
                      <w:sz w:val="21"/>
                      <w:szCs w:val="21"/>
                      <w:highlight w:val="none"/>
                      <w:vertAlign w:val="baseline"/>
                      <w:lang w:val="en-US" w:eastAsia="zh-CN"/>
                    </w:rPr>
                    <w:t>本项目采取分区防渗措施，</w:t>
                  </w:r>
                  <w:r>
                    <w:rPr>
                      <w:rFonts w:hint="default" w:ascii="Times New Roman" w:hAnsi="Times New Roman" w:eastAsia="宋体" w:cs="Times New Roman"/>
                      <w:color w:val="0000FF"/>
                      <w:sz w:val="21"/>
                      <w:szCs w:val="21"/>
                      <w:highlight w:val="none"/>
                      <w:vertAlign w:val="baseline"/>
                      <w:lang w:val="en-US" w:eastAsia="zh-CN"/>
                    </w:rPr>
                    <w:t>防止有毒有害物质渗漏、流失、扬散，避免土壤受到污染。</w:t>
                  </w:r>
                </w:p>
              </w:tc>
              <w:tc>
                <w:tcPr>
                  <w:tcW w:w="274" w:type="pct"/>
                  <w:tcBorders>
                    <w:tl2br w:val="nil"/>
                    <w:tr2bl w:val="nil"/>
                  </w:tcBorders>
                  <w:noWrap w:val="0"/>
                  <w:vAlign w:val="center"/>
                </w:tcPr>
                <w:p w14:paraId="40DC423F">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FF"/>
                      <w:kern w:val="24"/>
                      <w:sz w:val="21"/>
                      <w:szCs w:val="21"/>
                      <w:highlight w:val="none"/>
                      <w:vertAlign w:val="baseline"/>
                      <w:lang w:val="en-US" w:eastAsia="zh-CN"/>
                    </w:rPr>
                  </w:pPr>
                  <w:r>
                    <w:rPr>
                      <w:rFonts w:hint="default" w:ascii="Times New Roman" w:hAnsi="Times New Roman" w:eastAsia="宋体" w:cs="Times New Roman"/>
                      <w:color w:val="0000FF"/>
                      <w:kern w:val="24"/>
                      <w:sz w:val="21"/>
                      <w:szCs w:val="21"/>
                      <w:highlight w:val="none"/>
                      <w:vertAlign w:val="baseline"/>
                      <w:lang w:val="en-US" w:eastAsia="zh-CN"/>
                    </w:rPr>
                    <w:t>符合</w:t>
                  </w:r>
                </w:p>
              </w:tc>
            </w:tr>
            <w:tr w14:paraId="67FCF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4" w:type="pct"/>
                  <w:tcBorders>
                    <w:tl2br w:val="nil"/>
                    <w:tr2bl w:val="nil"/>
                  </w:tcBorders>
                  <w:noWrap w:val="0"/>
                  <w:vAlign w:val="center"/>
                </w:tcPr>
                <w:p w14:paraId="50B16DBE">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afterLines="100" w:afterAutospacing="0" w:line="240" w:lineRule="auto"/>
                    <w:ind w:left="0" w:leftChars="0" w:firstLine="0" w:firstLineChars="0"/>
                    <w:jc w:val="center"/>
                    <w:textAlignment w:val="baseline"/>
                    <w:rPr>
                      <w:rFonts w:hint="default" w:ascii="Times New Roman" w:hAnsi="Times New Roman" w:eastAsia="宋体" w:cs="Times New Roman"/>
                      <w:color w:val="0000FF"/>
                      <w:kern w:val="24"/>
                      <w:sz w:val="21"/>
                      <w:szCs w:val="21"/>
                      <w:highlight w:val="none"/>
                      <w:vertAlign w:val="baseline"/>
                      <w:lang w:val="en-US" w:eastAsia="zh-CN"/>
                    </w:rPr>
                  </w:pPr>
                  <w:r>
                    <w:rPr>
                      <w:rFonts w:hint="default" w:ascii="Times New Roman" w:hAnsi="Times New Roman" w:eastAsia="宋体" w:cs="Times New Roman"/>
                      <w:color w:val="0000FF"/>
                      <w:sz w:val="21"/>
                      <w:szCs w:val="21"/>
                      <w:highlight w:val="none"/>
                      <w:vertAlign w:val="baseline"/>
                      <w:lang w:val="en-US" w:eastAsia="zh-CN"/>
                    </w:rPr>
                    <w:t>资源利用效率</w:t>
                  </w:r>
                </w:p>
              </w:tc>
              <w:tc>
                <w:tcPr>
                  <w:tcW w:w="2534" w:type="pct"/>
                  <w:tcBorders>
                    <w:tl2br w:val="nil"/>
                    <w:tr2bl w:val="nil"/>
                  </w:tcBorders>
                  <w:noWrap w:val="0"/>
                  <w:vAlign w:val="center"/>
                </w:tcPr>
                <w:p w14:paraId="1B19E44E">
                  <w:pPr>
                    <w:keepNext w:val="0"/>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rPr>
                    <w:t>1、禁止销售、燃用原煤、粉煤、各种可燃废物等高污染燃料；禁止新建、扩建燃用高污染燃料的设施，已建设成的，应当在规定的期限内改用清洁能源；严格控制引进高载能项目。</w:t>
                  </w:r>
                </w:p>
              </w:tc>
              <w:tc>
                <w:tcPr>
                  <w:tcW w:w="1857" w:type="pct"/>
                  <w:tcBorders>
                    <w:tl2br w:val="nil"/>
                    <w:tr2bl w:val="nil"/>
                  </w:tcBorders>
                  <w:noWrap w:val="0"/>
                  <w:vAlign w:val="center"/>
                </w:tcPr>
                <w:p w14:paraId="1E25E094">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after="0" w:afterLines="100" w:afterAutospacing="0" w:line="240" w:lineRule="auto"/>
                    <w:ind w:left="0" w:leftChars="0" w:firstLine="0" w:firstLineChars="0"/>
                    <w:jc w:val="both"/>
                    <w:textAlignment w:val="baseline"/>
                    <w:rPr>
                      <w:rFonts w:hint="default" w:ascii="Times New Roman" w:hAnsi="Times New Roman" w:eastAsia="宋体" w:cs="Times New Roman"/>
                      <w:color w:val="0000FF"/>
                      <w:kern w:val="24"/>
                      <w:sz w:val="21"/>
                      <w:szCs w:val="21"/>
                      <w:lang w:val="en-US" w:eastAsia="zh-CN"/>
                    </w:rPr>
                  </w:pPr>
                  <w:r>
                    <w:rPr>
                      <w:rFonts w:hint="default" w:ascii="Times New Roman" w:hAnsi="Times New Roman" w:eastAsia="宋体" w:cs="Times New Roman"/>
                      <w:color w:val="0000FF"/>
                      <w:sz w:val="21"/>
                      <w:szCs w:val="21"/>
                      <w:highlight w:val="none"/>
                      <w:vertAlign w:val="baseline"/>
                      <w:lang w:val="en-US" w:eastAsia="zh-CN"/>
                    </w:rPr>
                    <w:t>本项目</w:t>
                  </w:r>
                  <w:r>
                    <w:rPr>
                      <w:rFonts w:hint="eastAsia" w:cs="Times New Roman"/>
                      <w:color w:val="0000FF"/>
                      <w:sz w:val="21"/>
                      <w:szCs w:val="21"/>
                      <w:highlight w:val="none"/>
                      <w:vertAlign w:val="baseline"/>
                      <w:lang w:val="en-US" w:eastAsia="zh-CN"/>
                    </w:rPr>
                    <w:t>为加油站建设项目，不涉及高污染燃料燃用</w:t>
                  </w:r>
                  <w:r>
                    <w:rPr>
                      <w:rFonts w:hint="default" w:ascii="Times New Roman" w:hAnsi="Times New Roman" w:eastAsia="宋体" w:cs="Times New Roman"/>
                      <w:color w:val="0000FF"/>
                      <w:sz w:val="21"/>
                      <w:szCs w:val="21"/>
                      <w:highlight w:val="none"/>
                      <w:vertAlign w:val="baseline"/>
                      <w:lang w:val="en-US" w:eastAsia="zh-CN"/>
                    </w:rPr>
                    <w:t>。</w:t>
                  </w:r>
                </w:p>
              </w:tc>
              <w:tc>
                <w:tcPr>
                  <w:tcW w:w="274" w:type="pct"/>
                  <w:tcBorders>
                    <w:tl2br w:val="nil"/>
                    <w:tr2bl w:val="nil"/>
                  </w:tcBorders>
                  <w:noWrap w:val="0"/>
                  <w:vAlign w:val="center"/>
                </w:tcPr>
                <w:p w14:paraId="6A17AAC1">
                  <w:pPr>
                    <w:pStyle w:val="56"/>
                    <w:keepNext w:val="0"/>
                    <w:keepLines w:val="0"/>
                    <w:pageBreakBefore w:val="0"/>
                    <w:widowControl w:val="0"/>
                    <w:wordWrap/>
                    <w:overflow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FF"/>
                      <w:kern w:val="24"/>
                      <w:sz w:val="21"/>
                      <w:szCs w:val="21"/>
                      <w:highlight w:val="none"/>
                      <w:vertAlign w:val="baseline"/>
                      <w:lang w:val="en-US" w:eastAsia="zh-CN"/>
                    </w:rPr>
                  </w:pPr>
                  <w:r>
                    <w:rPr>
                      <w:rFonts w:hint="default" w:ascii="Times New Roman" w:hAnsi="Times New Roman" w:eastAsia="宋体" w:cs="Times New Roman"/>
                      <w:color w:val="0000FF"/>
                      <w:kern w:val="24"/>
                      <w:sz w:val="21"/>
                      <w:szCs w:val="21"/>
                      <w:highlight w:val="none"/>
                      <w:vertAlign w:val="baseline"/>
                      <w:lang w:val="en-US" w:eastAsia="zh-CN"/>
                    </w:rPr>
                    <w:t>符合</w:t>
                  </w:r>
                </w:p>
              </w:tc>
            </w:tr>
          </w:tbl>
          <w:p w14:paraId="3B47F449">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outlineLvl w:val="9"/>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color w:val="000000" w:themeColor="text1"/>
                <w:kern w:val="0"/>
                <w:sz w:val="24"/>
                <w:szCs w:val="24"/>
                <w:lang w:val="en-US" w:eastAsia="zh-CN" w:bidi="ar"/>
                <w14:textFill>
                  <w14:solidFill>
                    <w14:schemeClr w14:val="tx1"/>
                  </w14:solidFill>
                </w14:textFill>
              </w:rPr>
              <w:t>1.</w:t>
            </w:r>
            <w:r>
              <w:rPr>
                <w:rFonts w:hint="eastAsia" w:cs="Times New Roman"/>
                <w:b/>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Times New Roman"/>
                <w:b/>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宋体" w:cs="Times New Roman"/>
                <w:b/>
                <w:bCs w:val="0"/>
                <w:color w:val="000000" w:themeColor="text1"/>
                <w:kern w:val="24"/>
                <w:sz w:val="24"/>
                <w:szCs w:val="24"/>
                <w:highlight w:val="none"/>
                <w14:textFill>
                  <w14:solidFill>
                    <w14:schemeClr w14:val="tx1"/>
                  </w14:solidFill>
                </w14:textFill>
              </w:rPr>
              <w:t>其他相关文件的符合性分析</w:t>
            </w:r>
          </w:p>
          <w:p w14:paraId="47F16453">
            <w:pPr>
              <w:keepNext w:val="0"/>
              <w:keepLines w:val="0"/>
              <w:pageBreakBefore w:val="0"/>
              <w:widowControl w:val="0"/>
              <w:suppressLineNumbers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lang w:val="en-US" w:eastAsia="zh-CN" w:bidi="ar"/>
                <w14:textFill>
                  <w14:solidFill>
                    <w14:schemeClr w14:val="tx1"/>
                  </w14:solidFill>
                </w14:textFill>
              </w:rPr>
              <w:t>1.</w:t>
            </w:r>
            <w:r>
              <w:rPr>
                <w:rFonts w:hint="eastAsia" w:cs="Times New Roman"/>
                <w:b/>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Times New Roman"/>
                <w:b/>
                <w:color w:val="000000" w:themeColor="text1"/>
                <w:kern w:val="0"/>
                <w:sz w:val="24"/>
                <w:szCs w:val="24"/>
                <w:lang w:val="en-US" w:eastAsia="zh-CN" w:bidi="ar"/>
                <w14:textFill>
                  <w14:solidFill>
                    <w14:schemeClr w14:val="tx1"/>
                  </w14:solidFill>
                </w14:textFill>
              </w:rPr>
              <w:t xml:space="preserve">.1 </w:t>
            </w: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项目与《重点行业</w:t>
            </w:r>
            <w:r>
              <w:rPr>
                <w:rFonts w:hint="default" w:ascii="Times New Roman" w:hAnsi="Times New Roman" w:cs="Times New Roman"/>
                <w:b/>
                <w:color w:val="000000" w:themeColor="text1"/>
                <w:kern w:val="0"/>
                <w:sz w:val="24"/>
                <w:szCs w:val="24"/>
                <w:lang w:val="en-US" w:eastAsia="zh-CN" w:bidi="ar"/>
                <w14:textFill>
                  <w14:solidFill>
                    <w14:schemeClr w14:val="tx1"/>
                  </w14:solidFill>
                </w14:textFill>
              </w:rPr>
              <w:t>挥发性有机物</w:t>
            </w: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综合治理方案》符合性分析</w:t>
            </w:r>
          </w:p>
          <w:p w14:paraId="713A3210">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《重点行业挥发性有机物综合治理方案》提出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油品储运销VOCs综合治理。加大汽油（含乙醇汽油）、石脑油、煤油（含航空煤油）以及原油等VOCs排放控制，重点推进加油站、油罐车、储油库油气回收治理。对含VOCs物料应储存于密闭容器中、包装袋，高效密封储罐，封闭式储库、料仓等；含VOCs物料转移和输送，应采用密闭管道或密闭容器、罐车等”。本项目油品储存于密闭的地埋卧式双层油罐中，油品由密闭罐车通过管道输送至储罐，再由管道输送至加油机，全过程均为密闭管道输送，且配套设置</w:t>
            </w:r>
            <w:r>
              <w:rPr>
                <w:rFonts w:hint="eastAsia" w:cs="Times New Roman"/>
                <w:color w:val="000000" w:themeColor="text1"/>
                <w:kern w:val="0"/>
                <w:sz w:val="24"/>
                <w:szCs w:val="24"/>
                <w:lang w:val="en-US" w:eastAsia="zh-CN" w:bidi="ar"/>
                <w14:textFill>
                  <w14:solidFill>
                    <w14:schemeClr w14:val="tx1"/>
                  </w14:solidFill>
                </w14:textFill>
              </w:rPr>
              <w:t>三次</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油气回收装置对VOCs废气进行收集回收。符合《重点行业挥发性有机物综合治理方案》的要求。</w:t>
            </w:r>
          </w:p>
          <w:p w14:paraId="4125C44A">
            <w:pPr>
              <w:keepNext w:val="0"/>
              <w:keepLines w:val="0"/>
              <w:pageBreakBefore w:val="0"/>
              <w:widowControl w:val="0"/>
              <w:suppressLineNumbers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lang w:val="en-US" w:eastAsia="zh-CN" w:bidi="ar"/>
                <w14:textFill>
                  <w14:solidFill>
                    <w14:schemeClr w14:val="tx1"/>
                  </w14:solidFill>
                </w14:textFill>
              </w:rPr>
              <w:t>1.</w:t>
            </w:r>
            <w:r>
              <w:rPr>
                <w:rFonts w:hint="eastAsia" w:cs="Times New Roman"/>
                <w:b/>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Times New Roman"/>
                <w:b/>
                <w:color w:val="000000" w:themeColor="text1"/>
                <w:kern w:val="0"/>
                <w:sz w:val="24"/>
                <w:szCs w:val="24"/>
                <w:lang w:val="en-US" w:eastAsia="zh-CN" w:bidi="ar"/>
                <w14:textFill>
                  <w14:solidFill>
                    <w14:schemeClr w14:val="tx1"/>
                  </w14:solidFill>
                </w14:textFill>
              </w:rPr>
              <w:t xml:space="preserve">.2 </w:t>
            </w:r>
            <w:r>
              <w:rPr>
                <w:rFonts w:hint="default" w:ascii="Times New Roman" w:hAnsi="Times New Roman" w:eastAsia="宋体" w:cs="Times New Roman"/>
                <w:b/>
                <w:color w:val="000000" w:themeColor="text1"/>
                <w:kern w:val="0"/>
                <w:sz w:val="24"/>
                <w:szCs w:val="24"/>
                <w:lang w:val="en-US" w:eastAsia="zh-CN" w:bidi="ar"/>
                <w14:textFill>
                  <w14:solidFill>
                    <w14:schemeClr w14:val="tx1"/>
                  </w14:solidFill>
                </w14:textFill>
              </w:rPr>
              <w:t>与《挥发性有机物无组织排放控制标准》（GB37822-2019）的符合性分析</w:t>
            </w:r>
          </w:p>
          <w:p w14:paraId="4DE923F6">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color w:val="000000" w:themeColor="text1"/>
                <w:spacing w:val="4"/>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挥发性有机物无组织排放控制标准》（GB37822-2019）要求：“VOCs物料应储存于密闭的容器、包装袋、储罐、储库、料仓中；盛装VOCs物料的容器或包装袋应存放于室内，或存放于设置有雨棚、遮阳和防渗设施的专用场地；液态VOCs物料应采用密闭管道输送，采用非管道输送方式转移液态VOCs物料时，应采用密闭容器、罐车；企业应考虑生产工艺、操作方式、废气性质、处理方法等因素，对VOCs废气进行分类收集。”本项目油品储存于密闭的地埋式双层油罐中，且站区内采取分区防渗措施；本项目油品由密闭罐车通过管道输送至密封储存区，再由管道输送至加油机，全过程均为密闭管道输送，且配套设置油气回收装置对VOCs废气进行收集回收。因此，本项目符合《挥发性有机物无组织排放控制标准》（GB37822-2019）中关于要求VOCs的防控要求。</w:t>
            </w:r>
          </w:p>
          <w:p w14:paraId="30A9C91B">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outlineLvl w:val="9"/>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cs="Times New Roman"/>
                <w:b/>
                <w:color w:val="000000" w:themeColor="text1"/>
                <w:sz w:val="24"/>
                <w:szCs w:val="24"/>
                <w:lang w:val="en-US" w:eastAsia="zh-CN"/>
                <w14:textFill>
                  <w14:solidFill>
                    <w14:schemeClr w14:val="tx1"/>
                  </w14:solidFill>
                </w14:textFill>
              </w:rPr>
              <w:t>1.</w:t>
            </w:r>
            <w:r>
              <w:rPr>
                <w:rFonts w:hint="eastAsia" w:cs="Times New Roman"/>
                <w:b/>
                <w:color w:val="000000" w:themeColor="text1"/>
                <w:sz w:val="24"/>
                <w:szCs w:val="24"/>
                <w:lang w:val="en-US" w:eastAsia="zh-CN"/>
                <w14:textFill>
                  <w14:solidFill>
                    <w14:schemeClr w14:val="tx1"/>
                  </w14:solidFill>
                </w14:textFill>
              </w:rPr>
              <w:t>4</w:t>
            </w:r>
            <w:r>
              <w:rPr>
                <w:rFonts w:hint="eastAsia" w:ascii="Times New Roman" w:hAnsi="Times New Roman" w:cs="Times New Roman"/>
                <w:b/>
                <w:color w:val="000000" w:themeColor="text1"/>
                <w:sz w:val="24"/>
                <w:szCs w:val="24"/>
                <w:lang w:val="en-US" w:eastAsia="zh-CN"/>
                <w14:textFill>
                  <w14:solidFill>
                    <w14:schemeClr w14:val="tx1"/>
                  </w14:solidFill>
                </w14:textFill>
              </w:rPr>
              <w:t xml:space="preserve">.3 </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与</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《中共中央国务院关于深入打好污染防治攻坚战的意见》</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符合性分析</w:t>
            </w:r>
          </w:p>
          <w:p w14:paraId="618444E7">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outlineLvl w:val="9"/>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聚焦夏秋季臭氧污染，大力推进挥发性有机物和氮氧化物协同减排。以石化、化工、涂装、医药、包装印刷、油品储运销等行业领域为重点，安全高效推进挥发性有机物综合治理，实施原辅材料和产品源头替代工程。完善挥发性有机物产品标准体系，建立低挥发性有机物含量产品标识制度。完善挥发性有机物监测技术和排放量计算方法，在相关条件成熟后，研究适时将挥发性有机物纳入环境保护税征收范围。推进钢铁、水泥、焦化行业企业超低排放改造，重点区域钢铁、燃煤机组、燃煤锅炉实现超低排放。开展涉气产业集群排查及分类治理，推进企业升级改造和区域环境综合整治。</w:t>
            </w:r>
          </w:p>
          <w:p w14:paraId="7DE044AB">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textAlignment w:val="auto"/>
              <w:outlineLvl w:val="9"/>
              <w:rPr>
                <w:rFonts w:hint="default"/>
                <w:b w:val="0"/>
                <w:bCs w:val="0"/>
                <w:color w:val="000000" w:themeColor="text1"/>
                <w:sz w:val="24"/>
                <w:szCs w:val="24"/>
                <w:lang w:val="en-US" w:eastAsia="zh-CN"/>
                <w14:textFill>
                  <w14:solidFill>
                    <w14:schemeClr w14:val="tx1"/>
                  </w14:solidFill>
                </w14:textFill>
              </w:rPr>
            </w:pPr>
            <w:r>
              <w:rPr>
                <w:rFonts w:hint="default" w:cs="Times New Roman"/>
                <w:b w:val="0"/>
                <w:bCs/>
                <w:color w:val="000000" w:themeColor="text1"/>
                <w:kern w:val="0"/>
                <w:sz w:val="24"/>
                <w:szCs w:val="24"/>
                <w:lang w:val="en-US" w:eastAsia="zh-CN" w:bidi="ar"/>
                <w14:textFill>
                  <w14:solidFill>
                    <w14:schemeClr w14:val="tx1"/>
                  </w14:solidFill>
                </w14:textFill>
              </w:rPr>
              <w:t>本项目储罐全封闭，油品输送时采用密闭管道输送，汽油采用</w:t>
            </w:r>
            <w:r>
              <w:rPr>
                <w:rFonts w:hint="eastAsia" w:cs="Times New Roman"/>
                <w:b w:val="0"/>
                <w:bCs/>
                <w:color w:val="000000" w:themeColor="text1"/>
                <w:kern w:val="0"/>
                <w:sz w:val="24"/>
                <w:szCs w:val="24"/>
                <w:lang w:val="en-US" w:eastAsia="zh-CN" w:bidi="ar"/>
                <w14:textFill>
                  <w14:solidFill>
                    <w14:schemeClr w14:val="tx1"/>
                  </w14:solidFill>
                </w14:textFill>
              </w:rPr>
              <w:t>三</w:t>
            </w:r>
            <w:r>
              <w:rPr>
                <w:rFonts w:hint="default" w:cs="Times New Roman"/>
                <w:b w:val="0"/>
                <w:bCs/>
                <w:color w:val="000000" w:themeColor="text1"/>
                <w:kern w:val="0"/>
                <w:sz w:val="24"/>
                <w:szCs w:val="24"/>
                <w:lang w:val="en-US" w:eastAsia="zh-CN" w:bidi="ar"/>
                <w14:textFill>
                  <w14:solidFill>
                    <w14:schemeClr w14:val="tx1"/>
                  </w14:solidFill>
                </w14:textFill>
              </w:rPr>
              <w:t>次油气回收装置，能有效回收卸油加油过程的油气，经</w:t>
            </w:r>
            <w:r>
              <w:rPr>
                <w:rFonts w:hint="eastAsia" w:cs="Times New Roman"/>
                <w:b w:val="0"/>
                <w:bCs/>
                <w:color w:val="000000" w:themeColor="text1"/>
                <w:kern w:val="0"/>
                <w:sz w:val="24"/>
                <w:szCs w:val="24"/>
                <w:lang w:val="en-US" w:eastAsia="zh-CN" w:bidi="ar"/>
                <w14:textFill>
                  <w14:solidFill>
                    <w14:schemeClr w14:val="tx1"/>
                  </w14:solidFill>
                </w14:textFill>
              </w:rPr>
              <w:t>三</w:t>
            </w:r>
            <w:r>
              <w:rPr>
                <w:rFonts w:hint="default" w:cs="Times New Roman"/>
                <w:b w:val="0"/>
                <w:bCs/>
                <w:color w:val="000000" w:themeColor="text1"/>
                <w:kern w:val="0"/>
                <w:sz w:val="24"/>
                <w:szCs w:val="24"/>
                <w:lang w:val="en-US" w:eastAsia="zh-CN" w:bidi="ar"/>
                <w14:textFill>
                  <w14:solidFill>
                    <w14:schemeClr w14:val="tx1"/>
                  </w14:solidFill>
                </w14:textFill>
              </w:rPr>
              <w:t>次油气回收系统处理后，外排VOCs可满足相关标准要求。</w:t>
            </w:r>
            <w:r>
              <w:rPr>
                <w:rFonts w:hint="eastAsia" w:cs="Times New Roman"/>
                <w:b w:val="0"/>
                <w:bCs/>
                <w:color w:val="000000" w:themeColor="text1"/>
                <w:kern w:val="0"/>
                <w:sz w:val="24"/>
                <w:szCs w:val="24"/>
                <w:lang w:val="en-US" w:eastAsia="zh-CN" w:bidi="ar"/>
                <w14:textFill>
                  <w14:solidFill>
                    <w14:schemeClr w14:val="tx1"/>
                  </w14:solidFill>
                </w14:textFill>
              </w:rPr>
              <w:t>符合《中共中央国务院关于深入打好污染防治攻坚战的意见》要求。</w:t>
            </w:r>
          </w:p>
          <w:p w14:paraId="42F75EB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1.</w:t>
            </w:r>
            <w:r>
              <w:rPr>
                <w:rFonts w:hint="eastAsia" w:cs="Times New Roman"/>
                <w:b/>
                <w:bCs/>
                <w:color w:val="000000" w:themeColor="text1"/>
                <w:kern w:val="0"/>
                <w:sz w:val="24"/>
                <w:szCs w:val="24"/>
                <w:lang w:val="en-US" w:eastAsia="zh-CN" w:bidi="ar"/>
                <w14:textFill>
                  <w14:solidFill>
                    <w14:schemeClr w14:val="tx1"/>
                  </w14:solidFill>
                </w14:textFill>
              </w:rPr>
              <w:t>4.4</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 与</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《关于加快解决当前挥发性有机物治理突出问题的通知》</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符合性分析</w:t>
            </w:r>
          </w:p>
          <w:p w14:paraId="665915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color w:val="000000" w:themeColor="text1"/>
                <w:kern w:val="0"/>
                <w:sz w:val="24"/>
                <w:szCs w:val="24"/>
                <w:lang w:val="en-US" w:eastAsia="zh-CN" w:bidi="ar"/>
                <w14:textFill>
                  <w14:solidFill>
                    <w14:schemeClr w14:val="tx1"/>
                  </w14:solidFill>
                </w14:textFill>
              </w:rPr>
            </w:pPr>
            <w:r>
              <w:rPr>
                <w:rFonts w:hint="eastAsia" w:cs="Times New Roman"/>
                <w:b w:val="0"/>
                <w:bCs/>
                <w:color w:val="000000" w:themeColor="text1"/>
                <w:kern w:val="0"/>
                <w:sz w:val="24"/>
                <w:szCs w:val="24"/>
                <w:lang w:val="en-US" w:eastAsia="zh-CN" w:bidi="ar"/>
                <w14:textFill>
                  <w14:solidFill>
                    <w14:schemeClr w14:val="tx1"/>
                  </w14:solidFill>
                </w14:textFill>
              </w:rPr>
              <w:t>根据《关于加快解决当前挥发性有机物治理突出问题的通知》附件“挥发性有机物治理突出问题排查整治工作要求”中提出：加油站应全面建立覆盖标准全部要求的油气回收系统日常运行管理制度，建立定期的油气回收系统相关零部件检查、维护台账记录。卸油接口、油气回收接口、卸油软管接头的管径以及操作应满足标准要求。地下油罐应采用电子液位仪密闭量油，除必要的仪器校准、巡查抽查、维修等需人工计量外，不得进行人工量油。未安装P/V阀的汽油排放管手动阀门应保持关闭，应急开启应及时报告当地生态环境部门并及时进行维护，期间不得进行卸油操作。油气处理装置应保持正常运行，不得随意设置为手动模式或关闭。油气泄漏浓度超标的油气回收系统密闭点位应通过更换密封圈、密封方式、设备零部件等实现达标排放。对气液比超标的加油枪应查找原因，通过更换集气罩、加油枪或真空泵零部件、调节回气阀等方式保持油气回收系统达标运行。鼓励汽油年销售量5000吨及以上的加油站、纳入地方重点排污单位名录的加油站建设油气回收在线监测系统</w:t>
            </w:r>
          </w:p>
          <w:p w14:paraId="26678A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cs="Times New Roman"/>
                <w:b w:val="0"/>
                <w:bCs/>
                <w:color w:val="000000" w:themeColor="text1"/>
                <w:kern w:val="0"/>
                <w:sz w:val="24"/>
                <w:szCs w:val="24"/>
                <w:lang w:val="en-US" w:eastAsia="zh-CN" w:bidi="ar"/>
                <w14:textFill>
                  <w14:solidFill>
                    <w14:schemeClr w14:val="tx1"/>
                  </w14:solidFill>
                </w14:textFill>
              </w:rPr>
              <w:t>本项目储罐全封闭，油品输送时采用密闭管道输送，汽油采用</w:t>
            </w:r>
            <w:r>
              <w:rPr>
                <w:rFonts w:hint="eastAsia" w:cs="Times New Roman"/>
                <w:b w:val="0"/>
                <w:bCs/>
                <w:color w:val="000000" w:themeColor="text1"/>
                <w:kern w:val="0"/>
                <w:sz w:val="24"/>
                <w:szCs w:val="24"/>
                <w:lang w:val="en-US" w:eastAsia="zh-CN" w:bidi="ar"/>
                <w14:textFill>
                  <w14:solidFill>
                    <w14:schemeClr w14:val="tx1"/>
                  </w14:solidFill>
                </w14:textFill>
              </w:rPr>
              <w:t>三</w:t>
            </w:r>
            <w:r>
              <w:rPr>
                <w:rFonts w:hint="default" w:cs="Times New Roman"/>
                <w:b w:val="0"/>
                <w:bCs/>
                <w:color w:val="000000" w:themeColor="text1"/>
                <w:kern w:val="0"/>
                <w:sz w:val="24"/>
                <w:szCs w:val="24"/>
                <w:lang w:val="en-US" w:eastAsia="zh-CN" w:bidi="ar"/>
                <w14:textFill>
                  <w14:solidFill>
                    <w14:schemeClr w14:val="tx1"/>
                  </w14:solidFill>
                </w14:textFill>
              </w:rPr>
              <w:t>次油气回收装置，能有效回收卸油加油过程的油气，经</w:t>
            </w:r>
            <w:r>
              <w:rPr>
                <w:rFonts w:hint="eastAsia" w:cs="Times New Roman"/>
                <w:b w:val="0"/>
                <w:bCs/>
                <w:color w:val="000000" w:themeColor="text1"/>
                <w:kern w:val="0"/>
                <w:sz w:val="24"/>
                <w:szCs w:val="24"/>
                <w:lang w:val="en-US" w:eastAsia="zh-CN" w:bidi="ar"/>
                <w14:textFill>
                  <w14:solidFill>
                    <w14:schemeClr w14:val="tx1"/>
                  </w14:solidFill>
                </w14:textFill>
              </w:rPr>
              <w:t>三</w:t>
            </w:r>
            <w:r>
              <w:rPr>
                <w:rFonts w:hint="default" w:cs="Times New Roman"/>
                <w:b w:val="0"/>
                <w:bCs/>
                <w:color w:val="000000" w:themeColor="text1"/>
                <w:kern w:val="0"/>
                <w:sz w:val="24"/>
                <w:szCs w:val="24"/>
                <w:lang w:val="en-US" w:eastAsia="zh-CN" w:bidi="ar"/>
                <w14:textFill>
                  <w14:solidFill>
                    <w14:schemeClr w14:val="tx1"/>
                  </w14:solidFill>
                </w14:textFill>
              </w:rPr>
              <w:t>次油气回收系统处理后，外排VOCs可满足相关标准要求。同时，配套设置防渗漏监控系统、液位监控报警系统，综上，本项目符合《关于加快解决当前挥发性有机物治理突出问题的通知》要求。</w:t>
            </w:r>
          </w:p>
          <w:p w14:paraId="36E2FC8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1.</w:t>
            </w:r>
            <w:r>
              <w:rPr>
                <w:rFonts w:hint="eastAsia" w:cs="Times New Roman"/>
                <w:b/>
                <w:bCs/>
                <w:color w:val="000000" w:themeColor="text1"/>
                <w:kern w:val="0"/>
                <w:sz w:val="24"/>
                <w:szCs w:val="24"/>
                <w:lang w:val="en-US" w:eastAsia="zh-CN" w:bidi="ar"/>
                <w14:textFill>
                  <w14:solidFill>
                    <w14:schemeClr w14:val="tx1"/>
                  </w14:solidFill>
                </w14:textFill>
              </w:rPr>
              <w:t>4.5</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 与</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《国务院关于印发“十四五”节能减排综合工作方案的通知》（国发〔2021〕33号）</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符合性分析</w:t>
            </w:r>
          </w:p>
          <w:p w14:paraId="4F4636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加强油船和原油、成品油码头油气回收治理。</w:t>
            </w:r>
          </w:p>
          <w:p w14:paraId="79F828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default" w:cs="Times New Roman"/>
                <w:b w:val="0"/>
                <w:bCs/>
                <w:color w:val="000000" w:themeColor="text1"/>
                <w:kern w:val="0"/>
                <w:sz w:val="24"/>
                <w:szCs w:val="24"/>
                <w:lang w:val="en-US" w:eastAsia="zh-CN" w:bidi="ar"/>
                <w14:textFill>
                  <w14:solidFill>
                    <w14:schemeClr w14:val="tx1"/>
                  </w14:solidFill>
                </w14:textFill>
              </w:rPr>
              <w:t>本项目储罐全封闭，油品输送时采用密闭管道输送，汽油采用</w:t>
            </w:r>
            <w:r>
              <w:rPr>
                <w:rFonts w:hint="eastAsia" w:cs="Times New Roman"/>
                <w:b w:val="0"/>
                <w:bCs/>
                <w:color w:val="000000" w:themeColor="text1"/>
                <w:kern w:val="0"/>
                <w:sz w:val="24"/>
                <w:szCs w:val="24"/>
                <w:lang w:val="en-US" w:eastAsia="zh-CN" w:bidi="ar"/>
                <w14:textFill>
                  <w14:solidFill>
                    <w14:schemeClr w14:val="tx1"/>
                  </w14:solidFill>
                </w14:textFill>
              </w:rPr>
              <w:t>三</w:t>
            </w:r>
            <w:r>
              <w:rPr>
                <w:rFonts w:hint="default" w:cs="Times New Roman"/>
                <w:b w:val="0"/>
                <w:bCs/>
                <w:color w:val="000000" w:themeColor="text1"/>
                <w:kern w:val="0"/>
                <w:sz w:val="24"/>
                <w:szCs w:val="24"/>
                <w:lang w:val="en-US" w:eastAsia="zh-CN" w:bidi="ar"/>
                <w14:textFill>
                  <w14:solidFill>
                    <w14:schemeClr w14:val="tx1"/>
                  </w14:solidFill>
                </w14:textFill>
              </w:rPr>
              <w:t>次油气回收装置，能有效回收卸油加油过程的油气，经</w:t>
            </w:r>
            <w:r>
              <w:rPr>
                <w:rFonts w:hint="eastAsia" w:cs="Times New Roman"/>
                <w:b w:val="0"/>
                <w:bCs/>
                <w:color w:val="000000" w:themeColor="text1"/>
                <w:kern w:val="0"/>
                <w:sz w:val="24"/>
                <w:szCs w:val="24"/>
                <w:lang w:val="en-US" w:eastAsia="zh-CN" w:bidi="ar"/>
                <w14:textFill>
                  <w14:solidFill>
                    <w14:schemeClr w14:val="tx1"/>
                  </w14:solidFill>
                </w14:textFill>
              </w:rPr>
              <w:t>三</w:t>
            </w:r>
            <w:r>
              <w:rPr>
                <w:rFonts w:hint="default" w:cs="Times New Roman"/>
                <w:b w:val="0"/>
                <w:bCs/>
                <w:color w:val="000000" w:themeColor="text1"/>
                <w:kern w:val="0"/>
                <w:sz w:val="24"/>
                <w:szCs w:val="24"/>
                <w:lang w:val="en-US" w:eastAsia="zh-CN" w:bidi="ar"/>
                <w14:textFill>
                  <w14:solidFill>
                    <w14:schemeClr w14:val="tx1"/>
                  </w14:solidFill>
                </w14:textFill>
              </w:rPr>
              <w:t>次油气回收系统处理后，外排VOCs可满足相关标准要求。同时，配套设置防渗漏监控系统、液位监控报警系统，综上，本项目符合《关于加快解决当前挥发性有机物治理突出问题的通知》要求。</w:t>
            </w:r>
          </w:p>
          <w:p w14:paraId="1DAD846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1.</w:t>
            </w:r>
            <w:r>
              <w:rPr>
                <w:rFonts w:hint="eastAsia" w:cs="Times New Roman"/>
                <w:b/>
                <w:bCs/>
                <w:color w:val="000000" w:themeColor="text1"/>
                <w:kern w:val="0"/>
                <w:sz w:val="24"/>
                <w:szCs w:val="24"/>
                <w:lang w:val="en-US" w:eastAsia="zh-CN" w:bidi="ar"/>
                <w14:textFill>
                  <w14:solidFill>
                    <w14:schemeClr w14:val="tx1"/>
                  </w14:solidFill>
                </w14:textFill>
              </w:rPr>
              <w:t>4.6</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 与</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《环境空气细颗粒物污染综合防治技术政策》</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符合性分析</w:t>
            </w:r>
          </w:p>
          <w:p w14:paraId="661BE4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对于排放前体污染物的工业污染源，应分别采用去除硫氧化物、氮氧化物、挥发性有机物和氨的治理技术。对于排放废气中的挥发性有机物应尽量进行回收处理，若无法回收，应采用焚烧等方式销毁（含卤素的有机物除外）。采用氨作为还原剂的氮氧化物净化装置，应在保证氮氧化物达标排放的前提下，合理设置氨的加注工艺参数，防止氨过量造成污染。鼓励在各类生产中采用挥发性有机物替代技术。</w:t>
            </w:r>
          </w:p>
          <w:p w14:paraId="2A758C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pPr>
            <w:r>
              <w:rPr>
                <w:rFonts w:hint="default" w:cs="Times New Roman"/>
                <w:b w:val="0"/>
                <w:bCs/>
                <w:color w:val="000000" w:themeColor="text1"/>
                <w:kern w:val="0"/>
                <w:sz w:val="24"/>
                <w:szCs w:val="24"/>
                <w:lang w:val="en-US" w:eastAsia="zh-CN" w:bidi="ar"/>
                <w14:textFill>
                  <w14:solidFill>
                    <w14:schemeClr w14:val="tx1"/>
                  </w14:solidFill>
                </w14:textFill>
              </w:rPr>
              <w:t>本项目汽油采用</w:t>
            </w:r>
            <w:r>
              <w:rPr>
                <w:rFonts w:hint="eastAsia" w:cs="Times New Roman"/>
                <w:b w:val="0"/>
                <w:bCs/>
                <w:color w:val="000000" w:themeColor="text1"/>
                <w:kern w:val="0"/>
                <w:sz w:val="24"/>
                <w:szCs w:val="24"/>
                <w:lang w:val="en-US" w:eastAsia="zh-CN" w:bidi="ar"/>
                <w14:textFill>
                  <w14:solidFill>
                    <w14:schemeClr w14:val="tx1"/>
                  </w14:solidFill>
                </w14:textFill>
              </w:rPr>
              <w:t>三</w:t>
            </w:r>
            <w:r>
              <w:rPr>
                <w:rFonts w:hint="default" w:cs="Times New Roman"/>
                <w:b w:val="0"/>
                <w:bCs/>
                <w:color w:val="000000" w:themeColor="text1"/>
                <w:kern w:val="0"/>
                <w:sz w:val="24"/>
                <w:szCs w:val="24"/>
                <w:lang w:val="en-US" w:eastAsia="zh-CN" w:bidi="ar"/>
                <w14:textFill>
                  <w14:solidFill>
                    <w14:schemeClr w14:val="tx1"/>
                  </w14:solidFill>
                </w14:textFill>
              </w:rPr>
              <w:t>次油气回收装置，能有效回收卸油加油过程的油气。符合《环境空气细颗粒物污染综合防治技术政策》要求。</w:t>
            </w:r>
          </w:p>
          <w:p w14:paraId="32AE04D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1.4.7 与</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《新疆生态功能区划》</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符合性分析</w:t>
            </w:r>
          </w:p>
          <w:p w14:paraId="39FE4503">
            <w:pPr>
              <w:pStyle w:val="65"/>
              <w:keepNext w:val="0"/>
              <w:keepLines w:val="0"/>
              <w:pageBreakBefore w:val="0"/>
              <w:widowControl w:val="0"/>
              <w:numPr>
                <w:ilvl w:val="0"/>
                <w:numId w:val="0"/>
              </w:numPr>
              <w:tabs>
                <w:tab w:val="left" w:pos="1036"/>
              </w:tabs>
              <w:kinsoku/>
              <w:wordWrap/>
              <w:overflowPunct/>
              <w:topLinePunct w:val="0"/>
              <w:autoSpaceDE/>
              <w:autoSpaceDN/>
              <w:bidi w:val="0"/>
              <w:adjustRightInd w:val="0"/>
              <w:snapToGrid w:val="0"/>
              <w:spacing w:before="0" w:after="0" w:line="360" w:lineRule="auto"/>
              <w:ind w:right="0" w:rightChars="0" w:firstLine="480" w:firstLineChars="200"/>
              <w:jc w:val="both"/>
              <w:textAlignment w:val="auto"/>
              <w:outlineLvl w:val="9"/>
              <w:rPr>
                <w:rFonts w:hint="eastAsia" w:ascii="Times New Roman" w:hAnsi="Times New Roman" w:eastAsia="宋体" w:cs="Times New Roman"/>
                <w:b w:val="0"/>
                <w:bCs/>
                <w:color w:val="0000FF"/>
                <w:kern w:val="0"/>
                <w:sz w:val="24"/>
                <w:szCs w:val="24"/>
                <w:lang w:val="en-US" w:eastAsia="zh-CN" w:bidi="ar"/>
              </w:rPr>
            </w:pPr>
            <w:r>
              <w:rPr>
                <w:rFonts w:hint="eastAsia" w:ascii="Times New Roman" w:hAnsi="Times New Roman" w:eastAsia="宋体" w:cs="Times New Roman"/>
                <w:b w:val="0"/>
                <w:bCs/>
                <w:color w:val="0000FF"/>
                <w:kern w:val="0"/>
                <w:sz w:val="24"/>
                <w:szCs w:val="24"/>
                <w:lang w:val="en-US" w:eastAsia="zh-CN" w:bidi="ar"/>
              </w:rPr>
              <w:t>本项目位于新疆维吾尔自治区昌吉回族自治州玛纳斯县玛纳斯镇乌伊西路242号，根据《新疆生态功能区划》，项目位于</w:t>
            </w:r>
            <w:r>
              <w:rPr>
                <w:rFonts w:hint="eastAsia" w:ascii="宋体" w:hAnsi="宋体" w:eastAsia="宋体" w:cs="宋体"/>
                <w:b w:val="0"/>
                <w:bCs/>
                <w:color w:val="0000FF"/>
                <w:kern w:val="0"/>
                <w:sz w:val="24"/>
                <w:szCs w:val="24"/>
                <w:lang w:val="en-US" w:eastAsia="zh-CN" w:bidi="ar"/>
              </w:rPr>
              <w:t>Ⅲ天山山地温性草原森林生态区--Ⅲ</w:t>
            </w:r>
            <w:r>
              <w:rPr>
                <w:rFonts w:hint="eastAsia" w:ascii="宋体" w:hAnsi="宋体" w:eastAsia="宋体" w:cs="宋体"/>
                <w:b w:val="0"/>
                <w:bCs/>
                <w:color w:val="0000FF"/>
                <w:kern w:val="0"/>
                <w:sz w:val="24"/>
                <w:szCs w:val="24"/>
                <w:vertAlign w:val="subscript"/>
                <w:lang w:val="en-US" w:eastAsia="zh-CN" w:bidi="ar"/>
              </w:rPr>
              <w:t>1</w:t>
            </w:r>
            <w:r>
              <w:rPr>
                <w:rFonts w:hint="eastAsia" w:ascii="宋体" w:hAnsi="宋体" w:eastAsia="宋体" w:cs="宋体"/>
                <w:b w:val="0"/>
                <w:bCs/>
                <w:color w:val="0000FF"/>
                <w:kern w:val="0"/>
                <w:sz w:val="24"/>
                <w:szCs w:val="24"/>
                <w:vertAlign w:val="baseline"/>
                <w:lang w:val="en-US" w:eastAsia="zh-CN" w:bidi="ar"/>
              </w:rPr>
              <w:t>天山北坡针叶林、草甸水源涵养及草原牧业生态亚区--</w:t>
            </w:r>
            <w:r>
              <w:rPr>
                <w:rFonts w:hint="eastAsia" w:ascii="Times New Roman" w:hAnsi="Times New Roman" w:eastAsia="宋体" w:cs="Times New Roman"/>
                <w:b w:val="0"/>
                <w:bCs/>
                <w:color w:val="0000FF"/>
                <w:kern w:val="0"/>
                <w:sz w:val="24"/>
                <w:szCs w:val="24"/>
                <w:lang w:val="en-US" w:eastAsia="zh-CN" w:bidi="ar"/>
              </w:rPr>
              <w:t>31.天山北坡中段低山丘陵煤炭资濛开发、迹地恢复生态功能区，该功能区，该功能区主要生态服务功能为煤炭资源、土壤保持、冷季草场；主要生态环境问题为煤层自燃、地表塌陷、地貌破坏、环境污染、草场植被退化、水土流失；主要保护目标为保护煤炭资源、保护地貌和地表植被，防止泥石流和滑坡；主要保护措施为加强煤炭开发管理、草场减牧、煤田灭火、退耕还草；适宜发展方向为规范开采矿产资源，发展生态无损的大型高效集约化煤炭工业基地，合理利用草地资源。</w:t>
            </w:r>
          </w:p>
          <w:p w14:paraId="37D67670">
            <w:pPr>
              <w:pStyle w:val="65"/>
              <w:keepNext w:val="0"/>
              <w:keepLines w:val="0"/>
              <w:pageBreakBefore w:val="0"/>
              <w:widowControl w:val="0"/>
              <w:numPr>
                <w:ilvl w:val="0"/>
                <w:numId w:val="0"/>
              </w:numPr>
              <w:tabs>
                <w:tab w:val="left" w:pos="1036"/>
              </w:tabs>
              <w:kinsoku/>
              <w:wordWrap/>
              <w:overflowPunct/>
              <w:topLinePunct w:val="0"/>
              <w:autoSpaceDE/>
              <w:autoSpaceDN/>
              <w:bidi w:val="0"/>
              <w:adjustRightInd w:val="0"/>
              <w:snapToGrid w:val="0"/>
              <w:spacing w:before="0" w:after="0" w:line="360" w:lineRule="auto"/>
              <w:ind w:right="0" w:rightChars="0" w:firstLine="480" w:firstLineChars="200"/>
              <w:jc w:val="both"/>
              <w:textAlignment w:val="auto"/>
              <w:outlineLvl w:val="9"/>
              <w:rPr>
                <w:rFonts w:hint="default" w:ascii="Times New Roman" w:hAnsi="Times New Roman" w:eastAsia="宋体" w:cs="Times New Roman"/>
                <w:b w:val="0"/>
                <w:bCs/>
                <w:color w:val="0000FF"/>
                <w:kern w:val="0"/>
                <w:sz w:val="24"/>
                <w:szCs w:val="24"/>
                <w:lang w:val="en-US" w:eastAsia="zh-CN" w:bidi="ar"/>
              </w:rPr>
            </w:pPr>
            <w:r>
              <w:rPr>
                <w:rFonts w:hint="eastAsia" w:ascii="Times New Roman" w:hAnsi="Times New Roman" w:eastAsia="宋体" w:cs="Times New Roman"/>
                <w:b w:val="0"/>
                <w:bCs/>
                <w:color w:val="0000FF"/>
                <w:kern w:val="0"/>
                <w:sz w:val="24"/>
                <w:szCs w:val="24"/>
                <w:lang w:val="en-US" w:eastAsia="zh-CN" w:bidi="ar"/>
              </w:rPr>
              <w:t>本项目为加油站建设项目，选址位于城市建成区，</w:t>
            </w:r>
            <w:r>
              <w:rPr>
                <w:rFonts w:hint="eastAsia" w:cs="Times New Roman"/>
                <w:color w:val="0000FF"/>
                <w:sz w:val="24"/>
                <w:szCs w:val="24"/>
                <w:lang w:val="en-US" w:eastAsia="zh-CN"/>
              </w:rPr>
              <w:t>项目用地规划用途为商业用地</w:t>
            </w:r>
            <w:r>
              <w:rPr>
                <w:rFonts w:hint="eastAsia" w:ascii="Times New Roman" w:hAnsi="Times New Roman" w:eastAsia="宋体" w:cs="Times New Roman"/>
                <w:b w:val="0"/>
                <w:bCs/>
                <w:color w:val="0000FF"/>
                <w:kern w:val="0"/>
                <w:sz w:val="24"/>
                <w:szCs w:val="24"/>
                <w:lang w:val="en-US" w:eastAsia="zh-CN" w:bidi="ar"/>
              </w:rPr>
              <w:t>，运营期加强项目区绿化，可有效防止水土流失，符合《新疆生态功能区划》要求。</w:t>
            </w:r>
          </w:p>
          <w:p w14:paraId="54E6B53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bCs/>
                <w:color w:val="0000FF"/>
                <w:kern w:val="0"/>
                <w:sz w:val="24"/>
                <w:szCs w:val="24"/>
                <w:lang w:val="en-US" w:eastAsia="zh-CN" w:bidi="ar"/>
              </w:rPr>
            </w:pPr>
            <w:r>
              <w:rPr>
                <w:rFonts w:hint="eastAsia" w:ascii="Times New Roman" w:hAnsi="Times New Roman" w:eastAsia="宋体" w:cs="Times New Roman"/>
                <w:b/>
                <w:bCs/>
                <w:color w:val="0000FF"/>
                <w:kern w:val="0"/>
                <w:sz w:val="24"/>
                <w:szCs w:val="24"/>
                <w:lang w:val="en-US" w:eastAsia="zh-CN" w:bidi="ar"/>
              </w:rPr>
              <w:t xml:space="preserve">1.4.8 </w:t>
            </w:r>
            <w:r>
              <w:rPr>
                <w:rFonts w:hint="default" w:ascii="Times New Roman" w:hAnsi="Times New Roman" w:eastAsia="宋体" w:cs="Times New Roman"/>
                <w:b/>
                <w:bCs/>
                <w:color w:val="0000FF"/>
                <w:kern w:val="0"/>
                <w:sz w:val="24"/>
                <w:szCs w:val="24"/>
                <w:lang w:val="en-US" w:eastAsia="zh-CN" w:bidi="ar"/>
              </w:rPr>
              <w:t>《空气质量持续改善行动计划》</w:t>
            </w:r>
          </w:p>
          <w:p w14:paraId="3414142F">
            <w:pPr>
              <w:pStyle w:val="65"/>
              <w:keepNext w:val="0"/>
              <w:keepLines w:val="0"/>
              <w:pageBreakBefore w:val="0"/>
              <w:widowControl w:val="0"/>
              <w:numPr>
                <w:ilvl w:val="0"/>
                <w:numId w:val="0"/>
              </w:numPr>
              <w:tabs>
                <w:tab w:val="left" w:pos="1036"/>
              </w:tabs>
              <w:kinsoku/>
              <w:wordWrap/>
              <w:overflowPunct/>
              <w:topLinePunct w:val="0"/>
              <w:autoSpaceDE/>
              <w:autoSpaceDN/>
              <w:bidi w:val="0"/>
              <w:adjustRightInd w:val="0"/>
              <w:snapToGrid w:val="0"/>
              <w:spacing w:before="0" w:after="0" w:line="360" w:lineRule="auto"/>
              <w:ind w:right="0" w:rightChars="0" w:firstLine="480" w:firstLineChars="200"/>
              <w:jc w:val="both"/>
              <w:textAlignment w:val="auto"/>
              <w:outlineLvl w:val="9"/>
              <w:rPr>
                <w:rFonts w:hint="default" w:cs="Times New Roman"/>
                <w:b w:val="0"/>
                <w:bCs/>
                <w:color w:val="0000FF"/>
                <w:kern w:val="0"/>
                <w:sz w:val="24"/>
                <w:szCs w:val="24"/>
                <w:lang w:val="en-US" w:eastAsia="zh-CN" w:bidi="ar"/>
              </w:rPr>
            </w:pPr>
            <w:r>
              <w:rPr>
                <w:rFonts w:hint="eastAsia" w:ascii="Times New Roman" w:hAnsi="Times New Roman" w:eastAsia="宋体" w:cs="Times New Roman"/>
                <w:b w:val="0"/>
                <w:bCs/>
                <w:color w:val="0000FF"/>
                <w:kern w:val="0"/>
                <w:sz w:val="24"/>
                <w:szCs w:val="24"/>
                <w:lang w:val="en-US" w:eastAsia="zh-CN" w:bidi="ar"/>
              </w:rPr>
              <w:t>《空气质量持续改善行动计划》（</w:t>
            </w:r>
            <w:r>
              <w:rPr>
                <w:rFonts w:hint="default" w:ascii="Times New Roman" w:hAnsi="Times New Roman" w:eastAsia="宋体" w:cs="Times New Roman"/>
                <w:b w:val="0"/>
                <w:bCs/>
                <w:color w:val="0000FF"/>
                <w:kern w:val="0"/>
                <w:sz w:val="24"/>
                <w:szCs w:val="24"/>
                <w:lang w:val="en-US" w:eastAsia="zh-CN" w:bidi="ar"/>
              </w:rPr>
              <w:t>国发〔2023〕24号</w:t>
            </w:r>
            <w:r>
              <w:rPr>
                <w:rFonts w:hint="eastAsia" w:ascii="Times New Roman" w:hAnsi="Times New Roman" w:eastAsia="宋体" w:cs="Times New Roman"/>
                <w:b w:val="0"/>
                <w:bCs/>
                <w:color w:val="0000FF"/>
                <w:kern w:val="0"/>
                <w:sz w:val="24"/>
                <w:szCs w:val="24"/>
                <w:lang w:val="en-US" w:eastAsia="zh-CN" w:bidi="ar"/>
              </w:rPr>
              <w:t>）要求：</w:t>
            </w:r>
            <w:r>
              <w:rPr>
                <w:rFonts w:hint="default" w:cs="Times New Roman"/>
                <w:b w:val="0"/>
                <w:bCs/>
                <w:color w:val="0000FF"/>
                <w:kern w:val="0"/>
                <w:sz w:val="24"/>
                <w:szCs w:val="24"/>
                <w:lang w:val="en-US" w:eastAsia="zh-CN" w:bidi="ar"/>
              </w:rPr>
              <w:t>（二十一）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w:t>
            </w:r>
          </w:p>
          <w:p w14:paraId="2B815B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color w:val="0000FF"/>
                <w:kern w:val="0"/>
                <w:sz w:val="24"/>
                <w:szCs w:val="24"/>
                <w:lang w:val="en-US" w:eastAsia="zh-CN" w:bidi="ar"/>
              </w:rPr>
            </w:pPr>
            <w:r>
              <w:rPr>
                <w:rFonts w:hint="default" w:cs="Times New Roman"/>
                <w:b w:val="0"/>
                <w:bCs/>
                <w:color w:val="0000FF"/>
                <w:kern w:val="0"/>
                <w:sz w:val="24"/>
                <w:szCs w:val="24"/>
                <w:lang w:val="en-US" w:eastAsia="zh-CN" w:bidi="ar"/>
              </w:rPr>
              <w:t>本项目储罐全封闭，油品输送时采用密闭管道输送，汽油采用</w:t>
            </w:r>
            <w:r>
              <w:rPr>
                <w:rFonts w:hint="eastAsia" w:cs="Times New Roman"/>
                <w:b w:val="0"/>
                <w:bCs/>
                <w:color w:val="0000FF"/>
                <w:kern w:val="0"/>
                <w:sz w:val="24"/>
                <w:szCs w:val="24"/>
                <w:lang w:val="en-US" w:eastAsia="zh-CN" w:bidi="ar"/>
              </w:rPr>
              <w:t>三</w:t>
            </w:r>
            <w:r>
              <w:rPr>
                <w:rFonts w:hint="default" w:cs="Times New Roman"/>
                <w:b w:val="0"/>
                <w:bCs/>
                <w:color w:val="0000FF"/>
                <w:kern w:val="0"/>
                <w:sz w:val="24"/>
                <w:szCs w:val="24"/>
                <w:lang w:val="en-US" w:eastAsia="zh-CN" w:bidi="ar"/>
              </w:rPr>
              <w:t>次油气回收装置，能有效回收卸油加油过程的油气，经</w:t>
            </w:r>
            <w:r>
              <w:rPr>
                <w:rFonts w:hint="eastAsia" w:cs="Times New Roman"/>
                <w:b w:val="0"/>
                <w:bCs/>
                <w:color w:val="0000FF"/>
                <w:kern w:val="0"/>
                <w:sz w:val="24"/>
                <w:szCs w:val="24"/>
                <w:lang w:val="en-US" w:eastAsia="zh-CN" w:bidi="ar"/>
              </w:rPr>
              <w:t>三</w:t>
            </w:r>
            <w:r>
              <w:rPr>
                <w:rFonts w:hint="default" w:cs="Times New Roman"/>
                <w:b w:val="0"/>
                <w:bCs/>
                <w:color w:val="0000FF"/>
                <w:kern w:val="0"/>
                <w:sz w:val="24"/>
                <w:szCs w:val="24"/>
                <w:lang w:val="en-US" w:eastAsia="zh-CN" w:bidi="ar"/>
              </w:rPr>
              <w:t>次油气回收系统处理后，外排VOCs可满足相关标准要求。同时，配套设置防渗漏监控系统、液位监控报警系统。符合《</w:t>
            </w:r>
            <w:r>
              <w:rPr>
                <w:rFonts w:hint="eastAsia" w:ascii="Times New Roman" w:hAnsi="Times New Roman" w:eastAsia="宋体" w:cs="Times New Roman"/>
                <w:b w:val="0"/>
                <w:bCs/>
                <w:color w:val="0000FF"/>
                <w:kern w:val="0"/>
                <w:sz w:val="24"/>
                <w:szCs w:val="24"/>
                <w:lang w:val="en-US" w:eastAsia="zh-CN" w:bidi="ar"/>
              </w:rPr>
              <w:t>空气质量持续改善行动计划</w:t>
            </w:r>
            <w:r>
              <w:rPr>
                <w:rFonts w:hint="default" w:cs="Times New Roman"/>
                <w:b w:val="0"/>
                <w:bCs/>
                <w:color w:val="0000FF"/>
                <w:kern w:val="0"/>
                <w:sz w:val="24"/>
                <w:szCs w:val="24"/>
                <w:lang w:val="en-US" w:eastAsia="zh-CN" w:bidi="ar"/>
              </w:rPr>
              <w:t>》要求。</w:t>
            </w:r>
          </w:p>
          <w:p w14:paraId="7166403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bCs/>
                <w:color w:val="0000FF"/>
                <w:kern w:val="0"/>
                <w:sz w:val="24"/>
                <w:szCs w:val="24"/>
                <w:lang w:val="en-US" w:eastAsia="zh-CN" w:bidi="ar"/>
              </w:rPr>
            </w:pPr>
            <w:r>
              <w:rPr>
                <w:rFonts w:hint="eastAsia" w:ascii="Times New Roman" w:hAnsi="Times New Roman" w:eastAsia="宋体" w:cs="Times New Roman"/>
                <w:b/>
                <w:bCs/>
                <w:color w:val="0000FF"/>
                <w:kern w:val="0"/>
                <w:sz w:val="24"/>
                <w:szCs w:val="24"/>
                <w:lang w:val="en-US" w:eastAsia="zh-CN" w:bidi="ar"/>
              </w:rPr>
              <w:t xml:space="preserve">1.4.9 </w:t>
            </w:r>
            <w:r>
              <w:rPr>
                <w:rFonts w:hint="default" w:ascii="Times New Roman" w:hAnsi="Times New Roman" w:eastAsia="宋体" w:cs="Times New Roman"/>
                <w:b/>
                <w:bCs/>
                <w:color w:val="0000FF"/>
                <w:kern w:val="0"/>
                <w:sz w:val="24"/>
                <w:szCs w:val="24"/>
                <w:lang w:val="en-US" w:eastAsia="zh-CN" w:bidi="ar"/>
              </w:rPr>
              <w:t>《关于深入打好污染防治攻坚战的实施方案》</w:t>
            </w:r>
          </w:p>
          <w:p w14:paraId="749865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color w:val="0000FF"/>
                <w:kern w:val="0"/>
                <w:sz w:val="24"/>
                <w:szCs w:val="24"/>
                <w:lang w:val="en-US" w:eastAsia="zh-CN" w:bidi="ar"/>
              </w:rPr>
            </w:pPr>
            <w:r>
              <w:rPr>
                <w:rFonts w:hint="default" w:ascii="Times New Roman" w:hAnsi="Times New Roman" w:eastAsia="宋体" w:cs="Times New Roman"/>
                <w:b w:val="0"/>
                <w:bCs/>
                <w:color w:val="0000FF"/>
                <w:kern w:val="0"/>
                <w:sz w:val="24"/>
                <w:szCs w:val="24"/>
                <w:lang w:val="en-US" w:eastAsia="zh-CN" w:bidi="ar"/>
              </w:rPr>
              <w:t>《关于深入打好污染防治攻坚战的实施方案》</w:t>
            </w:r>
            <w:r>
              <w:rPr>
                <w:rFonts w:hint="eastAsia" w:ascii="Times New Roman" w:hAnsi="Times New Roman" w:eastAsia="宋体" w:cs="Times New Roman"/>
                <w:b w:val="0"/>
                <w:bCs/>
                <w:color w:val="0000FF"/>
                <w:kern w:val="0"/>
                <w:sz w:val="24"/>
                <w:szCs w:val="24"/>
                <w:lang w:val="en-US" w:eastAsia="zh-CN" w:bidi="ar"/>
              </w:rPr>
              <w:t>要求：</w:t>
            </w:r>
            <w:r>
              <w:rPr>
                <w:rFonts w:hint="default" w:cs="Times New Roman"/>
                <w:b w:val="0"/>
                <w:bCs/>
                <w:color w:val="0000FF"/>
                <w:kern w:val="0"/>
                <w:sz w:val="24"/>
                <w:szCs w:val="24"/>
                <w:lang w:val="en-US" w:eastAsia="zh-CN" w:bidi="ar"/>
              </w:rPr>
              <w:t>（十二）着力打好臭氧污染防治攻坚战。积极遏制臭氧浓度增长趋势，推进挥发性有机物和氮氧化物协同减排。以石化、化工、涂装、医药、包装印刷、油品储运销等行业领域为重点，安全高效推进挥发性有机物综合治理，实施原辅材料和产品源头替代工程。</w:t>
            </w:r>
          </w:p>
          <w:p w14:paraId="605AA6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eastAsia="宋体" w:cs="Times New Roman"/>
                <w:b w:val="0"/>
                <w:bCs/>
                <w:color w:val="0000FF"/>
                <w:kern w:val="0"/>
                <w:sz w:val="24"/>
                <w:szCs w:val="24"/>
                <w:lang w:val="en-US" w:eastAsia="zh-CN" w:bidi="ar"/>
              </w:rPr>
            </w:pPr>
            <w:r>
              <w:rPr>
                <w:rFonts w:hint="default" w:cs="Times New Roman"/>
                <w:b w:val="0"/>
                <w:bCs/>
                <w:color w:val="0000FF"/>
                <w:kern w:val="0"/>
                <w:sz w:val="24"/>
                <w:szCs w:val="24"/>
                <w:lang w:val="en-US" w:eastAsia="zh-CN" w:bidi="ar"/>
              </w:rPr>
              <w:t>本项目汽油采用</w:t>
            </w:r>
            <w:r>
              <w:rPr>
                <w:rFonts w:hint="eastAsia" w:cs="Times New Roman"/>
                <w:b w:val="0"/>
                <w:bCs/>
                <w:color w:val="0000FF"/>
                <w:kern w:val="0"/>
                <w:sz w:val="24"/>
                <w:szCs w:val="24"/>
                <w:lang w:val="en-US" w:eastAsia="zh-CN" w:bidi="ar"/>
              </w:rPr>
              <w:t>三</w:t>
            </w:r>
            <w:r>
              <w:rPr>
                <w:rFonts w:hint="default" w:cs="Times New Roman"/>
                <w:b w:val="0"/>
                <w:bCs/>
                <w:color w:val="0000FF"/>
                <w:kern w:val="0"/>
                <w:sz w:val="24"/>
                <w:szCs w:val="24"/>
                <w:lang w:val="en-US" w:eastAsia="zh-CN" w:bidi="ar"/>
              </w:rPr>
              <w:t>次油气回收装置，能有效回收卸油加油过程的油气</w:t>
            </w:r>
            <w:r>
              <w:rPr>
                <w:rFonts w:hint="eastAsia" w:cs="Times New Roman"/>
                <w:b w:val="0"/>
                <w:bCs/>
                <w:color w:val="0000FF"/>
                <w:kern w:val="0"/>
                <w:sz w:val="24"/>
                <w:szCs w:val="24"/>
                <w:lang w:val="en-US" w:eastAsia="zh-CN" w:bidi="ar"/>
              </w:rPr>
              <w:t>，经三次油气回收处理后，</w:t>
            </w:r>
            <w:r>
              <w:rPr>
                <w:rFonts w:ascii="Times New Roman" w:hAnsi="Times New Roman" w:cs="Times New Roman"/>
                <w:color w:val="0000FF"/>
                <w:kern w:val="0"/>
                <w:sz w:val="24"/>
                <w:szCs w:val="21"/>
                <w:lang w:eastAsia="zh-CN"/>
              </w:rPr>
              <w:t>油气排放浓度</w:t>
            </w:r>
            <w:r>
              <w:rPr>
                <w:rFonts w:hint="eastAsia" w:ascii="Times New Roman" w:hAnsi="Times New Roman" w:cs="Times New Roman"/>
                <w:color w:val="0000FF"/>
                <w:kern w:val="0"/>
                <w:sz w:val="24"/>
                <w:szCs w:val="21"/>
                <w:lang w:val="en-US" w:eastAsia="zh-CN"/>
              </w:rPr>
              <w:t>及</w:t>
            </w:r>
            <w:r>
              <w:rPr>
                <w:rFonts w:hint="default" w:ascii="Times New Roman" w:hAnsi="Times New Roman" w:eastAsia="宋体" w:cs="Times New Roman"/>
                <w:b w:val="0"/>
                <w:bCs w:val="0"/>
                <w:color w:val="0000FF"/>
                <w:kern w:val="0"/>
                <w:sz w:val="24"/>
                <w:szCs w:val="24"/>
              </w:rPr>
              <w:t>厂界非甲烷总烃</w:t>
            </w:r>
            <w:r>
              <w:rPr>
                <w:rFonts w:hint="eastAsia" w:eastAsia="宋体" w:cs="Times New Roman"/>
                <w:b w:val="0"/>
                <w:bCs w:val="0"/>
                <w:color w:val="0000FF"/>
                <w:kern w:val="0"/>
                <w:sz w:val="24"/>
                <w:szCs w:val="24"/>
                <w:lang w:val="en-US" w:eastAsia="zh-CN"/>
              </w:rPr>
              <w:t>满足</w:t>
            </w:r>
            <w:r>
              <w:rPr>
                <w:rFonts w:hint="default" w:ascii="Times New Roman" w:hAnsi="Times New Roman" w:eastAsia="宋体" w:cs="Times New Roman"/>
                <w:b w:val="0"/>
                <w:bCs w:val="0"/>
                <w:color w:val="0000FF"/>
                <w:sz w:val="24"/>
                <w:szCs w:val="24"/>
              </w:rPr>
              <w:t>《加油站大气污染物排放标准》（GB20952-20</w:t>
            </w:r>
            <w:r>
              <w:rPr>
                <w:rFonts w:hint="default" w:ascii="Times New Roman" w:hAnsi="Times New Roman" w:eastAsia="宋体" w:cs="Times New Roman"/>
                <w:b w:val="0"/>
                <w:bCs w:val="0"/>
                <w:color w:val="0000FF"/>
                <w:sz w:val="24"/>
                <w:szCs w:val="24"/>
                <w:lang w:val="en-US" w:eastAsia="zh-CN"/>
              </w:rPr>
              <w:t>20</w:t>
            </w:r>
            <w:r>
              <w:rPr>
                <w:rFonts w:hint="default" w:ascii="Times New Roman" w:hAnsi="Times New Roman" w:eastAsia="宋体" w:cs="Times New Roman"/>
                <w:b w:val="0"/>
                <w:bCs w:val="0"/>
                <w:color w:val="0000FF"/>
                <w:sz w:val="24"/>
                <w:szCs w:val="24"/>
              </w:rPr>
              <w:t>）</w:t>
            </w:r>
            <w:r>
              <w:rPr>
                <w:rFonts w:hint="default" w:ascii="Times New Roman" w:hAnsi="Times New Roman" w:eastAsia="宋体" w:cs="Times New Roman"/>
                <w:b w:val="0"/>
                <w:bCs w:val="0"/>
                <w:color w:val="0000FF"/>
                <w:kern w:val="0"/>
                <w:sz w:val="24"/>
                <w:szCs w:val="24"/>
              </w:rPr>
              <w:t>中标准要求</w:t>
            </w:r>
            <w:r>
              <w:rPr>
                <w:rFonts w:hint="eastAsia" w:eastAsia="宋体" w:cs="Times New Roman"/>
                <w:b w:val="0"/>
                <w:bCs w:val="0"/>
                <w:color w:val="0000FF"/>
                <w:kern w:val="0"/>
                <w:sz w:val="24"/>
                <w:szCs w:val="24"/>
                <w:lang w:eastAsia="zh-CN"/>
              </w:rPr>
              <w:t>，</w:t>
            </w:r>
            <w:r>
              <w:rPr>
                <w:rFonts w:hint="eastAsia" w:eastAsia="宋体" w:cs="Times New Roman"/>
                <w:b w:val="0"/>
                <w:bCs w:val="0"/>
                <w:color w:val="0000FF"/>
                <w:kern w:val="0"/>
                <w:sz w:val="24"/>
                <w:szCs w:val="24"/>
                <w:lang w:val="en-US" w:eastAsia="zh-CN"/>
              </w:rPr>
              <w:t>符合</w:t>
            </w:r>
            <w:r>
              <w:rPr>
                <w:rFonts w:hint="default" w:ascii="Times New Roman" w:hAnsi="Times New Roman" w:eastAsia="宋体" w:cs="Times New Roman"/>
                <w:b w:val="0"/>
                <w:bCs/>
                <w:color w:val="0000FF"/>
                <w:kern w:val="0"/>
                <w:sz w:val="24"/>
                <w:szCs w:val="24"/>
                <w:lang w:val="en-US" w:eastAsia="zh-CN" w:bidi="ar"/>
              </w:rPr>
              <w:t>关于深入打好污染防治攻坚战的实施方案》</w:t>
            </w:r>
            <w:r>
              <w:rPr>
                <w:rFonts w:hint="eastAsia" w:eastAsia="宋体" w:cs="Times New Roman"/>
                <w:b w:val="0"/>
                <w:bCs/>
                <w:color w:val="0000FF"/>
                <w:kern w:val="0"/>
                <w:sz w:val="24"/>
                <w:szCs w:val="24"/>
                <w:lang w:val="en-US" w:eastAsia="zh-CN" w:bidi="ar"/>
              </w:rPr>
              <w:t>要求。</w:t>
            </w:r>
          </w:p>
          <w:p w14:paraId="4E6AEF0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bCs/>
                <w:color w:val="0000FF"/>
                <w:kern w:val="0"/>
                <w:sz w:val="24"/>
                <w:szCs w:val="24"/>
                <w:lang w:val="en-US" w:eastAsia="zh-CN" w:bidi="ar"/>
              </w:rPr>
            </w:pPr>
            <w:r>
              <w:rPr>
                <w:rFonts w:hint="eastAsia" w:ascii="Times New Roman" w:hAnsi="Times New Roman" w:eastAsia="宋体" w:cs="Times New Roman"/>
                <w:b/>
                <w:bCs/>
                <w:color w:val="0000FF"/>
                <w:kern w:val="0"/>
                <w:sz w:val="24"/>
                <w:szCs w:val="24"/>
                <w:lang w:val="en-US" w:eastAsia="zh-CN" w:bidi="ar"/>
              </w:rPr>
              <w:t xml:space="preserve">1.4.10 </w:t>
            </w:r>
            <w:r>
              <w:rPr>
                <w:rFonts w:hint="default" w:ascii="Times New Roman" w:hAnsi="Times New Roman" w:eastAsia="宋体" w:cs="Times New Roman"/>
                <w:b/>
                <w:bCs/>
                <w:color w:val="0000FF"/>
                <w:kern w:val="0"/>
                <w:sz w:val="24"/>
                <w:szCs w:val="24"/>
                <w:lang w:val="en-US" w:eastAsia="zh-CN" w:bidi="ar"/>
              </w:rPr>
              <w:t>《新疆生态环境保护“十四五”规划》</w:t>
            </w:r>
          </w:p>
          <w:p w14:paraId="254561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color w:val="0000FF"/>
                <w:kern w:val="0"/>
                <w:sz w:val="24"/>
                <w:szCs w:val="24"/>
                <w:lang w:val="en-US" w:eastAsia="zh-CN" w:bidi="ar"/>
              </w:rPr>
            </w:pPr>
            <w:r>
              <w:rPr>
                <w:rFonts w:hint="default" w:cs="Times New Roman"/>
                <w:b w:val="0"/>
                <w:bCs/>
                <w:color w:val="0000FF"/>
                <w:kern w:val="0"/>
                <w:sz w:val="24"/>
                <w:szCs w:val="24"/>
                <w:lang w:val="en-US" w:eastAsia="zh-CN" w:bidi="ar"/>
              </w:rPr>
              <w:t>《新疆生态环境保护“十四五”规划》</w:t>
            </w:r>
            <w:r>
              <w:rPr>
                <w:rFonts w:hint="eastAsia" w:cs="Times New Roman"/>
                <w:b w:val="0"/>
                <w:bCs/>
                <w:color w:val="0000FF"/>
                <w:kern w:val="0"/>
                <w:sz w:val="24"/>
                <w:szCs w:val="24"/>
                <w:lang w:val="en-US" w:eastAsia="zh-CN" w:bidi="ar"/>
              </w:rPr>
              <w:t>提出：</w:t>
            </w:r>
            <w:r>
              <w:rPr>
                <w:rFonts w:hint="default" w:cs="Times New Roman"/>
                <w:b w:val="0"/>
                <w:bCs/>
                <w:color w:val="0000FF"/>
                <w:kern w:val="0"/>
                <w:sz w:val="24"/>
                <w:szCs w:val="24"/>
                <w:lang w:val="en-US" w:eastAsia="zh-CN" w:bidi="ar"/>
              </w:rPr>
              <w:t>加强重点行业VOCs治理。实施VOCs排放总量控制，重点推进石油天然气开采、石化、化工、包装印刷、工业涂装、油品储运销等重点行业排放源以及机动车等移动源VOCs污染防治，加强重点行业、重点企业的精细化管控;全面推进使用低VOCs含量涂料、油墨、胶粘剂、清洗剂等;加强汽修行业VOCs综合治理，加大餐饮油烟污染治理力度，持续削减VOCs排放量。</w:t>
            </w:r>
          </w:p>
          <w:p w14:paraId="2CF270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cs="Times New Roman"/>
                <w:b w:val="0"/>
                <w:bCs/>
                <w:color w:val="0000FF"/>
                <w:kern w:val="0"/>
                <w:sz w:val="24"/>
                <w:szCs w:val="24"/>
                <w:lang w:val="en-US" w:eastAsia="zh-CN" w:bidi="ar"/>
              </w:rPr>
            </w:pPr>
            <w:r>
              <w:rPr>
                <w:rFonts w:hint="default" w:cs="Times New Roman"/>
                <w:b w:val="0"/>
                <w:bCs/>
                <w:color w:val="0000FF"/>
                <w:kern w:val="0"/>
                <w:sz w:val="24"/>
                <w:szCs w:val="24"/>
                <w:lang w:val="en-US" w:eastAsia="zh-CN" w:bidi="ar"/>
              </w:rPr>
              <w:t>本项目汽油采用</w:t>
            </w:r>
            <w:r>
              <w:rPr>
                <w:rFonts w:hint="eastAsia" w:cs="Times New Roman"/>
                <w:b w:val="0"/>
                <w:bCs/>
                <w:color w:val="0000FF"/>
                <w:kern w:val="0"/>
                <w:sz w:val="24"/>
                <w:szCs w:val="24"/>
                <w:lang w:val="en-US" w:eastAsia="zh-CN" w:bidi="ar"/>
              </w:rPr>
              <w:t>三</w:t>
            </w:r>
            <w:r>
              <w:rPr>
                <w:rFonts w:hint="default" w:cs="Times New Roman"/>
                <w:b w:val="0"/>
                <w:bCs/>
                <w:color w:val="0000FF"/>
                <w:kern w:val="0"/>
                <w:sz w:val="24"/>
                <w:szCs w:val="24"/>
                <w:lang w:val="en-US" w:eastAsia="zh-CN" w:bidi="ar"/>
              </w:rPr>
              <w:t>次油气回收装置，能有效回收卸油加油过程的油气</w:t>
            </w:r>
            <w:r>
              <w:rPr>
                <w:rFonts w:hint="eastAsia" w:cs="Times New Roman"/>
                <w:b w:val="0"/>
                <w:bCs/>
                <w:color w:val="0000FF"/>
                <w:kern w:val="0"/>
                <w:sz w:val="24"/>
                <w:szCs w:val="24"/>
                <w:lang w:val="en-US" w:eastAsia="zh-CN" w:bidi="ar"/>
              </w:rPr>
              <w:t>，经三次油气回收处理后，</w:t>
            </w:r>
            <w:r>
              <w:rPr>
                <w:rFonts w:ascii="Times New Roman" w:hAnsi="Times New Roman" w:cs="Times New Roman"/>
                <w:color w:val="0000FF"/>
                <w:kern w:val="0"/>
                <w:sz w:val="24"/>
                <w:szCs w:val="21"/>
                <w:lang w:eastAsia="zh-CN"/>
              </w:rPr>
              <w:t>油气排放浓度</w:t>
            </w:r>
            <w:r>
              <w:rPr>
                <w:rFonts w:hint="eastAsia" w:ascii="Times New Roman" w:hAnsi="Times New Roman" w:cs="Times New Roman"/>
                <w:color w:val="0000FF"/>
                <w:kern w:val="0"/>
                <w:sz w:val="24"/>
                <w:szCs w:val="21"/>
                <w:lang w:val="en-US" w:eastAsia="zh-CN"/>
              </w:rPr>
              <w:t>及</w:t>
            </w:r>
            <w:r>
              <w:rPr>
                <w:rFonts w:hint="default" w:ascii="Times New Roman" w:hAnsi="Times New Roman" w:eastAsia="宋体" w:cs="Times New Roman"/>
                <w:b w:val="0"/>
                <w:bCs w:val="0"/>
                <w:color w:val="0000FF"/>
                <w:kern w:val="0"/>
                <w:sz w:val="24"/>
                <w:szCs w:val="24"/>
              </w:rPr>
              <w:t>厂界非甲烷总烃</w:t>
            </w:r>
            <w:r>
              <w:rPr>
                <w:rFonts w:hint="eastAsia" w:eastAsia="宋体" w:cs="Times New Roman"/>
                <w:b w:val="0"/>
                <w:bCs w:val="0"/>
                <w:color w:val="0000FF"/>
                <w:kern w:val="0"/>
                <w:sz w:val="24"/>
                <w:szCs w:val="24"/>
                <w:lang w:val="en-US" w:eastAsia="zh-CN"/>
              </w:rPr>
              <w:t>满足</w:t>
            </w:r>
            <w:r>
              <w:rPr>
                <w:rFonts w:hint="default" w:ascii="Times New Roman" w:hAnsi="Times New Roman" w:eastAsia="宋体" w:cs="Times New Roman"/>
                <w:b w:val="0"/>
                <w:bCs w:val="0"/>
                <w:color w:val="0000FF"/>
                <w:sz w:val="24"/>
                <w:szCs w:val="24"/>
              </w:rPr>
              <w:t>《加油站大气污染物排放标准》（GB20952-20</w:t>
            </w:r>
            <w:r>
              <w:rPr>
                <w:rFonts w:hint="default" w:ascii="Times New Roman" w:hAnsi="Times New Roman" w:eastAsia="宋体" w:cs="Times New Roman"/>
                <w:b w:val="0"/>
                <w:bCs w:val="0"/>
                <w:color w:val="0000FF"/>
                <w:sz w:val="24"/>
                <w:szCs w:val="24"/>
                <w:lang w:val="en-US" w:eastAsia="zh-CN"/>
              </w:rPr>
              <w:t>20</w:t>
            </w:r>
            <w:r>
              <w:rPr>
                <w:rFonts w:hint="default" w:ascii="Times New Roman" w:hAnsi="Times New Roman" w:eastAsia="宋体" w:cs="Times New Roman"/>
                <w:b w:val="0"/>
                <w:bCs w:val="0"/>
                <w:color w:val="0000FF"/>
                <w:sz w:val="24"/>
                <w:szCs w:val="24"/>
              </w:rPr>
              <w:t>）</w:t>
            </w:r>
            <w:r>
              <w:rPr>
                <w:rFonts w:hint="default" w:ascii="Times New Roman" w:hAnsi="Times New Roman" w:eastAsia="宋体" w:cs="Times New Roman"/>
                <w:b w:val="0"/>
                <w:bCs w:val="0"/>
                <w:color w:val="0000FF"/>
                <w:kern w:val="0"/>
                <w:sz w:val="24"/>
                <w:szCs w:val="24"/>
              </w:rPr>
              <w:t>中标准要求</w:t>
            </w:r>
            <w:r>
              <w:rPr>
                <w:rFonts w:hint="eastAsia" w:eastAsia="宋体" w:cs="Times New Roman"/>
                <w:b w:val="0"/>
                <w:bCs w:val="0"/>
                <w:color w:val="0000FF"/>
                <w:kern w:val="0"/>
                <w:sz w:val="24"/>
                <w:szCs w:val="24"/>
                <w:lang w:eastAsia="zh-CN"/>
              </w:rPr>
              <w:t>，</w:t>
            </w:r>
            <w:r>
              <w:rPr>
                <w:rFonts w:hint="eastAsia" w:eastAsia="宋体" w:cs="Times New Roman"/>
                <w:b w:val="0"/>
                <w:bCs w:val="0"/>
                <w:color w:val="0000FF"/>
                <w:kern w:val="0"/>
                <w:sz w:val="24"/>
                <w:szCs w:val="24"/>
                <w:lang w:val="en-US" w:eastAsia="zh-CN"/>
              </w:rPr>
              <w:t>按照要求进行总量申请，符合</w:t>
            </w:r>
            <w:r>
              <w:rPr>
                <w:rFonts w:hint="default" w:cs="Times New Roman"/>
                <w:b w:val="0"/>
                <w:bCs/>
                <w:color w:val="0000FF"/>
                <w:kern w:val="0"/>
                <w:sz w:val="24"/>
                <w:szCs w:val="24"/>
                <w:lang w:val="en-US" w:eastAsia="zh-CN" w:bidi="ar"/>
              </w:rPr>
              <w:t>《新疆生态环境保护“十四五”规划》</w:t>
            </w:r>
            <w:r>
              <w:rPr>
                <w:rFonts w:hint="eastAsia" w:eastAsia="宋体" w:cs="Times New Roman"/>
                <w:b w:val="0"/>
                <w:bCs/>
                <w:color w:val="0000FF"/>
                <w:kern w:val="0"/>
                <w:sz w:val="24"/>
                <w:szCs w:val="24"/>
                <w:lang w:val="en-US" w:eastAsia="zh-CN" w:bidi="ar"/>
              </w:rPr>
              <w:t>要求。</w:t>
            </w:r>
          </w:p>
          <w:p w14:paraId="2970BB0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1.4.11 </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《昌吉回族自治州生态环境保护与建设“十四五”规划》</w:t>
            </w:r>
          </w:p>
          <w:p w14:paraId="58EB15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cs="Times New Roman"/>
                <w:b w:val="0"/>
                <w:bCs/>
                <w:color w:val="0000FF"/>
                <w:kern w:val="0"/>
                <w:sz w:val="24"/>
                <w:szCs w:val="24"/>
                <w:lang w:val="en-US" w:eastAsia="zh-CN" w:bidi="ar"/>
              </w:rPr>
            </w:pPr>
            <w:r>
              <w:rPr>
                <w:rFonts w:hint="eastAsia" w:cs="Times New Roman"/>
                <w:b w:val="0"/>
                <w:bCs/>
                <w:color w:val="0000FF"/>
                <w:kern w:val="0"/>
                <w:sz w:val="24"/>
                <w:szCs w:val="24"/>
                <w:lang w:val="en-US" w:eastAsia="zh-CN" w:bidi="ar"/>
              </w:rPr>
              <w:t>《昌吉回族自治州生态环境保护与建设“十四五”规划》提成：开展多污染源治理。推进石化、化工、工业涂装、家具制造、塑料、橡胶、包装印刷、汽修等重点行业领域VOCs整治，加强VOCs源头、过程、末端全流程控制，重点加强对光化学反应活性强的VOCs物质控制，开展企业深度治理和精细化管控。持续开展防风固沙绿化工程，抑制季节性裸地农田扬尘，减少裸露扬尘污染。</w:t>
            </w:r>
          </w:p>
          <w:p w14:paraId="27FA53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eastAsia="宋体" w:cs="Times New Roman"/>
                <w:b w:val="0"/>
                <w:bCs/>
                <w:color w:val="0000FF"/>
                <w:kern w:val="0"/>
                <w:sz w:val="24"/>
                <w:szCs w:val="24"/>
                <w:lang w:val="en-US" w:eastAsia="zh-CN" w:bidi="ar"/>
              </w:rPr>
            </w:pPr>
            <w:r>
              <w:rPr>
                <w:rFonts w:hint="default" w:cs="Times New Roman"/>
                <w:b w:val="0"/>
                <w:bCs/>
                <w:color w:val="0000FF"/>
                <w:kern w:val="0"/>
                <w:sz w:val="24"/>
                <w:szCs w:val="24"/>
                <w:lang w:val="en-US" w:eastAsia="zh-CN" w:bidi="ar"/>
              </w:rPr>
              <w:t>本项目汽油采用</w:t>
            </w:r>
            <w:r>
              <w:rPr>
                <w:rFonts w:hint="eastAsia" w:cs="Times New Roman"/>
                <w:b w:val="0"/>
                <w:bCs/>
                <w:color w:val="0000FF"/>
                <w:kern w:val="0"/>
                <w:sz w:val="24"/>
                <w:szCs w:val="24"/>
                <w:lang w:val="en-US" w:eastAsia="zh-CN" w:bidi="ar"/>
              </w:rPr>
              <w:t>三</w:t>
            </w:r>
            <w:r>
              <w:rPr>
                <w:rFonts w:hint="default" w:cs="Times New Roman"/>
                <w:b w:val="0"/>
                <w:bCs/>
                <w:color w:val="0000FF"/>
                <w:kern w:val="0"/>
                <w:sz w:val="24"/>
                <w:szCs w:val="24"/>
                <w:lang w:val="en-US" w:eastAsia="zh-CN" w:bidi="ar"/>
              </w:rPr>
              <w:t>次油气回收装置，能有效回收卸油加油过程的油气</w:t>
            </w:r>
            <w:r>
              <w:rPr>
                <w:rFonts w:hint="eastAsia" w:cs="Times New Roman"/>
                <w:b w:val="0"/>
                <w:bCs/>
                <w:color w:val="0000FF"/>
                <w:kern w:val="0"/>
                <w:sz w:val="24"/>
                <w:szCs w:val="24"/>
                <w:lang w:val="en-US" w:eastAsia="zh-CN" w:bidi="ar"/>
              </w:rPr>
              <w:t>，经三次油气回收处理后，</w:t>
            </w:r>
            <w:r>
              <w:rPr>
                <w:rFonts w:ascii="Times New Roman" w:hAnsi="Times New Roman" w:cs="Times New Roman"/>
                <w:color w:val="0000FF"/>
                <w:kern w:val="0"/>
                <w:sz w:val="24"/>
                <w:szCs w:val="21"/>
                <w:lang w:eastAsia="zh-CN"/>
              </w:rPr>
              <w:t>油气排放浓度</w:t>
            </w:r>
            <w:r>
              <w:rPr>
                <w:rFonts w:hint="eastAsia" w:ascii="Times New Roman" w:hAnsi="Times New Roman" w:cs="Times New Roman"/>
                <w:color w:val="0000FF"/>
                <w:kern w:val="0"/>
                <w:sz w:val="24"/>
                <w:szCs w:val="21"/>
                <w:lang w:val="en-US" w:eastAsia="zh-CN"/>
              </w:rPr>
              <w:t>及</w:t>
            </w:r>
            <w:r>
              <w:rPr>
                <w:rFonts w:hint="default" w:ascii="Times New Roman" w:hAnsi="Times New Roman" w:eastAsia="宋体" w:cs="Times New Roman"/>
                <w:b w:val="0"/>
                <w:bCs w:val="0"/>
                <w:color w:val="0000FF"/>
                <w:kern w:val="0"/>
                <w:sz w:val="24"/>
                <w:szCs w:val="24"/>
              </w:rPr>
              <w:t>厂界非甲烷总烃</w:t>
            </w:r>
            <w:r>
              <w:rPr>
                <w:rFonts w:hint="eastAsia" w:eastAsia="宋体" w:cs="Times New Roman"/>
                <w:b w:val="0"/>
                <w:bCs w:val="0"/>
                <w:color w:val="0000FF"/>
                <w:kern w:val="0"/>
                <w:sz w:val="24"/>
                <w:szCs w:val="24"/>
                <w:lang w:val="en-US" w:eastAsia="zh-CN"/>
              </w:rPr>
              <w:t>满足</w:t>
            </w:r>
            <w:r>
              <w:rPr>
                <w:rFonts w:hint="default" w:ascii="Times New Roman" w:hAnsi="Times New Roman" w:eastAsia="宋体" w:cs="Times New Roman"/>
                <w:b w:val="0"/>
                <w:bCs w:val="0"/>
                <w:color w:val="0000FF"/>
                <w:sz w:val="24"/>
                <w:szCs w:val="24"/>
              </w:rPr>
              <w:t>《加油站大气污染物排放标准》（GB20952-20</w:t>
            </w:r>
            <w:r>
              <w:rPr>
                <w:rFonts w:hint="default" w:ascii="Times New Roman" w:hAnsi="Times New Roman" w:eastAsia="宋体" w:cs="Times New Roman"/>
                <w:b w:val="0"/>
                <w:bCs w:val="0"/>
                <w:color w:val="0000FF"/>
                <w:sz w:val="24"/>
                <w:szCs w:val="24"/>
                <w:lang w:val="en-US" w:eastAsia="zh-CN"/>
              </w:rPr>
              <w:t>20</w:t>
            </w:r>
            <w:r>
              <w:rPr>
                <w:rFonts w:hint="default" w:ascii="Times New Roman" w:hAnsi="Times New Roman" w:eastAsia="宋体" w:cs="Times New Roman"/>
                <w:b w:val="0"/>
                <w:bCs w:val="0"/>
                <w:color w:val="0000FF"/>
                <w:sz w:val="24"/>
                <w:szCs w:val="24"/>
              </w:rPr>
              <w:t>）</w:t>
            </w:r>
            <w:r>
              <w:rPr>
                <w:rFonts w:hint="default" w:ascii="Times New Roman" w:hAnsi="Times New Roman" w:eastAsia="宋体" w:cs="Times New Roman"/>
                <w:b w:val="0"/>
                <w:bCs w:val="0"/>
                <w:color w:val="0000FF"/>
                <w:kern w:val="0"/>
                <w:sz w:val="24"/>
                <w:szCs w:val="24"/>
              </w:rPr>
              <w:t>中标准要求</w:t>
            </w:r>
            <w:r>
              <w:rPr>
                <w:rFonts w:hint="eastAsia" w:eastAsia="宋体" w:cs="Times New Roman"/>
                <w:b w:val="0"/>
                <w:bCs w:val="0"/>
                <w:color w:val="0000FF"/>
                <w:kern w:val="0"/>
                <w:sz w:val="24"/>
                <w:szCs w:val="24"/>
                <w:lang w:eastAsia="zh-CN"/>
              </w:rPr>
              <w:t>，</w:t>
            </w:r>
            <w:r>
              <w:rPr>
                <w:rFonts w:hint="eastAsia" w:eastAsia="宋体" w:cs="Times New Roman"/>
                <w:b w:val="0"/>
                <w:bCs w:val="0"/>
                <w:color w:val="0000FF"/>
                <w:kern w:val="0"/>
                <w:sz w:val="24"/>
                <w:szCs w:val="24"/>
                <w:lang w:val="en-US" w:eastAsia="zh-CN"/>
              </w:rPr>
              <w:t>符合</w:t>
            </w:r>
            <w:r>
              <w:rPr>
                <w:rFonts w:hint="eastAsia" w:cs="Times New Roman"/>
                <w:b w:val="0"/>
                <w:bCs/>
                <w:color w:val="0000FF"/>
                <w:kern w:val="0"/>
                <w:sz w:val="24"/>
                <w:szCs w:val="24"/>
                <w:lang w:val="en-US" w:eastAsia="zh-CN" w:bidi="ar"/>
              </w:rPr>
              <w:t>《昌吉回族自治州生态环境保护与建设“十四五”规划》</w:t>
            </w:r>
            <w:r>
              <w:rPr>
                <w:rFonts w:hint="eastAsia" w:eastAsia="宋体" w:cs="Times New Roman"/>
                <w:b w:val="0"/>
                <w:bCs/>
                <w:color w:val="0000FF"/>
                <w:kern w:val="0"/>
                <w:sz w:val="24"/>
                <w:szCs w:val="24"/>
                <w:lang w:val="en-US" w:eastAsia="zh-CN" w:bidi="ar"/>
              </w:rPr>
              <w:t>要求。</w:t>
            </w:r>
          </w:p>
          <w:p w14:paraId="72D66E5F">
            <w:pPr>
              <w:pStyle w:val="65"/>
              <w:keepNext w:val="0"/>
              <w:keepLines w:val="0"/>
              <w:pageBreakBefore w:val="0"/>
              <w:widowControl w:val="0"/>
              <w:numPr>
                <w:ilvl w:val="0"/>
                <w:numId w:val="0"/>
              </w:numPr>
              <w:tabs>
                <w:tab w:val="left" w:pos="1036"/>
              </w:tabs>
              <w:kinsoku/>
              <w:wordWrap/>
              <w:overflowPunct/>
              <w:topLinePunct w:val="0"/>
              <w:autoSpaceDE/>
              <w:autoSpaceDN/>
              <w:bidi w:val="0"/>
              <w:adjustRightInd w:val="0"/>
              <w:snapToGrid w:val="0"/>
              <w:spacing w:before="0" w:after="0" w:line="360" w:lineRule="auto"/>
              <w:ind w:right="0" w:rightChars="0" w:firstLine="420" w:firstLineChars="200"/>
              <w:jc w:val="both"/>
              <w:textAlignment w:val="auto"/>
              <w:outlineLvl w:val="9"/>
              <w:rPr>
                <w:rFonts w:hint="eastAsia" w:ascii="Times New Roman" w:hAnsi="Times New Roman" w:cs="Times New Roman"/>
                <w:color w:val="000000" w:themeColor="text1"/>
                <w:kern w:val="0"/>
                <w:szCs w:val="21"/>
                <w:lang w:val="en-US" w:eastAsia="zh-CN"/>
                <w14:textFill>
                  <w14:solidFill>
                    <w14:schemeClr w14:val="tx1"/>
                  </w14:solidFill>
                </w14:textFill>
              </w:rPr>
            </w:pPr>
          </w:p>
          <w:p w14:paraId="0D245CCB">
            <w:pPr>
              <w:pStyle w:val="65"/>
              <w:keepNext w:val="0"/>
              <w:keepLines w:val="0"/>
              <w:pageBreakBefore w:val="0"/>
              <w:widowControl w:val="0"/>
              <w:numPr>
                <w:ilvl w:val="0"/>
                <w:numId w:val="0"/>
              </w:numPr>
              <w:tabs>
                <w:tab w:val="left" w:pos="1036"/>
              </w:tabs>
              <w:kinsoku/>
              <w:wordWrap/>
              <w:overflowPunct/>
              <w:topLinePunct w:val="0"/>
              <w:autoSpaceDE/>
              <w:autoSpaceDN/>
              <w:bidi w:val="0"/>
              <w:adjustRightInd w:val="0"/>
              <w:snapToGrid w:val="0"/>
              <w:spacing w:before="0" w:after="0" w:line="360" w:lineRule="auto"/>
              <w:ind w:right="0" w:rightChars="0" w:firstLine="420" w:firstLineChars="200"/>
              <w:jc w:val="both"/>
              <w:textAlignment w:val="auto"/>
              <w:outlineLvl w:val="9"/>
              <w:rPr>
                <w:rFonts w:hint="eastAsia" w:ascii="Times New Roman" w:hAnsi="Times New Roman" w:cs="Times New Roman"/>
                <w:color w:val="000000" w:themeColor="text1"/>
                <w:kern w:val="0"/>
                <w:szCs w:val="21"/>
                <w:lang w:val="en-US" w:eastAsia="zh-CN"/>
                <w14:textFill>
                  <w14:solidFill>
                    <w14:schemeClr w14:val="tx1"/>
                  </w14:solidFill>
                </w14:textFill>
              </w:rPr>
            </w:pPr>
          </w:p>
          <w:p w14:paraId="7F8F0046">
            <w:pPr>
              <w:pStyle w:val="65"/>
              <w:keepNext w:val="0"/>
              <w:keepLines w:val="0"/>
              <w:pageBreakBefore w:val="0"/>
              <w:widowControl w:val="0"/>
              <w:numPr>
                <w:ilvl w:val="0"/>
                <w:numId w:val="0"/>
              </w:numPr>
              <w:tabs>
                <w:tab w:val="left" w:pos="1036"/>
              </w:tabs>
              <w:kinsoku/>
              <w:wordWrap/>
              <w:overflowPunct/>
              <w:topLinePunct w:val="0"/>
              <w:autoSpaceDE/>
              <w:autoSpaceDN/>
              <w:bidi w:val="0"/>
              <w:adjustRightInd w:val="0"/>
              <w:snapToGrid w:val="0"/>
              <w:spacing w:before="0" w:after="0" w:line="360" w:lineRule="auto"/>
              <w:ind w:right="0" w:rightChars="0" w:firstLine="420" w:firstLineChars="200"/>
              <w:jc w:val="both"/>
              <w:textAlignment w:val="auto"/>
              <w:outlineLvl w:val="9"/>
              <w:rPr>
                <w:rFonts w:hint="eastAsia" w:ascii="Times New Roman" w:hAnsi="Times New Roman" w:cs="Times New Roman"/>
                <w:color w:val="000000" w:themeColor="text1"/>
                <w:kern w:val="0"/>
                <w:szCs w:val="21"/>
                <w:lang w:val="en-US" w:eastAsia="zh-CN"/>
                <w14:textFill>
                  <w14:solidFill>
                    <w14:schemeClr w14:val="tx1"/>
                  </w14:solidFill>
                </w14:textFill>
              </w:rPr>
            </w:pPr>
          </w:p>
          <w:p w14:paraId="348997F2">
            <w:pPr>
              <w:pStyle w:val="65"/>
              <w:keepNext w:val="0"/>
              <w:keepLines w:val="0"/>
              <w:pageBreakBefore w:val="0"/>
              <w:widowControl w:val="0"/>
              <w:numPr>
                <w:ilvl w:val="0"/>
                <w:numId w:val="0"/>
              </w:numPr>
              <w:tabs>
                <w:tab w:val="left" w:pos="1036"/>
              </w:tabs>
              <w:kinsoku/>
              <w:wordWrap/>
              <w:overflowPunct/>
              <w:topLinePunct w:val="0"/>
              <w:autoSpaceDE/>
              <w:autoSpaceDN/>
              <w:bidi w:val="0"/>
              <w:adjustRightInd w:val="0"/>
              <w:snapToGrid w:val="0"/>
              <w:spacing w:before="0" w:after="0" w:line="360" w:lineRule="auto"/>
              <w:ind w:right="0" w:rightChars="0" w:firstLine="420" w:firstLineChars="200"/>
              <w:jc w:val="both"/>
              <w:textAlignment w:val="auto"/>
              <w:outlineLvl w:val="9"/>
              <w:rPr>
                <w:rFonts w:hint="eastAsia" w:ascii="Times New Roman" w:hAnsi="Times New Roman" w:cs="Times New Roman"/>
                <w:color w:val="000000" w:themeColor="text1"/>
                <w:kern w:val="0"/>
                <w:szCs w:val="21"/>
                <w:lang w:val="en-US" w:eastAsia="zh-CN"/>
                <w14:textFill>
                  <w14:solidFill>
                    <w14:schemeClr w14:val="tx1"/>
                  </w14:solidFill>
                </w14:textFill>
              </w:rPr>
            </w:pPr>
          </w:p>
          <w:p w14:paraId="2F3A40D9">
            <w:pPr>
              <w:pStyle w:val="65"/>
              <w:keepNext w:val="0"/>
              <w:keepLines w:val="0"/>
              <w:pageBreakBefore w:val="0"/>
              <w:widowControl w:val="0"/>
              <w:numPr>
                <w:ilvl w:val="0"/>
                <w:numId w:val="0"/>
              </w:numPr>
              <w:tabs>
                <w:tab w:val="left" w:pos="1036"/>
              </w:tabs>
              <w:kinsoku/>
              <w:wordWrap/>
              <w:overflowPunct/>
              <w:topLinePunct w:val="0"/>
              <w:autoSpaceDE/>
              <w:autoSpaceDN/>
              <w:bidi w:val="0"/>
              <w:adjustRightInd w:val="0"/>
              <w:snapToGrid w:val="0"/>
              <w:spacing w:before="0" w:after="0" w:line="360" w:lineRule="auto"/>
              <w:ind w:right="0" w:rightChars="0" w:firstLine="420" w:firstLineChars="200"/>
              <w:jc w:val="both"/>
              <w:textAlignment w:val="auto"/>
              <w:outlineLvl w:val="9"/>
              <w:rPr>
                <w:rFonts w:hint="eastAsia" w:ascii="Times New Roman" w:hAnsi="Times New Roman" w:cs="Times New Roman"/>
                <w:color w:val="000000" w:themeColor="text1"/>
                <w:kern w:val="0"/>
                <w:szCs w:val="21"/>
                <w:lang w:val="en-US" w:eastAsia="zh-CN"/>
                <w14:textFill>
                  <w14:solidFill>
                    <w14:schemeClr w14:val="tx1"/>
                  </w14:solidFill>
                </w14:textFill>
              </w:rPr>
            </w:pPr>
          </w:p>
          <w:p w14:paraId="702AB708">
            <w:pPr>
              <w:pStyle w:val="65"/>
              <w:keepNext w:val="0"/>
              <w:keepLines w:val="0"/>
              <w:pageBreakBefore w:val="0"/>
              <w:widowControl w:val="0"/>
              <w:numPr>
                <w:ilvl w:val="0"/>
                <w:numId w:val="0"/>
              </w:numPr>
              <w:tabs>
                <w:tab w:val="left" w:pos="1036"/>
              </w:tabs>
              <w:kinsoku/>
              <w:wordWrap/>
              <w:overflowPunct/>
              <w:topLinePunct w:val="0"/>
              <w:autoSpaceDE/>
              <w:autoSpaceDN/>
              <w:bidi w:val="0"/>
              <w:adjustRightInd w:val="0"/>
              <w:snapToGrid w:val="0"/>
              <w:spacing w:before="0" w:after="0" w:line="360" w:lineRule="auto"/>
              <w:ind w:right="0" w:rightChars="0" w:firstLine="420" w:firstLineChars="200"/>
              <w:jc w:val="both"/>
              <w:textAlignment w:val="auto"/>
              <w:outlineLvl w:val="9"/>
              <w:rPr>
                <w:rFonts w:hint="eastAsia" w:ascii="Times New Roman" w:hAnsi="Times New Roman" w:cs="Times New Roman"/>
                <w:color w:val="000000" w:themeColor="text1"/>
                <w:kern w:val="0"/>
                <w:szCs w:val="21"/>
                <w:lang w:val="en-US" w:eastAsia="zh-CN"/>
                <w14:textFill>
                  <w14:solidFill>
                    <w14:schemeClr w14:val="tx1"/>
                  </w14:solidFill>
                </w14:textFill>
              </w:rPr>
            </w:pPr>
          </w:p>
          <w:p w14:paraId="349DBEAE">
            <w:pPr>
              <w:pStyle w:val="65"/>
              <w:keepNext w:val="0"/>
              <w:keepLines w:val="0"/>
              <w:pageBreakBefore w:val="0"/>
              <w:widowControl w:val="0"/>
              <w:numPr>
                <w:ilvl w:val="0"/>
                <w:numId w:val="0"/>
              </w:numPr>
              <w:tabs>
                <w:tab w:val="left" w:pos="1036"/>
              </w:tabs>
              <w:kinsoku/>
              <w:wordWrap/>
              <w:overflowPunct/>
              <w:topLinePunct w:val="0"/>
              <w:autoSpaceDE/>
              <w:autoSpaceDN/>
              <w:bidi w:val="0"/>
              <w:adjustRightInd w:val="0"/>
              <w:snapToGrid w:val="0"/>
              <w:spacing w:before="0" w:after="0" w:line="360" w:lineRule="auto"/>
              <w:ind w:right="0" w:rightChars="0" w:firstLine="420" w:firstLineChars="200"/>
              <w:jc w:val="both"/>
              <w:textAlignment w:val="auto"/>
              <w:outlineLvl w:val="9"/>
              <w:rPr>
                <w:rFonts w:hint="eastAsia" w:ascii="Times New Roman" w:hAnsi="Times New Roman" w:cs="Times New Roman"/>
                <w:color w:val="000000" w:themeColor="text1"/>
                <w:kern w:val="0"/>
                <w:szCs w:val="21"/>
                <w:lang w:val="en-US" w:eastAsia="zh-CN"/>
                <w14:textFill>
                  <w14:solidFill>
                    <w14:schemeClr w14:val="tx1"/>
                  </w14:solidFill>
                </w14:textFill>
              </w:rPr>
            </w:pPr>
          </w:p>
          <w:p w14:paraId="30EB2769">
            <w:pPr>
              <w:pStyle w:val="65"/>
              <w:keepNext w:val="0"/>
              <w:keepLines w:val="0"/>
              <w:pageBreakBefore w:val="0"/>
              <w:widowControl w:val="0"/>
              <w:numPr>
                <w:ilvl w:val="0"/>
                <w:numId w:val="0"/>
              </w:numPr>
              <w:tabs>
                <w:tab w:val="left" w:pos="1036"/>
              </w:tabs>
              <w:kinsoku/>
              <w:wordWrap/>
              <w:overflowPunct/>
              <w:topLinePunct w:val="0"/>
              <w:autoSpaceDE/>
              <w:autoSpaceDN/>
              <w:bidi w:val="0"/>
              <w:adjustRightInd w:val="0"/>
              <w:snapToGrid w:val="0"/>
              <w:spacing w:before="0" w:after="0" w:line="360" w:lineRule="auto"/>
              <w:ind w:right="0" w:rightChars="0" w:firstLine="420" w:firstLineChars="200"/>
              <w:jc w:val="both"/>
              <w:textAlignment w:val="auto"/>
              <w:outlineLvl w:val="9"/>
              <w:rPr>
                <w:rFonts w:hint="eastAsia" w:ascii="Times New Roman" w:hAnsi="Times New Roman" w:cs="Times New Roman"/>
                <w:color w:val="000000" w:themeColor="text1"/>
                <w:kern w:val="0"/>
                <w:szCs w:val="21"/>
                <w:lang w:val="en-US" w:eastAsia="zh-CN"/>
                <w14:textFill>
                  <w14:solidFill>
                    <w14:schemeClr w14:val="tx1"/>
                  </w14:solidFill>
                </w14:textFill>
              </w:rPr>
            </w:pPr>
          </w:p>
          <w:p w14:paraId="6BA5333D">
            <w:pPr>
              <w:pStyle w:val="65"/>
              <w:keepNext w:val="0"/>
              <w:keepLines w:val="0"/>
              <w:pageBreakBefore w:val="0"/>
              <w:widowControl w:val="0"/>
              <w:numPr>
                <w:ilvl w:val="0"/>
                <w:numId w:val="0"/>
              </w:numPr>
              <w:tabs>
                <w:tab w:val="left" w:pos="1036"/>
              </w:tabs>
              <w:kinsoku/>
              <w:wordWrap/>
              <w:overflowPunct/>
              <w:topLinePunct w:val="0"/>
              <w:autoSpaceDE/>
              <w:autoSpaceDN/>
              <w:bidi w:val="0"/>
              <w:adjustRightInd w:val="0"/>
              <w:snapToGrid w:val="0"/>
              <w:spacing w:before="0" w:after="0" w:line="360" w:lineRule="auto"/>
              <w:ind w:right="0" w:rightChars="0" w:firstLine="420" w:firstLineChars="200"/>
              <w:jc w:val="both"/>
              <w:textAlignment w:val="auto"/>
              <w:outlineLvl w:val="9"/>
              <w:rPr>
                <w:rFonts w:hint="eastAsia" w:ascii="Times New Roman" w:hAnsi="Times New Roman" w:cs="Times New Roman"/>
                <w:color w:val="000000" w:themeColor="text1"/>
                <w:kern w:val="0"/>
                <w:szCs w:val="21"/>
                <w:lang w:val="en-US" w:eastAsia="zh-CN"/>
                <w14:textFill>
                  <w14:solidFill>
                    <w14:schemeClr w14:val="tx1"/>
                  </w14:solidFill>
                </w14:textFill>
              </w:rPr>
            </w:pPr>
          </w:p>
          <w:p w14:paraId="08F07F1D">
            <w:pPr>
              <w:pStyle w:val="65"/>
              <w:keepNext w:val="0"/>
              <w:keepLines w:val="0"/>
              <w:pageBreakBefore w:val="0"/>
              <w:widowControl w:val="0"/>
              <w:numPr>
                <w:ilvl w:val="0"/>
                <w:numId w:val="0"/>
              </w:numPr>
              <w:tabs>
                <w:tab w:val="left" w:pos="1036"/>
              </w:tabs>
              <w:kinsoku/>
              <w:wordWrap/>
              <w:overflowPunct/>
              <w:topLinePunct w:val="0"/>
              <w:autoSpaceDE/>
              <w:autoSpaceDN/>
              <w:bidi w:val="0"/>
              <w:adjustRightInd w:val="0"/>
              <w:snapToGrid w:val="0"/>
              <w:spacing w:before="0" w:after="0" w:line="360" w:lineRule="auto"/>
              <w:ind w:right="0" w:rightChars="0" w:firstLine="420" w:firstLineChars="200"/>
              <w:jc w:val="both"/>
              <w:textAlignment w:val="auto"/>
              <w:outlineLvl w:val="9"/>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bl>
    <w:p w14:paraId="33A82F5C">
      <w:pPr>
        <w:keepNext w:val="0"/>
        <w:keepLines w:val="0"/>
        <w:pageBreakBefore w:val="0"/>
        <w:widowControl w:val="0"/>
        <w:wordWrap/>
        <w:bidi w:val="0"/>
        <w:adjustRightInd w:val="0"/>
        <w:snapToGrid w:val="0"/>
        <w:spacing w:line="360" w:lineRule="auto"/>
        <w:outlineLvl w:val="0"/>
        <w:rPr>
          <w:rFonts w:eastAsia="黑体"/>
          <w:color w:val="000000" w:themeColor="text1"/>
          <w:sz w:val="30"/>
          <w14:textFill>
            <w14:solidFill>
              <w14:schemeClr w14:val="tx1"/>
            </w14:solidFill>
          </w14:textFill>
        </w:rPr>
        <w:sectPr>
          <w:pgSz w:w="11906" w:h="16838"/>
          <w:pgMar w:top="153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1ABE7347">
      <w:pPr>
        <w:pStyle w:val="26"/>
        <w:keepNext w:val="0"/>
        <w:keepLines w:val="0"/>
        <w:pageBreakBefore w:val="0"/>
        <w:widowControl w:val="0"/>
        <w:wordWrap/>
        <w:bidi w:val="0"/>
        <w:adjustRightInd w:val="0"/>
        <w:snapToGrid w:val="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二、建设项目工程分析</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8"/>
      </w:tblGrid>
      <w:tr w14:paraId="10ED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455" w:type="dxa"/>
            <w:noWrap w:val="0"/>
            <w:vAlign w:val="center"/>
          </w:tcPr>
          <w:p w14:paraId="2634D63C">
            <w:pPr>
              <w:pStyle w:val="26"/>
              <w:keepNext w:val="0"/>
              <w:keepLines w:val="0"/>
              <w:pageBreakBefore w:val="0"/>
              <w:widowControl w:val="0"/>
              <w:wordWrap/>
              <w:bidi w:val="0"/>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color w:val="000000" w:themeColor="text1"/>
                <w:sz w:val="24"/>
                <w:szCs w:val="24"/>
                <w14:textFill>
                  <w14:solidFill>
                    <w14:schemeClr w14:val="tx1"/>
                  </w14:solidFill>
                </w14:textFill>
              </w:rPr>
              <w:t>建设内容</w:t>
            </w:r>
          </w:p>
        </w:tc>
        <w:tc>
          <w:tcPr>
            <w:tcW w:w="8605" w:type="dxa"/>
            <w:noWrap w:val="0"/>
            <w:vAlign w:val="top"/>
          </w:tcPr>
          <w:p w14:paraId="14C13C56">
            <w:pPr>
              <w:pStyle w:val="11"/>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right="0"/>
              <w:jc w:val="both"/>
              <w:textAlignment w:val="auto"/>
              <w:outlineLvl w:val="9"/>
              <w:rPr>
                <w:rFonts w:hint="eastAsia" w:cs="Times New Roman"/>
                <w:b/>
                <w:color w:val="000000" w:themeColor="text1"/>
                <w:sz w:val="24"/>
                <w:szCs w:val="24"/>
                <w:lang w:val="en-US"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2.1 项目背景</w:t>
            </w:r>
          </w:p>
          <w:p w14:paraId="1FC84A1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outlineLvl w:val="9"/>
              <w:rPr>
                <w:rFonts w:hint="eastAsia" w:ascii="Times New Roman" w:hAnsi="Times New Roman" w:eastAsia="宋体" w:cs="Times New Roman"/>
                <w:snapToGrid w:val="0"/>
                <w:color w:val="0000FF"/>
                <w:kern w:val="0"/>
                <w:sz w:val="24"/>
                <w:szCs w:val="22"/>
                <w:highlight w:val="none"/>
                <w:lang w:val="en-US" w:eastAsia="zh-CN"/>
              </w:rPr>
            </w:pPr>
            <w:r>
              <w:rPr>
                <w:rFonts w:hint="eastAsia" w:ascii="Times New Roman" w:hAnsi="Times New Roman" w:eastAsia="宋体" w:cs="Times New Roman"/>
                <w:snapToGrid w:val="0"/>
                <w:color w:val="0000FF"/>
                <w:kern w:val="0"/>
                <w:sz w:val="24"/>
                <w:szCs w:val="22"/>
                <w:highlight w:val="none"/>
                <w:lang w:val="en-US" w:eastAsia="zh-CN"/>
              </w:rPr>
              <w:t>凤城加油站位于玛纳斯县城S115省道123公里处北侧，</w:t>
            </w:r>
            <w:r>
              <w:rPr>
                <w:rFonts w:hint="eastAsia" w:cs="Times New Roman"/>
                <w:snapToGrid w:val="0"/>
                <w:color w:val="0000FF"/>
                <w:kern w:val="0"/>
                <w:sz w:val="24"/>
                <w:szCs w:val="22"/>
                <w:highlight w:val="none"/>
                <w:lang w:val="en-US" w:eastAsia="zh-CN"/>
              </w:rPr>
              <w:t>于2015年建设完毕后投入运营，</w:t>
            </w:r>
            <w:r>
              <w:rPr>
                <w:rFonts w:hint="eastAsia" w:ascii="Times New Roman" w:hAnsi="Times New Roman" w:eastAsia="宋体" w:cs="Times New Roman"/>
                <w:snapToGrid w:val="0"/>
                <w:color w:val="0000FF"/>
                <w:kern w:val="0"/>
                <w:sz w:val="24"/>
                <w:szCs w:val="22"/>
                <w:highlight w:val="none"/>
                <w:lang w:val="en-US" w:eastAsia="zh-CN"/>
              </w:rPr>
              <w:t>2018年，因凤城加油站沿线S115省道升级改造，公路拓宽占用加油站部分用地，加油站临近公路一侧的加油机的位置已被人行道完全占用，且道路与加油站地面高差约2米，造成加油站无法运营，该站自2018年10月关停至今。为稳固现有网点份额及市场占有率，现拟在加油站现有剩余用地范围内</w:t>
            </w:r>
            <w:r>
              <w:rPr>
                <w:rFonts w:hint="eastAsia" w:cs="Times New Roman"/>
                <w:snapToGrid w:val="0"/>
                <w:color w:val="0000FF"/>
                <w:kern w:val="0"/>
                <w:sz w:val="24"/>
                <w:szCs w:val="22"/>
                <w:highlight w:val="none"/>
                <w:lang w:val="en-US" w:eastAsia="zh-CN"/>
              </w:rPr>
              <w:t>拆除现有建筑设施后</w:t>
            </w:r>
            <w:r>
              <w:rPr>
                <w:rFonts w:hint="eastAsia" w:ascii="Times New Roman" w:hAnsi="Times New Roman" w:eastAsia="宋体" w:cs="Times New Roman"/>
                <w:snapToGrid w:val="0"/>
                <w:color w:val="0000FF"/>
                <w:kern w:val="0"/>
                <w:sz w:val="24"/>
                <w:szCs w:val="22"/>
                <w:highlight w:val="none"/>
                <w:lang w:val="en-US" w:eastAsia="zh-CN"/>
              </w:rPr>
              <w:t>重新规划建站。</w:t>
            </w:r>
          </w:p>
          <w:p w14:paraId="6917C76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outlineLvl w:val="9"/>
              <w:rPr>
                <w:rFonts w:hint="eastAsia" w:ascii="Times New Roman" w:hAnsi="Times New Roman" w:eastAsia="宋体" w:cs="Times New Roman"/>
                <w:snapToGrid w:val="0"/>
                <w:color w:val="0000FF"/>
                <w:kern w:val="0"/>
                <w:sz w:val="24"/>
                <w:szCs w:val="22"/>
                <w:highlight w:val="none"/>
                <w:lang w:val="en-US" w:eastAsia="zh-CN"/>
              </w:rPr>
            </w:pPr>
            <w:r>
              <w:rPr>
                <w:rFonts w:hint="default" w:ascii="Times New Roman" w:hAnsi="Times New Roman" w:eastAsia="宋体" w:cs="Times New Roman"/>
                <w:bCs/>
                <w:color w:val="0000FF"/>
                <w:kern w:val="24"/>
                <w:sz w:val="24"/>
                <w:szCs w:val="24"/>
                <w:highlight w:val="none"/>
              </w:rPr>
              <w:t>本项目于202</w:t>
            </w:r>
            <w:r>
              <w:rPr>
                <w:rFonts w:hint="eastAsia" w:cs="Times New Roman"/>
                <w:bCs/>
                <w:color w:val="0000FF"/>
                <w:kern w:val="24"/>
                <w:sz w:val="24"/>
                <w:szCs w:val="24"/>
                <w:highlight w:val="none"/>
                <w:lang w:val="en-US" w:eastAsia="zh-CN"/>
              </w:rPr>
              <w:t>4</w:t>
            </w:r>
            <w:r>
              <w:rPr>
                <w:rFonts w:hint="default" w:ascii="Times New Roman" w:hAnsi="Times New Roman" w:eastAsia="宋体" w:cs="Times New Roman"/>
                <w:bCs/>
                <w:color w:val="0000FF"/>
                <w:kern w:val="24"/>
                <w:sz w:val="24"/>
                <w:szCs w:val="24"/>
                <w:highlight w:val="none"/>
              </w:rPr>
              <w:t>年</w:t>
            </w:r>
            <w:r>
              <w:rPr>
                <w:rFonts w:hint="eastAsia" w:cs="Times New Roman"/>
                <w:bCs/>
                <w:color w:val="0000FF"/>
                <w:kern w:val="24"/>
                <w:sz w:val="24"/>
                <w:szCs w:val="24"/>
                <w:highlight w:val="none"/>
                <w:lang w:val="en-US" w:eastAsia="zh-CN"/>
              </w:rPr>
              <w:t>8</w:t>
            </w:r>
            <w:r>
              <w:rPr>
                <w:rFonts w:hint="default" w:ascii="Times New Roman" w:hAnsi="Times New Roman" w:eastAsia="宋体" w:cs="Times New Roman"/>
                <w:bCs/>
                <w:color w:val="0000FF"/>
                <w:kern w:val="24"/>
                <w:sz w:val="24"/>
                <w:szCs w:val="24"/>
                <w:highlight w:val="none"/>
              </w:rPr>
              <w:t>月</w:t>
            </w:r>
            <w:r>
              <w:rPr>
                <w:rFonts w:hint="eastAsia" w:cs="Times New Roman"/>
                <w:bCs/>
                <w:color w:val="0000FF"/>
                <w:kern w:val="24"/>
                <w:sz w:val="24"/>
                <w:szCs w:val="24"/>
                <w:highlight w:val="none"/>
                <w:lang w:val="en-US" w:eastAsia="zh-CN"/>
              </w:rPr>
              <w:t>26</w:t>
            </w:r>
            <w:r>
              <w:rPr>
                <w:rFonts w:hint="default" w:ascii="Times New Roman" w:hAnsi="Times New Roman" w:eastAsia="宋体" w:cs="Times New Roman"/>
                <w:bCs/>
                <w:color w:val="0000FF"/>
                <w:kern w:val="24"/>
                <w:sz w:val="24"/>
                <w:szCs w:val="24"/>
                <w:highlight w:val="none"/>
              </w:rPr>
              <w:t>日取得由</w:t>
            </w:r>
            <w:r>
              <w:rPr>
                <w:rFonts w:hint="eastAsia" w:cs="Times New Roman"/>
                <w:color w:val="0000FF"/>
                <w:sz w:val="24"/>
                <w:szCs w:val="24"/>
                <w:lang w:val="en-US" w:eastAsia="zh-CN"/>
              </w:rPr>
              <w:t>玛纳斯县</w:t>
            </w:r>
            <w:r>
              <w:rPr>
                <w:rFonts w:hint="default" w:ascii="Times New Roman" w:hAnsi="Times New Roman" w:cs="Times New Roman"/>
                <w:color w:val="0000FF"/>
                <w:sz w:val="24"/>
                <w:szCs w:val="24"/>
                <w:lang w:eastAsia="zh-CN"/>
              </w:rPr>
              <w:t>发展和改革委员会</w:t>
            </w:r>
            <w:r>
              <w:rPr>
                <w:rFonts w:hint="default" w:ascii="Times New Roman" w:hAnsi="Times New Roman" w:eastAsia="宋体" w:cs="Times New Roman"/>
                <w:bCs/>
                <w:color w:val="0000FF"/>
                <w:kern w:val="24"/>
                <w:sz w:val="24"/>
                <w:szCs w:val="24"/>
                <w:highlight w:val="none"/>
              </w:rPr>
              <w:t>出具的新疆维吾尔自治区投资项目备案证</w:t>
            </w:r>
            <w:r>
              <w:rPr>
                <w:rFonts w:hint="eastAsia" w:cs="Times New Roman"/>
                <w:bCs/>
                <w:color w:val="0000FF"/>
                <w:kern w:val="24"/>
                <w:sz w:val="24"/>
                <w:szCs w:val="24"/>
                <w:highlight w:val="none"/>
                <w:lang w:eastAsia="zh-CN"/>
              </w:rPr>
              <w:t>，备案内容：总占地面积1871.82平方米，新建30立方米汽油罐1座、40立方米汽油罐2座、40立方米柴油罐1座并配套业务用房、加油机、充电桩等相关附属设施。</w:t>
            </w:r>
          </w:p>
          <w:p w14:paraId="48581832">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right="0"/>
              <w:jc w:val="both"/>
              <w:textAlignment w:val="auto"/>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b/>
                <w:color w:val="000000" w:themeColor="text1"/>
                <w:sz w:val="24"/>
                <w:szCs w:val="24"/>
                <w14:textFill>
                  <w14:solidFill>
                    <w14:schemeClr w14:val="tx1"/>
                  </w14:solidFill>
                </w14:textFill>
              </w:rPr>
              <w:t>工程内容及规模</w:t>
            </w:r>
          </w:p>
          <w:p w14:paraId="584C0FC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outlineLvl w:val="9"/>
              <w:rPr>
                <w:rFonts w:hint="default" w:ascii="Times New Roman" w:hAnsi="Times New Roman" w:eastAsia="宋体" w:cs="Times New Roman"/>
                <w:snapToGrid w:val="0"/>
                <w:color w:val="0000FF"/>
                <w:kern w:val="0"/>
                <w:sz w:val="24"/>
                <w:szCs w:val="22"/>
                <w:highlight w:val="yellow"/>
                <w:lang w:eastAsia="zh-CN"/>
              </w:rPr>
            </w:pPr>
            <w:r>
              <w:rPr>
                <w:rFonts w:hint="default" w:ascii="Times New Roman" w:hAnsi="Times New Roman" w:eastAsia="宋体" w:cs="Times New Roman"/>
                <w:snapToGrid w:val="0"/>
                <w:color w:val="0000FF"/>
                <w:kern w:val="0"/>
                <w:sz w:val="24"/>
                <w:szCs w:val="22"/>
                <w:highlight w:val="none"/>
                <w:lang w:eastAsia="zh-CN"/>
              </w:rPr>
              <w:t>本项目加油站总占地面积约</w:t>
            </w:r>
            <w:r>
              <w:rPr>
                <w:rFonts w:hint="eastAsia" w:cs="Times New Roman"/>
                <w:snapToGrid w:val="0"/>
                <w:color w:val="0000FF"/>
                <w:kern w:val="0"/>
                <w:sz w:val="24"/>
                <w:szCs w:val="22"/>
                <w:highlight w:val="none"/>
                <w:lang w:val="en-US" w:eastAsia="zh-CN"/>
              </w:rPr>
              <w:t>3736.46</w:t>
            </w:r>
            <w:r>
              <w:rPr>
                <w:rFonts w:hint="default" w:ascii="Times New Roman" w:hAnsi="Times New Roman" w:eastAsia="宋体" w:cs="Times New Roman"/>
                <w:snapToGrid w:val="0"/>
                <w:color w:val="0000FF"/>
                <w:kern w:val="0"/>
                <w:sz w:val="24"/>
                <w:szCs w:val="22"/>
                <w:highlight w:val="none"/>
                <w:lang w:eastAsia="zh-CN"/>
              </w:rPr>
              <w:t>m</w:t>
            </w:r>
            <w:r>
              <w:rPr>
                <w:rFonts w:hint="default" w:ascii="Times New Roman" w:hAnsi="Times New Roman" w:eastAsia="宋体" w:cs="Times New Roman"/>
                <w:snapToGrid w:val="0"/>
                <w:color w:val="0000FF"/>
                <w:kern w:val="0"/>
                <w:sz w:val="24"/>
                <w:szCs w:val="22"/>
                <w:highlight w:val="none"/>
                <w:vertAlign w:val="superscript"/>
                <w:lang w:eastAsia="zh-CN"/>
              </w:rPr>
              <w:t>2</w:t>
            </w:r>
            <w:r>
              <w:rPr>
                <w:rFonts w:hint="eastAsia" w:cs="Times New Roman"/>
                <w:snapToGrid w:val="0"/>
                <w:color w:val="0000FF"/>
                <w:kern w:val="0"/>
                <w:sz w:val="24"/>
                <w:szCs w:val="22"/>
                <w:highlight w:val="none"/>
                <w:vertAlign w:val="baseline"/>
                <w:lang w:eastAsia="zh-CN"/>
              </w:rPr>
              <w:t>，其中建筑物占地面积约</w:t>
            </w:r>
            <w:r>
              <w:rPr>
                <w:rFonts w:hint="eastAsia" w:cs="Times New Roman"/>
                <w:bCs/>
                <w:color w:val="0000FF"/>
                <w:kern w:val="24"/>
                <w:sz w:val="24"/>
                <w:szCs w:val="24"/>
                <w:highlight w:val="none"/>
                <w:lang w:eastAsia="zh-CN"/>
              </w:rPr>
              <w:t>1871.82</w:t>
            </w:r>
            <w:r>
              <w:rPr>
                <w:rFonts w:hint="eastAsia" w:cs="Times New Roman"/>
                <w:bCs/>
                <w:color w:val="0000FF"/>
                <w:kern w:val="24"/>
                <w:sz w:val="24"/>
                <w:szCs w:val="24"/>
                <w:highlight w:val="none"/>
                <w:lang w:val="en-US" w:eastAsia="zh-CN"/>
              </w:rPr>
              <w:t>m</w:t>
            </w:r>
            <w:r>
              <w:rPr>
                <w:rFonts w:hint="eastAsia" w:cs="Times New Roman"/>
                <w:bCs/>
                <w:color w:val="0000FF"/>
                <w:kern w:val="24"/>
                <w:sz w:val="24"/>
                <w:szCs w:val="24"/>
                <w:highlight w:val="none"/>
                <w:vertAlign w:val="superscript"/>
                <w:lang w:val="en-US" w:eastAsia="zh-CN"/>
              </w:rPr>
              <w:t>2</w:t>
            </w:r>
            <w:r>
              <w:rPr>
                <w:rFonts w:hint="eastAsia" w:cs="Times New Roman"/>
                <w:bCs/>
                <w:color w:val="0000FF"/>
                <w:kern w:val="24"/>
                <w:sz w:val="24"/>
                <w:szCs w:val="24"/>
                <w:highlight w:val="none"/>
                <w:lang w:val="en-US" w:eastAsia="zh-CN"/>
              </w:rPr>
              <w:t>，绿化面积及站前道路占地面积约1864.64m</w:t>
            </w:r>
            <w:r>
              <w:rPr>
                <w:rFonts w:hint="eastAsia" w:cs="Times New Roman"/>
                <w:bCs/>
                <w:color w:val="0000FF"/>
                <w:kern w:val="24"/>
                <w:sz w:val="24"/>
                <w:szCs w:val="24"/>
                <w:highlight w:val="none"/>
                <w:vertAlign w:val="superscript"/>
                <w:lang w:val="en-US" w:eastAsia="zh-CN"/>
              </w:rPr>
              <w:t>2</w:t>
            </w:r>
            <w:r>
              <w:rPr>
                <w:rFonts w:hint="eastAsia" w:cs="Times New Roman"/>
                <w:bCs/>
                <w:color w:val="0000FF"/>
                <w:kern w:val="24"/>
                <w:sz w:val="24"/>
                <w:szCs w:val="24"/>
                <w:highlight w:val="none"/>
                <w:vertAlign w:val="baseline"/>
                <w:lang w:val="en-US" w:eastAsia="zh-CN"/>
              </w:rPr>
              <w:t>（未做备案）</w:t>
            </w:r>
            <w:r>
              <w:rPr>
                <w:rFonts w:hint="default" w:ascii="Times New Roman" w:hAnsi="Times New Roman" w:eastAsia="宋体" w:cs="Times New Roman"/>
                <w:snapToGrid w:val="0"/>
                <w:color w:val="0000FF"/>
                <w:kern w:val="0"/>
                <w:sz w:val="24"/>
                <w:szCs w:val="22"/>
                <w:highlight w:val="none"/>
                <w:lang w:eastAsia="zh-CN"/>
              </w:rPr>
              <w:t>，总建筑面积为</w:t>
            </w:r>
            <w:r>
              <w:rPr>
                <w:rFonts w:hint="eastAsia" w:cs="Times New Roman"/>
                <w:snapToGrid w:val="0"/>
                <w:color w:val="0000FF"/>
                <w:kern w:val="0"/>
                <w:sz w:val="24"/>
                <w:szCs w:val="22"/>
                <w:highlight w:val="none"/>
                <w:lang w:val="en-US" w:eastAsia="zh-CN"/>
              </w:rPr>
              <w:t>959.48</w:t>
            </w:r>
            <w:r>
              <w:rPr>
                <w:rFonts w:hint="default" w:ascii="Times New Roman" w:hAnsi="Times New Roman" w:eastAsia="宋体" w:cs="Times New Roman"/>
                <w:snapToGrid w:val="0"/>
                <w:color w:val="0000FF"/>
                <w:kern w:val="0"/>
                <w:sz w:val="24"/>
                <w:szCs w:val="22"/>
                <w:highlight w:val="none"/>
                <w:lang w:eastAsia="zh-CN"/>
              </w:rPr>
              <w:t>m</w:t>
            </w:r>
            <w:r>
              <w:rPr>
                <w:rFonts w:hint="default" w:ascii="Times New Roman" w:hAnsi="Times New Roman" w:eastAsia="宋体" w:cs="Times New Roman"/>
                <w:snapToGrid w:val="0"/>
                <w:color w:val="0000FF"/>
                <w:kern w:val="0"/>
                <w:sz w:val="24"/>
                <w:szCs w:val="22"/>
                <w:highlight w:val="none"/>
                <w:vertAlign w:val="superscript"/>
                <w:lang w:eastAsia="zh-CN"/>
              </w:rPr>
              <w:t>2</w:t>
            </w:r>
            <w:r>
              <w:rPr>
                <w:rFonts w:hint="default" w:ascii="Times New Roman" w:hAnsi="Times New Roman" w:eastAsia="宋体" w:cs="Times New Roman"/>
                <w:snapToGrid w:val="0"/>
                <w:color w:val="0000FF"/>
                <w:kern w:val="0"/>
                <w:sz w:val="24"/>
                <w:szCs w:val="22"/>
                <w:highlight w:val="none"/>
                <w:lang w:eastAsia="zh-CN"/>
              </w:rPr>
              <w:t>，新建站房</w:t>
            </w:r>
            <w:r>
              <w:rPr>
                <w:rFonts w:hint="eastAsia" w:cs="Times New Roman"/>
                <w:snapToGrid w:val="0"/>
                <w:color w:val="0000FF"/>
                <w:kern w:val="0"/>
                <w:sz w:val="24"/>
                <w:szCs w:val="22"/>
                <w:highlight w:val="none"/>
                <w:lang w:val="en-US" w:eastAsia="zh-CN"/>
              </w:rPr>
              <w:t>1座、</w:t>
            </w:r>
            <w:r>
              <w:rPr>
                <w:rFonts w:hint="default" w:ascii="Times New Roman" w:hAnsi="Times New Roman" w:eastAsia="宋体" w:cs="Times New Roman"/>
                <w:snapToGrid w:val="0"/>
                <w:color w:val="0000FF"/>
                <w:kern w:val="0"/>
                <w:sz w:val="24"/>
                <w:szCs w:val="22"/>
                <w:highlight w:val="none"/>
                <w:lang w:eastAsia="zh-CN"/>
              </w:rPr>
              <w:t>罩棚</w:t>
            </w:r>
            <w:r>
              <w:rPr>
                <w:rFonts w:hint="eastAsia" w:cs="Times New Roman"/>
                <w:snapToGrid w:val="0"/>
                <w:color w:val="0000FF"/>
                <w:kern w:val="0"/>
                <w:sz w:val="24"/>
                <w:szCs w:val="22"/>
                <w:highlight w:val="none"/>
                <w:lang w:val="en-US" w:eastAsia="zh-CN"/>
              </w:rPr>
              <w:t>1座</w:t>
            </w:r>
            <w:r>
              <w:rPr>
                <w:rFonts w:hint="default" w:ascii="Times New Roman" w:hAnsi="Times New Roman" w:eastAsia="宋体" w:cs="Times New Roman"/>
                <w:snapToGrid w:val="0"/>
                <w:color w:val="0000FF"/>
                <w:kern w:val="0"/>
                <w:sz w:val="24"/>
                <w:szCs w:val="22"/>
                <w:highlight w:val="none"/>
                <w:lang w:eastAsia="zh-CN"/>
              </w:rPr>
              <w:t>、30立方米汽油罐1座、40立方米汽油罐2座、40立方米柴油罐1座并配套业务用房</w:t>
            </w:r>
            <w:r>
              <w:rPr>
                <w:rFonts w:hint="eastAsia" w:cs="Times New Roman"/>
                <w:snapToGrid w:val="0"/>
                <w:color w:val="0000FF"/>
                <w:kern w:val="0"/>
                <w:sz w:val="24"/>
                <w:szCs w:val="22"/>
                <w:highlight w:val="none"/>
                <w:lang w:eastAsia="zh-CN"/>
              </w:rPr>
              <w:t>（站房及洗车房）</w:t>
            </w:r>
            <w:r>
              <w:rPr>
                <w:rFonts w:hint="default" w:ascii="Times New Roman" w:hAnsi="Times New Roman" w:eastAsia="宋体" w:cs="Times New Roman"/>
                <w:snapToGrid w:val="0"/>
                <w:color w:val="0000FF"/>
                <w:kern w:val="0"/>
                <w:sz w:val="24"/>
                <w:szCs w:val="22"/>
                <w:highlight w:val="none"/>
                <w:lang w:eastAsia="zh-CN"/>
              </w:rPr>
              <w:t>、加油机、充电桩等相关附属设施</w:t>
            </w:r>
            <w:r>
              <w:rPr>
                <w:rFonts w:hint="default" w:ascii="Times New Roman" w:hAnsi="Times New Roman" w:eastAsia="宋体" w:cs="Times New Roman"/>
                <w:snapToGrid w:val="0"/>
                <w:color w:val="0000FF"/>
                <w:kern w:val="0"/>
                <w:sz w:val="24"/>
                <w:szCs w:val="22"/>
                <w:highlight w:val="none"/>
                <w:lang w:val="en-US" w:eastAsia="zh-CN"/>
              </w:rPr>
              <w:t>。</w:t>
            </w:r>
            <w:r>
              <w:rPr>
                <w:rFonts w:hint="default" w:ascii="Times New Roman" w:hAnsi="Times New Roman" w:eastAsia="宋体" w:cs="Times New Roman"/>
                <w:snapToGrid w:val="0"/>
                <w:color w:val="0000FF"/>
                <w:kern w:val="0"/>
                <w:sz w:val="24"/>
                <w:szCs w:val="22"/>
                <w:highlight w:val="none"/>
                <w:lang w:eastAsia="zh-CN"/>
              </w:rPr>
              <w:t>项目工程组成见表</w:t>
            </w:r>
            <w:r>
              <w:rPr>
                <w:rFonts w:hint="default" w:ascii="Times New Roman" w:hAnsi="Times New Roman" w:eastAsia="宋体" w:cs="Times New Roman"/>
                <w:snapToGrid w:val="0"/>
                <w:color w:val="0000FF"/>
                <w:kern w:val="0"/>
                <w:sz w:val="24"/>
                <w:szCs w:val="22"/>
                <w:highlight w:val="none"/>
                <w:lang w:val="en-US" w:eastAsia="zh-CN"/>
              </w:rPr>
              <w:t>2-1</w:t>
            </w:r>
            <w:r>
              <w:rPr>
                <w:rFonts w:hint="default" w:ascii="Times New Roman" w:hAnsi="Times New Roman" w:eastAsia="宋体" w:cs="Times New Roman"/>
                <w:snapToGrid w:val="0"/>
                <w:color w:val="0000FF"/>
                <w:kern w:val="0"/>
                <w:sz w:val="24"/>
                <w:szCs w:val="22"/>
                <w:highlight w:val="none"/>
                <w:lang w:eastAsia="zh-CN"/>
              </w:rPr>
              <w:t>。</w:t>
            </w:r>
          </w:p>
          <w:p w14:paraId="614C98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2-1</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eastAsia" w:cs="Times New Roman"/>
                <w:b/>
                <w:bCs/>
                <w:color w:val="000000" w:themeColor="text1"/>
                <w:sz w:val="21"/>
                <w:szCs w:val="21"/>
                <w:lang w:eastAsia="zh-CN"/>
                <w14:textFill>
                  <w14:solidFill>
                    <w14:schemeClr w14:val="tx1"/>
                  </w14:solidFill>
                </w14:textFill>
              </w:rPr>
              <w:t>本项目工程组成一览表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24"/>
              <w:gridCol w:w="552"/>
              <w:gridCol w:w="6934"/>
              <w:gridCol w:w="579"/>
            </w:tblGrid>
            <w:tr w14:paraId="5B1BB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2" w:type="pct"/>
                  <w:gridSpan w:val="2"/>
                  <w:tcBorders>
                    <w:tl2br w:val="nil"/>
                    <w:tr2bl w:val="nil"/>
                  </w:tcBorders>
                  <w:noWrap w:val="0"/>
                  <w:vAlign w:val="center"/>
                </w:tcPr>
                <w:p w14:paraId="558BFE66">
                  <w:pPr>
                    <w:keepNext w:val="0"/>
                    <w:keepLines w:val="0"/>
                    <w:pageBreakBefore w:val="0"/>
                    <w:widowControl w:val="0"/>
                    <w:wordWrap/>
                    <w:bidi w:val="0"/>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工程名称</w:t>
                  </w:r>
                </w:p>
              </w:tc>
              <w:tc>
                <w:tcPr>
                  <w:tcW w:w="4132" w:type="pct"/>
                  <w:tcBorders>
                    <w:tl2br w:val="nil"/>
                    <w:tr2bl w:val="nil"/>
                  </w:tcBorders>
                  <w:noWrap w:val="0"/>
                  <w:vAlign w:val="center"/>
                </w:tcPr>
                <w:p w14:paraId="4F568ADA">
                  <w:pPr>
                    <w:keepNext w:val="0"/>
                    <w:keepLines w:val="0"/>
                    <w:pageBreakBefore w:val="0"/>
                    <w:widowControl w:val="0"/>
                    <w:wordWrap/>
                    <w:bidi w:val="0"/>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建设</w:t>
                  </w:r>
                  <w:r>
                    <w:rPr>
                      <w:rFonts w:hint="default" w:ascii="Times New Roman" w:hAnsi="Times New Roman" w:eastAsia="宋体" w:cs="Times New Roman"/>
                      <w:b/>
                      <w:bCs/>
                      <w:color w:val="000000" w:themeColor="text1"/>
                      <w:sz w:val="21"/>
                      <w:szCs w:val="21"/>
                      <w14:textFill>
                        <w14:solidFill>
                          <w14:schemeClr w14:val="tx1"/>
                        </w14:solidFill>
                      </w14:textFill>
                    </w:rPr>
                    <w:t>内容</w:t>
                  </w:r>
                </w:p>
              </w:tc>
              <w:tc>
                <w:tcPr>
                  <w:tcW w:w="345" w:type="pct"/>
                  <w:tcBorders>
                    <w:tl2br w:val="nil"/>
                    <w:tr2bl w:val="nil"/>
                  </w:tcBorders>
                  <w:noWrap w:val="0"/>
                  <w:vAlign w:val="center"/>
                </w:tcPr>
                <w:p w14:paraId="57411DF0">
                  <w:pPr>
                    <w:keepNext w:val="0"/>
                    <w:keepLines w:val="0"/>
                    <w:pageBreakBefore w:val="0"/>
                    <w:widowControl w:val="0"/>
                    <w:wordWrap/>
                    <w:bidi w:val="0"/>
                    <w:adjustRightInd w:val="0"/>
                    <w:snapToGrid w:val="0"/>
                    <w:jc w:val="center"/>
                    <w:rPr>
                      <w:rFonts w:hint="eastAsia"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备注</w:t>
                  </w:r>
                </w:p>
              </w:tc>
            </w:tr>
            <w:tr w14:paraId="28006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restart"/>
                  <w:tcBorders>
                    <w:tl2br w:val="nil"/>
                    <w:tr2bl w:val="nil"/>
                  </w:tcBorders>
                  <w:noWrap w:val="0"/>
                  <w:vAlign w:val="center"/>
                </w:tcPr>
                <w:p w14:paraId="785305C2">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主体工程</w:t>
                  </w:r>
                </w:p>
              </w:tc>
              <w:tc>
                <w:tcPr>
                  <w:tcW w:w="329" w:type="pct"/>
                  <w:vMerge w:val="restart"/>
                  <w:tcBorders>
                    <w:tl2br w:val="nil"/>
                    <w:tr2bl w:val="nil"/>
                  </w:tcBorders>
                  <w:noWrap w:val="0"/>
                  <w:vAlign w:val="center"/>
                </w:tcPr>
                <w:p w14:paraId="73536E0F">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加油</w:t>
                  </w:r>
                  <w:r>
                    <w:rPr>
                      <w:rFonts w:hint="eastAsia" w:cs="Times New Roman"/>
                      <w:color w:val="000000" w:themeColor="text1"/>
                      <w:sz w:val="21"/>
                      <w:szCs w:val="21"/>
                      <w:lang w:val="en-US" w:eastAsia="zh-CN"/>
                      <w14:textFill>
                        <w14:solidFill>
                          <w14:schemeClr w14:val="tx1"/>
                        </w14:solidFill>
                      </w14:textFill>
                    </w:rPr>
                    <w:t>岛</w:t>
                  </w:r>
                </w:p>
              </w:tc>
              <w:tc>
                <w:tcPr>
                  <w:tcW w:w="4132" w:type="pct"/>
                  <w:tcBorders>
                    <w:tl2br w:val="nil"/>
                    <w:tr2bl w:val="nil"/>
                  </w:tcBorders>
                  <w:noWrap w:val="0"/>
                  <w:vAlign w:val="center"/>
                </w:tcPr>
                <w:p w14:paraId="32BDA2D6">
                  <w:pPr>
                    <w:keepNext w:val="0"/>
                    <w:keepLines w:val="0"/>
                    <w:pageBreakBefore w:val="0"/>
                    <w:widowControl w:val="0"/>
                    <w:wordWrap/>
                    <w:bidi w:val="0"/>
                    <w:adjustRightInd w:val="0"/>
                    <w:snapToGrid w:val="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r>
                    <w:rPr>
                      <w:rFonts w:hint="eastAsia"/>
                      <w:color w:val="000000" w:themeColor="text1"/>
                      <w:kern w:val="0"/>
                      <w:sz w:val="21"/>
                      <w:szCs w:val="21"/>
                      <w:lang w:eastAsia="zh-CN"/>
                      <w14:textFill>
                        <w14:solidFill>
                          <w14:schemeClr w14:val="tx1"/>
                        </w14:solidFill>
                      </w14:textFill>
                    </w:rPr>
                    <w:t>座</w:t>
                  </w:r>
                  <w:r>
                    <w:rPr>
                      <w:rFonts w:hint="eastAsia"/>
                      <w:color w:val="000000" w:themeColor="text1"/>
                      <w:kern w:val="0"/>
                      <w:sz w:val="21"/>
                      <w:szCs w:val="21"/>
                      <w:lang w:val="en-US" w:eastAsia="zh-CN"/>
                      <w14:textFill>
                        <w14:solidFill>
                          <w14:schemeClr w14:val="tx1"/>
                        </w14:solidFill>
                      </w14:textFill>
                    </w:rPr>
                    <w:t>加油罩棚，</w:t>
                  </w:r>
                  <w:r>
                    <w:rPr>
                      <w:rFonts w:hint="eastAsia"/>
                      <w:color w:val="000000" w:themeColor="text1"/>
                      <w:sz w:val="21"/>
                      <w:szCs w:val="21"/>
                      <w14:textFill>
                        <w14:solidFill>
                          <w14:schemeClr w14:val="tx1"/>
                        </w14:solidFill>
                      </w14:textFill>
                    </w:rPr>
                    <w:t>建筑</w:t>
                  </w:r>
                  <w:r>
                    <w:rPr>
                      <w:color w:val="000000" w:themeColor="text1"/>
                      <w:sz w:val="21"/>
                      <w:szCs w:val="21"/>
                      <w14:textFill>
                        <w14:solidFill>
                          <w14:schemeClr w14:val="tx1"/>
                        </w14:solidFill>
                      </w14:textFill>
                    </w:rPr>
                    <w:t>面积为</w:t>
                  </w:r>
                  <w:r>
                    <w:rPr>
                      <w:rFonts w:hint="eastAsia"/>
                      <w:color w:val="000000" w:themeColor="text1"/>
                      <w:sz w:val="21"/>
                      <w:szCs w:val="21"/>
                      <w:lang w:val="en-US" w:eastAsia="zh-CN"/>
                      <w14:textFill>
                        <w14:solidFill>
                          <w14:schemeClr w14:val="tx1"/>
                        </w14:solidFill>
                      </w14:textFill>
                    </w:rPr>
                    <w:t>270</w:t>
                  </w: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2</w:t>
                  </w:r>
                  <w:r>
                    <w:rPr>
                      <w:rFonts w:hint="eastAsia"/>
                      <w:color w:val="000000" w:themeColor="text1"/>
                      <w:kern w:val="0"/>
                      <w:sz w:val="21"/>
                      <w:szCs w:val="21"/>
                      <w:lang w:eastAsia="zh-CN"/>
                      <w14:textFill>
                        <w14:solidFill>
                          <w14:schemeClr w14:val="tx1"/>
                        </w14:solidFill>
                      </w14:textFill>
                    </w:rPr>
                    <w:t>，柱净高为H=</w:t>
                  </w:r>
                  <w:r>
                    <w:rPr>
                      <w:rFonts w:hint="eastAsia"/>
                      <w:color w:val="000000" w:themeColor="text1"/>
                      <w:kern w:val="0"/>
                      <w:sz w:val="21"/>
                      <w:szCs w:val="21"/>
                      <w:lang w:val="en-US" w:eastAsia="zh-CN"/>
                      <w14:textFill>
                        <w14:solidFill>
                          <w14:schemeClr w14:val="tx1"/>
                        </w14:solidFill>
                      </w14:textFill>
                    </w:rPr>
                    <w:t>5.5</w:t>
                  </w:r>
                  <w:r>
                    <w:rPr>
                      <w:rFonts w:hint="eastAsia"/>
                      <w:color w:val="000000" w:themeColor="text1"/>
                      <w:kern w:val="0"/>
                      <w:sz w:val="21"/>
                      <w:szCs w:val="21"/>
                      <w:lang w:eastAsia="zh-CN"/>
                      <w14:textFill>
                        <w14:solidFill>
                          <w14:schemeClr w14:val="tx1"/>
                        </w14:solidFill>
                      </w14:textFill>
                    </w:rPr>
                    <w:t>m，</w:t>
                  </w:r>
                  <w:r>
                    <w:rPr>
                      <w:rFonts w:hint="eastAsia"/>
                      <w:color w:val="000000" w:themeColor="text1"/>
                      <w:kern w:val="0"/>
                      <w:sz w:val="21"/>
                      <w:szCs w:val="21"/>
                      <w:lang w:val="en-US" w:eastAsia="zh-CN"/>
                      <w14:textFill>
                        <w14:solidFill>
                          <w14:schemeClr w14:val="tx1"/>
                        </w14:solidFill>
                      </w14:textFill>
                    </w:rPr>
                    <w:t>建筑面积135.0</w:t>
                  </w: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2</w:t>
                  </w:r>
                </w:p>
              </w:tc>
              <w:tc>
                <w:tcPr>
                  <w:tcW w:w="345" w:type="pct"/>
                  <w:tcBorders>
                    <w:tl2br w:val="nil"/>
                    <w:tr2bl w:val="nil"/>
                  </w:tcBorders>
                  <w:noWrap w:val="0"/>
                  <w:vAlign w:val="center"/>
                </w:tcPr>
                <w:p w14:paraId="577246A2">
                  <w:pPr>
                    <w:keepNext w:val="0"/>
                    <w:keepLines w:val="0"/>
                    <w:pageBreakBefore w:val="0"/>
                    <w:widowControl w:val="0"/>
                    <w:wordWrap/>
                    <w:bidi w:val="0"/>
                    <w:adjustRightInd w:val="0"/>
                    <w:snapToGrid w:val="0"/>
                    <w:jc w:val="center"/>
                    <w:rPr>
                      <w:rFonts w:hint="eastAsia"/>
                      <w:color w:val="0000FF"/>
                      <w:kern w:val="0"/>
                      <w:sz w:val="21"/>
                      <w:szCs w:val="21"/>
                      <w:lang w:val="en-US" w:eastAsia="zh-CN"/>
                    </w:rPr>
                  </w:pPr>
                  <w:r>
                    <w:rPr>
                      <w:rFonts w:hint="eastAsia"/>
                      <w:color w:val="0000FF"/>
                      <w:kern w:val="0"/>
                      <w:sz w:val="21"/>
                      <w:szCs w:val="21"/>
                      <w:lang w:val="en-US" w:eastAsia="zh-CN"/>
                    </w:rPr>
                    <w:t>新建</w:t>
                  </w:r>
                </w:p>
              </w:tc>
            </w:tr>
            <w:tr w14:paraId="79E5C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continue"/>
                  <w:tcBorders>
                    <w:tl2br w:val="nil"/>
                    <w:tr2bl w:val="nil"/>
                  </w:tcBorders>
                  <w:noWrap w:val="0"/>
                  <w:vAlign w:val="center"/>
                </w:tcPr>
                <w:p w14:paraId="444B60BA">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29" w:type="pct"/>
                  <w:vMerge w:val="continue"/>
                  <w:tcBorders>
                    <w:tl2br w:val="nil"/>
                    <w:tr2bl w:val="nil"/>
                  </w:tcBorders>
                  <w:noWrap w:val="0"/>
                  <w:vAlign w:val="center"/>
                </w:tcPr>
                <w:p w14:paraId="67295D6C">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132" w:type="pct"/>
                  <w:tcBorders>
                    <w:tl2br w:val="nil"/>
                    <w:tr2bl w:val="nil"/>
                  </w:tcBorders>
                  <w:noWrap w:val="0"/>
                  <w:vAlign w:val="center"/>
                </w:tcPr>
                <w:p w14:paraId="54EF1EEB">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3台</w:t>
                  </w:r>
                  <w:r>
                    <w:rPr>
                      <w:rFonts w:hint="eastAsia"/>
                      <w:color w:val="000000" w:themeColor="text1"/>
                      <w:lang w:val="zh-CN"/>
                      <w14:textFill>
                        <w14:solidFill>
                          <w14:schemeClr w14:val="tx1"/>
                        </w14:solidFill>
                      </w14:textFill>
                    </w:rPr>
                    <w:t>四</w:t>
                  </w:r>
                  <w:r>
                    <w:rPr>
                      <w:color w:val="000000" w:themeColor="text1"/>
                      <w:lang w:val="zh-CN"/>
                      <w14:textFill>
                        <w14:solidFill>
                          <w14:schemeClr w14:val="tx1"/>
                        </w14:solidFill>
                      </w14:textFill>
                    </w:rPr>
                    <w:t>枪</w:t>
                  </w:r>
                  <w:r>
                    <w:rPr>
                      <w:rFonts w:hint="eastAsia"/>
                      <w:color w:val="000000" w:themeColor="text1"/>
                      <w:lang w:val="zh-CN"/>
                      <w14:textFill>
                        <w14:solidFill>
                          <w14:schemeClr w14:val="tx1"/>
                        </w14:solidFill>
                      </w14:textFill>
                    </w:rPr>
                    <w:t>四</w:t>
                  </w:r>
                  <w:r>
                    <w:rPr>
                      <w:color w:val="000000" w:themeColor="text1"/>
                      <w:lang w:val="zh-CN"/>
                      <w14:textFill>
                        <w14:solidFill>
                          <w14:schemeClr w14:val="tx1"/>
                        </w14:solidFill>
                      </w14:textFill>
                    </w:rPr>
                    <w:t>油品潜油泵加油机</w:t>
                  </w:r>
                </w:p>
              </w:tc>
              <w:tc>
                <w:tcPr>
                  <w:tcW w:w="345" w:type="pct"/>
                  <w:tcBorders>
                    <w:tl2br w:val="nil"/>
                    <w:tr2bl w:val="nil"/>
                  </w:tcBorders>
                  <w:noWrap w:val="0"/>
                  <w:vAlign w:val="center"/>
                </w:tcPr>
                <w:p w14:paraId="684D7182">
                  <w:pPr>
                    <w:keepNext w:val="0"/>
                    <w:keepLines w:val="0"/>
                    <w:pageBreakBefore w:val="0"/>
                    <w:widowControl w:val="0"/>
                    <w:wordWrap/>
                    <w:bidi w:val="0"/>
                    <w:adjustRightInd w:val="0"/>
                    <w:snapToGrid w:val="0"/>
                    <w:jc w:val="center"/>
                    <w:rPr>
                      <w:rFonts w:hint="eastAsia" w:cs="Times New Roman"/>
                      <w:color w:val="0000FF"/>
                      <w:sz w:val="21"/>
                      <w:szCs w:val="21"/>
                      <w:lang w:val="en-US" w:eastAsia="zh-CN"/>
                    </w:rPr>
                  </w:pPr>
                  <w:r>
                    <w:rPr>
                      <w:rFonts w:hint="eastAsia"/>
                      <w:color w:val="0000FF"/>
                      <w:kern w:val="0"/>
                      <w:sz w:val="21"/>
                      <w:szCs w:val="21"/>
                      <w:lang w:val="en-US" w:eastAsia="zh-CN"/>
                    </w:rPr>
                    <w:t>新建</w:t>
                  </w:r>
                </w:p>
              </w:tc>
            </w:tr>
            <w:tr w14:paraId="70A11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continue"/>
                  <w:tcBorders>
                    <w:tl2br w:val="nil"/>
                    <w:tr2bl w:val="nil"/>
                  </w:tcBorders>
                  <w:noWrap w:val="0"/>
                  <w:vAlign w:val="center"/>
                </w:tcPr>
                <w:p w14:paraId="28335CA4">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329" w:type="pct"/>
                  <w:tcBorders>
                    <w:tl2br w:val="nil"/>
                    <w:tr2bl w:val="nil"/>
                  </w:tcBorders>
                  <w:shd w:val="clear" w:color="auto" w:fill="auto"/>
                  <w:noWrap w:val="0"/>
                  <w:vAlign w:val="center"/>
                </w:tcPr>
                <w:p w14:paraId="61BC0505">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站房</w:t>
                  </w:r>
                </w:p>
              </w:tc>
              <w:tc>
                <w:tcPr>
                  <w:tcW w:w="4132" w:type="pct"/>
                  <w:tcBorders>
                    <w:tl2br w:val="nil"/>
                    <w:tr2bl w:val="nil"/>
                  </w:tcBorders>
                  <w:shd w:val="clear" w:color="auto" w:fill="auto"/>
                  <w:noWrap w:val="0"/>
                  <w:vAlign w:val="center"/>
                </w:tcPr>
                <w:p w14:paraId="348A86C6">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占地面积250.2</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，地上2F，框架结构，建筑面积500.40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，内设员工值班室、休息室、卫生间等</w:t>
                  </w:r>
                </w:p>
              </w:tc>
              <w:tc>
                <w:tcPr>
                  <w:tcW w:w="345" w:type="pct"/>
                  <w:tcBorders>
                    <w:tl2br w:val="nil"/>
                    <w:tr2bl w:val="nil"/>
                  </w:tcBorders>
                  <w:shd w:val="clear" w:color="auto" w:fill="auto"/>
                  <w:noWrap w:val="0"/>
                  <w:vAlign w:val="center"/>
                </w:tcPr>
                <w:p w14:paraId="5AA3DFB2">
                  <w:pPr>
                    <w:keepNext w:val="0"/>
                    <w:keepLines w:val="0"/>
                    <w:pageBreakBefore w:val="0"/>
                    <w:widowControl w:val="0"/>
                    <w:wordWrap/>
                    <w:bidi w:val="0"/>
                    <w:adjustRightInd w:val="0"/>
                    <w:snapToGrid w:val="0"/>
                    <w:jc w:val="center"/>
                    <w:rPr>
                      <w:rFonts w:hint="eastAsia" w:cs="Times New Roman"/>
                      <w:color w:val="0000FF"/>
                      <w:sz w:val="21"/>
                      <w:szCs w:val="21"/>
                      <w:lang w:val="en-US" w:eastAsia="zh-CN"/>
                    </w:rPr>
                  </w:pPr>
                  <w:r>
                    <w:rPr>
                      <w:rFonts w:hint="eastAsia"/>
                      <w:color w:val="0000FF"/>
                      <w:kern w:val="0"/>
                      <w:sz w:val="21"/>
                      <w:szCs w:val="21"/>
                      <w:lang w:val="en-US" w:eastAsia="zh-CN"/>
                    </w:rPr>
                    <w:t>新建</w:t>
                  </w:r>
                </w:p>
              </w:tc>
            </w:tr>
            <w:tr w14:paraId="6718E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restart"/>
                  <w:tcBorders>
                    <w:tl2br w:val="nil"/>
                    <w:tr2bl w:val="nil"/>
                  </w:tcBorders>
                  <w:noWrap w:val="0"/>
                  <w:vAlign w:val="center"/>
                </w:tcPr>
                <w:p w14:paraId="794140AF">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辅助</w:t>
                  </w:r>
                  <w:r>
                    <w:rPr>
                      <w:rFonts w:hint="default" w:ascii="Times New Roman" w:hAnsi="Times New Roman" w:eastAsia="宋体" w:cs="Times New Roman"/>
                      <w:color w:val="000000" w:themeColor="text1"/>
                      <w:sz w:val="21"/>
                      <w:szCs w:val="21"/>
                      <w14:textFill>
                        <w14:solidFill>
                          <w14:schemeClr w14:val="tx1"/>
                        </w14:solidFill>
                      </w14:textFill>
                    </w:rPr>
                    <w:t>工程</w:t>
                  </w:r>
                </w:p>
              </w:tc>
              <w:tc>
                <w:tcPr>
                  <w:tcW w:w="329" w:type="pct"/>
                  <w:tcBorders>
                    <w:tl2br w:val="nil"/>
                    <w:tr2bl w:val="nil"/>
                  </w:tcBorders>
                  <w:noWrap w:val="0"/>
                  <w:vAlign w:val="center"/>
                </w:tcPr>
                <w:p w14:paraId="4415C9BE">
                  <w:pPr>
                    <w:keepNext w:val="0"/>
                    <w:keepLines w:val="0"/>
                    <w:pageBreakBefore w:val="0"/>
                    <w:widowControl w:val="0"/>
                    <w:wordWrap/>
                    <w:bidi w:val="0"/>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门卫室</w:t>
                  </w:r>
                </w:p>
              </w:tc>
              <w:tc>
                <w:tcPr>
                  <w:tcW w:w="4132" w:type="pct"/>
                  <w:tcBorders>
                    <w:tl2br w:val="nil"/>
                    <w:tr2bl w:val="nil"/>
                  </w:tcBorders>
                  <w:noWrap w:val="0"/>
                  <w:vAlign w:val="center"/>
                </w:tcPr>
                <w:p w14:paraId="7CF749B6">
                  <w:pPr>
                    <w:keepNext w:val="0"/>
                    <w:keepLines w:val="0"/>
                    <w:pageBreakBefore w:val="0"/>
                    <w:widowControl w:val="0"/>
                    <w:wordWrap/>
                    <w:bidi w:val="0"/>
                    <w:adjustRightInd w:val="0"/>
                    <w:snapToGrid w:val="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在入口和出口各设一个，分别占地8m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，外购成品</w:t>
                  </w:r>
                </w:p>
              </w:tc>
              <w:tc>
                <w:tcPr>
                  <w:tcW w:w="345" w:type="pct"/>
                  <w:tcBorders>
                    <w:tl2br w:val="nil"/>
                    <w:tr2bl w:val="nil"/>
                  </w:tcBorders>
                  <w:noWrap w:val="0"/>
                  <w:vAlign w:val="center"/>
                </w:tcPr>
                <w:p w14:paraId="2DCC3912">
                  <w:pPr>
                    <w:keepNext w:val="0"/>
                    <w:keepLines w:val="0"/>
                    <w:pageBreakBefore w:val="0"/>
                    <w:widowControl w:val="0"/>
                    <w:wordWrap/>
                    <w:bidi w:val="0"/>
                    <w:adjustRightInd w:val="0"/>
                    <w:snapToGrid w:val="0"/>
                    <w:jc w:val="center"/>
                    <w:rPr>
                      <w:rFonts w:hint="eastAsia" w:cs="Times New Roman"/>
                      <w:color w:val="0000FF"/>
                      <w:sz w:val="21"/>
                      <w:szCs w:val="21"/>
                      <w:lang w:val="en-US" w:eastAsia="zh-CN"/>
                    </w:rPr>
                  </w:pPr>
                  <w:r>
                    <w:rPr>
                      <w:rFonts w:hint="eastAsia"/>
                      <w:color w:val="0000FF"/>
                      <w:kern w:val="0"/>
                      <w:sz w:val="21"/>
                      <w:szCs w:val="21"/>
                      <w:lang w:val="en-US" w:eastAsia="zh-CN"/>
                    </w:rPr>
                    <w:t>新建</w:t>
                  </w:r>
                </w:p>
              </w:tc>
            </w:tr>
            <w:tr w14:paraId="36CD2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continue"/>
                  <w:tcBorders>
                    <w:tl2br w:val="nil"/>
                    <w:tr2bl w:val="nil"/>
                  </w:tcBorders>
                  <w:noWrap w:val="0"/>
                  <w:vAlign w:val="center"/>
                </w:tcPr>
                <w:p w14:paraId="237E75E5">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9" w:type="pct"/>
                  <w:tcBorders>
                    <w:tl2br w:val="nil"/>
                    <w:tr2bl w:val="nil"/>
                  </w:tcBorders>
                  <w:noWrap w:val="0"/>
                  <w:vAlign w:val="center"/>
                </w:tcPr>
                <w:p w14:paraId="43574F9E">
                  <w:pPr>
                    <w:keepNext w:val="0"/>
                    <w:keepLines w:val="0"/>
                    <w:pageBreakBefore w:val="0"/>
                    <w:widowControl w:val="0"/>
                    <w:wordWrap/>
                    <w:bidi w:val="0"/>
                    <w:adjustRightInd w:val="0"/>
                    <w:snapToGrid w:val="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充电桩</w:t>
                  </w:r>
                </w:p>
              </w:tc>
              <w:tc>
                <w:tcPr>
                  <w:tcW w:w="4132" w:type="pct"/>
                  <w:tcBorders>
                    <w:tl2br w:val="nil"/>
                    <w:tr2bl w:val="nil"/>
                  </w:tcBorders>
                  <w:noWrap w:val="0"/>
                  <w:vAlign w:val="center"/>
                </w:tcPr>
                <w:p w14:paraId="15227DDD">
                  <w:pPr>
                    <w:keepNext w:val="0"/>
                    <w:keepLines w:val="0"/>
                    <w:pageBreakBefore w:val="0"/>
                    <w:widowControl w:val="0"/>
                    <w:wordWrap/>
                    <w:bidi w:val="0"/>
                    <w:adjustRightInd w:val="0"/>
                    <w:snapToGrid w:val="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设置2个120</w:t>
                  </w:r>
                  <w:r>
                    <w:rPr>
                      <w:rFonts w:hint="default" w:cs="Times New Roman"/>
                      <w:color w:val="000000" w:themeColor="text1"/>
                      <w:kern w:val="2"/>
                      <w:sz w:val="21"/>
                      <w:szCs w:val="21"/>
                      <w:lang w:val="en-US" w:eastAsia="zh-CN" w:bidi="ar-SA"/>
                      <w14:textFill>
                        <w14:solidFill>
                          <w14:schemeClr w14:val="tx1"/>
                        </w14:solidFill>
                      </w14:textFill>
                    </w:rPr>
                    <w:t>kW充电桩</w:t>
                  </w:r>
                </w:p>
              </w:tc>
              <w:tc>
                <w:tcPr>
                  <w:tcW w:w="345" w:type="pct"/>
                  <w:tcBorders>
                    <w:tl2br w:val="nil"/>
                    <w:tr2bl w:val="nil"/>
                  </w:tcBorders>
                  <w:noWrap w:val="0"/>
                  <w:vAlign w:val="center"/>
                </w:tcPr>
                <w:p w14:paraId="31AD0E10">
                  <w:pPr>
                    <w:keepNext w:val="0"/>
                    <w:keepLines w:val="0"/>
                    <w:pageBreakBefore w:val="0"/>
                    <w:widowControl w:val="0"/>
                    <w:wordWrap/>
                    <w:bidi w:val="0"/>
                    <w:adjustRightInd w:val="0"/>
                    <w:snapToGrid w:val="0"/>
                    <w:jc w:val="center"/>
                    <w:rPr>
                      <w:rFonts w:hint="eastAsia" w:cs="Times New Roman"/>
                      <w:color w:val="0000FF"/>
                      <w:kern w:val="2"/>
                      <w:sz w:val="21"/>
                      <w:szCs w:val="21"/>
                      <w:lang w:val="en-US" w:eastAsia="zh-CN" w:bidi="ar-SA"/>
                    </w:rPr>
                  </w:pPr>
                  <w:r>
                    <w:rPr>
                      <w:rFonts w:hint="eastAsia"/>
                      <w:color w:val="0000FF"/>
                      <w:kern w:val="0"/>
                      <w:sz w:val="21"/>
                      <w:szCs w:val="21"/>
                      <w:lang w:val="en-US" w:eastAsia="zh-CN"/>
                    </w:rPr>
                    <w:t>新建</w:t>
                  </w:r>
                </w:p>
              </w:tc>
            </w:tr>
            <w:tr w14:paraId="1F1D4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continue"/>
                  <w:tcBorders>
                    <w:tl2br w:val="nil"/>
                    <w:tr2bl w:val="nil"/>
                  </w:tcBorders>
                  <w:noWrap w:val="0"/>
                  <w:vAlign w:val="center"/>
                </w:tcPr>
                <w:p w14:paraId="48C1C1A0">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9" w:type="pct"/>
                  <w:tcBorders>
                    <w:tl2br w:val="nil"/>
                    <w:tr2bl w:val="nil"/>
                  </w:tcBorders>
                  <w:noWrap w:val="0"/>
                  <w:vAlign w:val="center"/>
                </w:tcPr>
                <w:p w14:paraId="4E94335C">
                  <w:pPr>
                    <w:keepNext w:val="0"/>
                    <w:keepLines w:val="0"/>
                    <w:pageBreakBefore w:val="0"/>
                    <w:widowControl w:val="0"/>
                    <w:wordWrap/>
                    <w:bidi w:val="0"/>
                    <w:adjustRightInd w:val="0"/>
                    <w:snapToGrid w:val="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洗车房</w:t>
                  </w:r>
                </w:p>
              </w:tc>
              <w:tc>
                <w:tcPr>
                  <w:tcW w:w="4132" w:type="pct"/>
                  <w:tcBorders>
                    <w:tl2br w:val="nil"/>
                    <w:tr2bl w:val="nil"/>
                  </w:tcBorders>
                  <w:noWrap w:val="0"/>
                  <w:vAlign w:val="center"/>
                </w:tcPr>
                <w:p w14:paraId="1FCF1657">
                  <w:pPr>
                    <w:keepNext w:val="0"/>
                    <w:keepLines w:val="0"/>
                    <w:pageBreakBefore w:val="0"/>
                    <w:widowControl w:val="0"/>
                    <w:wordWrap/>
                    <w:bidi w:val="0"/>
                    <w:adjustRightInd w:val="0"/>
                    <w:snapToGrid w:val="0"/>
                    <w:jc w:val="center"/>
                    <w:rPr>
                      <w:rFonts w:hint="eastAsia"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vertAlign w:val="baseline"/>
                      <w:lang w:val="en-US" w:eastAsia="zh-CN"/>
                      <w14:textFill>
                        <w14:solidFill>
                          <w14:schemeClr w14:val="tx1"/>
                        </w14:solidFill>
                      </w14:textFill>
                    </w:rPr>
                    <w:t>站房1层</w:t>
                  </w:r>
                </w:p>
              </w:tc>
              <w:tc>
                <w:tcPr>
                  <w:tcW w:w="345" w:type="pct"/>
                  <w:tcBorders>
                    <w:tl2br w:val="nil"/>
                    <w:tr2bl w:val="nil"/>
                  </w:tcBorders>
                  <w:noWrap w:val="0"/>
                  <w:vAlign w:val="center"/>
                </w:tcPr>
                <w:p w14:paraId="7643528F">
                  <w:pPr>
                    <w:keepNext w:val="0"/>
                    <w:keepLines w:val="0"/>
                    <w:pageBreakBefore w:val="0"/>
                    <w:widowControl w:val="0"/>
                    <w:wordWrap/>
                    <w:bidi w:val="0"/>
                    <w:adjustRightInd w:val="0"/>
                    <w:snapToGrid w:val="0"/>
                    <w:jc w:val="center"/>
                    <w:rPr>
                      <w:rFonts w:hint="eastAsia" w:cs="Times New Roman"/>
                      <w:color w:val="0000FF"/>
                      <w:sz w:val="21"/>
                      <w:szCs w:val="21"/>
                      <w:lang w:val="en-US" w:eastAsia="zh-CN"/>
                    </w:rPr>
                  </w:pPr>
                  <w:r>
                    <w:rPr>
                      <w:rFonts w:hint="eastAsia"/>
                      <w:color w:val="0000FF"/>
                      <w:kern w:val="0"/>
                      <w:sz w:val="21"/>
                      <w:szCs w:val="21"/>
                      <w:lang w:val="en-US" w:eastAsia="zh-CN"/>
                    </w:rPr>
                    <w:t>新建</w:t>
                  </w:r>
                </w:p>
              </w:tc>
            </w:tr>
            <w:tr w14:paraId="04662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restart"/>
                  <w:tcBorders>
                    <w:tl2br w:val="nil"/>
                    <w:tr2bl w:val="nil"/>
                  </w:tcBorders>
                  <w:noWrap w:val="0"/>
                  <w:vAlign w:val="center"/>
                </w:tcPr>
                <w:p w14:paraId="2D45497D">
                  <w:pPr>
                    <w:keepNext w:val="0"/>
                    <w:keepLines w:val="0"/>
                    <w:pageBreakBefore w:val="0"/>
                    <w:widowControl w:val="0"/>
                    <w:wordWrap/>
                    <w:bidi w:val="0"/>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储运工程</w:t>
                  </w:r>
                </w:p>
              </w:tc>
              <w:tc>
                <w:tcPr>
                  <w:tcW w:w="329" w:type="pct"/>
                  <w:tcBorders>
                    <w:tl2br w:val="nil"/>
                    <w:tr2bl w:val="nil"/>
                  </w:tcBorders>
                  <w:shd w:val="clear" w:color="auto" w:fill="auto"/>
                  <w:noWrap w:val="0"/>
                  <w:vAlign w:val="center"/>
                </w:tcPr>
                <w:p w14:paraId="6864CABA">
                  <w:pPr>
                    <w:keepNext w:val="0"/>
                    <w:keepLines w:val="0"/>
                    <w:pageBreakBefore w:val="0"/>
                    <w:widowControl w:val="0"/>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油品运输</w:t>
                  </w:r>
                </w:p>
              </w:tc>
              <w:tc>
                <w:tcPr>
                  <w:tcW w:w="4132" w:type="pct"/>
                  <w:tcBorders>
                    <w:tl2br w:val="nil"/>
                    <w:tr2bl w:val="nil"/>
                  </w:tcBorders>
                  <w:shd w:val="clear" w:color="auto" w:fill="auto"/>
                  <w:noWrap w:val="0"/>
                  <w:vAlign w:val="center"/>
                </w:tcPr>
                <w:p w14:paraId="29837BBD">
                  <w:pPr>
                    <w:keepNext w:val="0"/>
                    <w:keepLines w:val="0"/>
                    <w:pageBreakBefore w:val="0"/>
                    <w:widowControl w:val="0"/>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槽车运输</w:t>
                  </w:r>
                </w:p>
              </w:tc>
              <w:tc>
                <w:tcPr>
                  <w:tcW w:w="345" w:type="pct"/>
                  <w:tcBorders>
                    <w:tl2br w:val="nil"/>
                    <w:tr2bl w:val="nil"/>
                  </w:tcBorders>
                  <w:shd w:val="clear" w:color="auto" w:fill="auto"/>
                  <w:noWrap w:val="0"/>
                  <w:vAlign w:val="center"/>
                </w:tcPr>
                <w:p w14:paraId="54B19647">
                  <w:pPr>
                    <w:keepNext w:val="0"/>
                    <w:keepLines w:val="0"/>
                    <w:pageBreakBefore w:val="0"/>
                    <w:widowControl w:val="0"/>
                    <w:wordWrap/>
                    <w:bidi w:val="0"/>
                    <w:adjustRightInd w:val="0"/>
                    <w:snapToGrid w:val="0"/>
                    <w:jc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w:t>
                  </w:r>
                </w:p>
              </w:tc>
            </w:tr>
            <w:tr w14:paraId="68494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continue"/>
                  <w:tcBorders>
                    <w:tl2br w:val="nil"/>
                    <w:tr2bl w:val="nil"/>
                  </w:tcBorders>
                  <w:noWrap w:val="0"/>
                  <w:vAlign w:val="center"/>
                </w:tcPr>
                <w:p w14:paraId="4DB2AC9A">
                  <w:pPr>
                    <w:keepNext w:val="0"/>
                    <w:keepLines w:val="0"/>
                    <w:pageBreakBefore w:val="0"/>
                    <w:widowControl w:val="0"/>
                    <w:wordWrap/>
                    <w:bidi w:val="0"/>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329" w:type="pct"/>
                  <w:tcBorders>
                    <w:tl2br w:val="nil"/>
                    <w:tr2bl w:val="nil"/>
                  </w:tcBorders>
                  <w:shd w:val="clear" w:color="auto" w:fill="auto"/>
                  <w:noWrap w:val="0"/>
                  <w:vAlign w:val="center"/>
                </w:tcPr>
                <w:p w14:paraId="64FAF66F">
                  <w:pPr>
                    <w:keepNext w:val="0"/>
                    <w:keepLines w:val="0"/>
                    <w:pageBreakBefore w:val="0"/>
                    <w:widowControl w:val="0"/>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道路及硬化</w:t>
                  </w:r>
                </w:p>
              </w:tc>
              <w:tc>
                <w:tcPr>
                  <w:tcW w:w="4132" w:type="pct"/>
                  <w:tcBorders>
                    <w:tl2br w:val="nil"/>
                    <w:tr2bl w:val="nil"/>
                  </w:tcBorders>
                  <w:shd w:val="clear" w:color="auto" w:fill="auto"/>
                  <w:noWrap w:val="0"/>
                  <w:vAlign w:val="center"/>
                </w:tcPr>
                <w:p w14:paraId="0DF58DD9">
                  <w:pPr>
                    <w:keepNext w:val="0"/>
                    <w:keepLines w:val="0"/>
                    <w:pageBreakBefore w:val="0"/>
                    <w:widowControl w:val="0"/>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整个场地内除建（构）筑物、花池占地及人行铺砌外均做现浇混凝土车行铺砌；设环形车道，单车道宽度不小于4.5m，双车道宽度不小于9m</w:t>
                  </w:r>
                </w:p>
              </w:tc>
              <w:tc>
                <w:tcPr>
                  <w:tcW w:w="345" w:type="pct"/>
                  <w:tcBorders>
                    <w:tl2br w:val="nil"/>
                    <w:tr2bl w:val="nil"/>
                  </w:tcBorders>
                  <w:shd w:val="clear" w:color="auto" w:fill="auto"/>
                  <w:noWrap w:val="0"/>
                  <w:vAlign w:val="center"/>
                </w:tcPr>
                <w:p w14:paraId="3049AC01">
                  <w:pPr>
                    <w:keepNext w:val="0"/>
                    <w:keepLines w:val="0"/>
                    <w:pageBreakBefore w:val="0"/>
                    <w:widowControl w:val="0"/>
                    <w:wordWrap/>
                    <w:bidi w:val="0"/>
                    <w:adjustRightInd w:val="0"/>
                    <w:snapToGrid w:val="0"/>
                    <w:jc w:val="center"/>
                    <w:rPr>
                      <w:rFonts w:hint="eastAsia" w:cs="Times New Roman"/>
                      <w:color w:val="0000FF"/>
                      <w:sz w:val="21"/>
                      <w:szCs w:val="21"/>
                      <w:lang w:val="en-US" w:eastAsia="zh-CN"/>
                    </w:rPr>
                  </w:pPr>
                  <w:r>
                    <w:rPr>
                      <w:rFonts w:hint="eastAsia"/>
                      <w:color w:val="0000FF"/>
                      <w:kern w:val="0"/>
                      <w:sz w:val="21"/>
                      <w:szCs w:val="21"/>
                      <w:lang w:val="en-US" w:eastAsia="zh-CN"/>
                    </w:rPr>
                    <w:t>新建</w:t>
                  </w:r>
                </w:p>
              </w:tc>
            </w:tr>
            <w:tr w14:paraId="4698F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continue"/>
                  <w:tcBorders>
                    <w:tl2br w:val="nil"/>
                    <w:tr2bl w:val="nil"/>
                  </w:tcBorders>
                  <w:noWrap w:val="0"/>
                  <w:vAlign w:val="center"/>
                </w:tcPr>
                <w:p w14:paraId="5F35C98A">
                  <w:pPr>
                    <w:keepNext w:val="0"/>
                    <w:keepLines w:val="0"/>
                    <w:pageBreakBefore w:val="0"/>
                    <w:widowControl w:val="0"/>
                    <w:wordWrap/>
                    <w:bidi w:val="0"/>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329" w:type="pct"/>
                  <w:tcBorders>
                    <w:tl2br w:val="nil"/>
                    <w:tr2bl w:val="nil"/>
                  </w:tcBorders>
                  <w:shd w:val="clear" w:color="auto" w:fill="auto"/>
                  <w:noWrap w:val="0"/>
                  <w:vAlign w:val="center"/>
                </w:tcPr>
                <w:p w14:paraId="54EF03F7">
                  <w:pPr>
                    <w:keepNext w:val="0"/>
                    <w:keepLines w:val="0"/>
                    <w:pageBreakBefore w:val="0"/>
                    <w:widowControl w:val="0"/>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油罐承重区</w:t>
                  </w:r>
                </w:p>
              </w:tc>
              <w:tc>
                <w:tcPr>
                  <w:tcW w:w="4132" w:type="pct"/>
                  <w:tcBorders>
                    <w:tl2br w:val="nil"/>
                    <w:tr2bl w:val="nil"/>
                  </w:tcBorders>
                  <w:shd w:val="clear" w:color="auto" w:fill="auto"/>
                  <w:noWrap w:val="0"/>
                  <w:vAlign w:val="center"/>
                </w:tcPr>
                <w:p w14:paraId="7BDC8D8B">
                  <w:pPr>
                    <w:keepNext w:val="0"/>
                    <w:keepLines w:val="0"/>
                    <w:widowControl/>
                    <w:suppressLineNumbers w:val="0"/>
                    <w:jc w:val="left"/>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承重罐区1座，占地面积为120m</w:t>
                  </w:r>
                  <w:r>
                    <w:rPr>
                      <w:rFonts w:hint="default"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000000"/>
                      <w:kern w:val="0"/>
                      <w:sz w:val="21"/>
                      <w:szCs w:val="21"/>
                      <w:lang w:val="en-US" w:eastAsia="zh-CN" w:bidi="ar"/>
                    </w:rPr>
                    <w:t>，其中新建40m</w:t>
                  </w:r>
                  <w:r>
                    <w:rPr>
                      <w:rFonts w:hint="eastAsia"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埋地柴油储罐</w:t>
                  </w:r>
                  <w:r>
                    <w:rPr>
                      <w:rFonts w:hint="eastAsia" w:ascii="Times New Roman" w:hAnsi="Times New Roman" w:eastAsia="宋体" w:cs="Times New Roman"/>
                      <w:color w:val="000000"/>
                      <w:kern w:val="0"/>
                      <w:sz w:val="21"/>
                      <w:szCs w:val="21"/>
                      <w:lang w:val="en-US" w:eastAsia="zh-CN" w:bidi="ar"/>
                    </w:rPr>
                    <w:t>1</w:t>
                  </w:r>
                  <w:r>
                    <w:rPr>
                      <w:rFonts w:hint="default" w:ascii="Times New Roman" w:hAnsi="Times New Roman" w:eastAsia="宋体" w:cs="Times New Roman"/>
                      <w:color w:val="000000"/>
                      <w:kern w:val="0"/>
                      <w:sz w:val="21"/>
                      <w:szCs w:val="21"/>
                      <w:lang w:val="en-US" w:eastAsia="zh-CN" w:bidi="ar"/>
                    </w:rPr>
                    <w:t>个，40m</w:t>
                  </w:r>
                  <w:r>
                    <w:rPr>
                      <w:rFonts w:hint="eastAsia"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埋地汽油储罐2个，30m</w:t>
                  </w:r>
                  <w:r>
                    <w:rPr>
                      <w:rFonts w:hint="eastAsia"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埋地汽油储罐1个。</w:t>
                  </w:r>
                </w:p>
              </w:tc>
              <w:tc>
                <w:tcPr>
                  <w:tcW w:w="345" w:type="pct"/>
                  <w:tcBorders>
                    <w:tl2br w:val="nil"/>
                    <w:tr2bl w:val="nil"/>
                  </w:tcBorders>
                  <w:shd w:val="clear" w:color="auto" w:fill="auto"/>
                  <w:noWrap w:val="0"/>
                  <w:vAlign w:val="center"/>
                </w:tcPr>
                <w:p w14:paraId="0E72CA59">
                  <w:pPr>
                    <w:keepNext w:val="0"/>
                    <w:keepLines w:val="0"/>
                    <w:widowControl/>
                    <w:suppressLineNumbers w:val="0"/>
                    <w:jc w:val="left"/>
                    <w:rPr>
                      <w:rFonts w:hint="default" w:ascii="Times New Roman" w:hAnsi="Times New Roman" w:eastAsia="宋体" w:cs="Times New Roman"/>
                      <w:color w:val="0000FF"/>
                      <w:kern w:val="0"/>
                      <w:sz w:val="21"/>
                      <w:szCs w:val="21"/>
                      <w:lang w:val="en-US" w:eastAsia="zh-CN" w:bidi="ar"/>
                    </w:rPr>
                  </w:pPr>
                  <w:r>
                    <w:rPr>
                      <w:rFonts w:hint="eastAsia"/>
                      <w:color w:val="0000FF"/>
                      <w:kern w:val="0"/>
                      <w:sz w:val="21"/>
                      <w:szCs w:val="21"/>
                      <w:lang w:val="en-US" w:eastAsia="zh-CN"/>
                    </w:rPr>
                    <w:t>新建</w:t>
                  </w:r>
                </w:p>
              </w:tc>
            </w:tr>
            <w:tr w14:paraId="60AFF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restart"/>
                  <w:tcBorders>
                    <w:tl2br w:val="nil"/>
                    <w:tr2bl w:val="nil"/>
                  </w:tcBorders>
                  <w:noWrap w:val="0"/>
                  <w:vAlign w:val="center"/>
                </w:tcPr>
                <w:p w14:paraId="4B8C91FA">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公用工程</w:t>
                  </w:r>
                </w:p>
              </w:tc>
              <w:tc>
                <w:tcPr>
                  <w:tcW w:w="329" w:type="pct"/>
                  <w:tcBorders>
                    <w:tl2br w:val="nil"/>
                    <w:tr2bl w:val="nil"/>
                  </w:tcBorders>
                  <w:noWrap w:val="0"/>
                  <w:vAlign w:val="center"/>
                </w:tcPr>
                <w:p w14:paraId="5D160A31">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给水工程</w:t>
                  </w:r>
                </w:p>
              </w:tc>
              <w:tc>
                <w:tcPr>
                  <w:tcW w:w="4132" w:type="pct"/>
                  <w:tcBorders>
                    <w:tl2br w:val="nil"/>
                    <w:tr2bl w:val="nil"/>
                  </w:tcBorders>
                  <w:noWrap w:val="0"/>
                  <w:vAlign w:val="center"/>
                </w:tcPr>
                <w:p w14:paraId="7E722A5A">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职工生活用水由玛纳斯县供水管网提供</w:t>
                  </w:r>
                </w:p>
              </w:tc>
              <w:tc>
                <w:tcPr>
                  <w:tcW w:w="345" w:type="pct"/>
                  <w:tcBorders>
                    <w:tl2br w:val="nil"/>
                    <w:tr2bl w:val="nil"/>
                  </w:tcBorders>
                  <w:noWrap w:val="0"/>
                  <w:vAlign w:val="center"/>
                </w:tcPr>
                <w:p w14:paraId="4924EF3F">
                  <w:pPr>
                    <w:keepNext w:val="0"/>
                    <w:keepLines w:val="0"/>
                    <w:pageBreakBefore w:val="0"/>
                    <w:widowControl w:val="0"/>
                    <w:wordWrap/>
                    <w:bidi w:val="0"/>
                    <w:adjustRightInd w:val="0"/>
                    <w:snapToGrid w:val="0"/>
                    <w:jc w:val="center"/>
                    <w:rPr>
                      <w:rFonts w:hint="eastAsia" w:cs="Times New Roman"/>
                      <w:color w:val="0000FF"/>
                      <w:sz w:val="21"/>
                      <w:szCs w:val="21"/>
                      <w:lang w:val="en-US" w:eastAsia="zh-CN"/>
                    </w:rPr>
                  </w:pPr>
                  <w:r>
                    <w:rPr>
                      <w:rFonts w:hint="eastAsia" w:cs="Times New Roman"/>
                      <w:color w:val="0000FF"/>
                      <w:sz w:val="21"/>
                      <w:szCs w:val="21"/>
                      <w:lang w:val="en-US" w:eastAsia="zh-CN"/>
                    </w:rPr>
                    <w:t>依托</w:t>
                  </w:r>
                </w:p>
              </w:tc>
            </w:tr>
            <w:tr w14:paraId="59DFA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3" w:type="pct"/>
                  <w:vMerge w:val="continue"/>
                  <w:tcBorders>
                    <w:tl2br w:val="nil"/>
                    <w:tr2bl w:val="nil"/>
                  </w:tcBorders>
                  <w:noWrap w:val="0"/>
                  <w:vAlign w:val="center"/>
                </w:tcPr>
                <w:p w14:paraId="18C74C92">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9" w:type="pct"/>
                  <w:tcBorders>
                    <w:tl2br w:val="nil"/>
                    <w:tr2bl w:val="nil"/>
                  </w:tcBorders>
                  <w:noWrap w:val="0"/>
                  <w:vAlign w:val="center"/>
                </w:tcPr>
                <w:p w14:paraId="6326F66E">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排水工程</w:t>
                  </w:r>
                </w:p>
              </w:tc>
              <w:tc>
                <w:tcPr>
                  <w:tcW w:w="4132" w:type="pct"/>
                  <w:tcBorders>
                    <w:tl2br w:val="nil"/>
                    <w:tr2bl w:val="nil"/>
                  </w:tcBorders>
                  <w:noWrap w:val="0"/>
                  <w:vAlign w:val="center"/>
                </w:tcPr>
                <w:p w14:paraId="03CF39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生活污水排入</w:t>
                  </w:r>
                  <w:r>
                    <w:rPr>
                      <w:rFonts w:hint="eastAsia" w:cs="Times New Roman"/>
                      <w:color w:val="000000" w:themeColor="text1"/>
                      <w:sz w:val="21"/>
                      <w:szCs w:val="21"/>
                      <w:lang w:val="en-US" w:eastAsia="zh-CN"/>
                      <w14:textFill>
                        <w14:solidFill>
                          <w14:schemeClr w14:val="tx1"/>
                        </w14:solidFill>
                      </w14:textFill>
                    </w:rPr>
                    <w:t>玛纳斯县污水管网，最终纳入</w:t>
                  </w:r>
                  <w:r>
                    <w:rPr>
                      <w:rFonts w:hint="default" w:cs="Times New Roman"/>
                      <w:color w:val="000000" w:themeColor="text1"/>
                      <w:sz w:val="21"/>
                      <w:szCs w:val="21"/>
                      <w:lang w:val="en-US" w:eastAsia="zh-CN"/>
                      <w14:textFill>
                        <w14:solidFill>
                          <w14:schemeClr w14:val="tx1"/>
                        </w14:solidFill>
                      </w14:textFill>
                    </w:rPr>
                    <w:t>污水处理厂处理</w:t>
                  </w:r>
                </w:p>
              </w:tc>
              <w:tc>
                <w:tcPr>
                  <w:tcW w:w="345" w:type="pct"/>
                  <w:tcBorders>
                    <w:tl2br w:val="nil"/>
                    <w:tr2bl w:val="nil"/>
                  </w:tcBorders>
                  <w:noWrap w:val="0"/>
                  <w:vAlign w:val="center"/>
                </w:tcPr>
                <w:p w14:paraId="38D93521">
                  <w:pPr>
                    <w:keepNext w:val="0"/>
                    <w:keepLines w:val="0"/>
                    <w:pageBreakBefore w:val="0"/>
                    <w:widowControl w:val="0"/>
                    <w:wordWrap/>
                    <w:bidi w:val="0"/>
                    <w:adjustRightInd w:val="0"/>
                    <w:snapToGrid w:val="0"/>
                    <w:jc w:val="center"/>
                    <w:rPr>
                      <w:rFonts w:hint="default" w:cs="Times New Roman"/>
                      <w:color w:val="0000FF"/>
                      <w:sz w:val="21"/>
                      <w:szCs w:val="21"/>
                      <w:lang w:val="en-US" w:eastAsia="zh-CN"/>
                    </w:rPr>
                  </w:pPr>
                  <w:r>
                    <w:rPr>
                      <w:rFonts w:hint="eastAsia" w:cs="Times New Roman"/>
                      <w:color w:val="0000FF"/>
                      <w:sz w:val="21"/>
                      <w:szCs w:val="21"/>
                      <w:lang w:val="en-US" w:eastAsia="zh-CN"/>
                    </w:rPr>
                    <w:t>依托</w:t>
                  </w:r>
                </w:p>
              </w:tc>
            </w:tr>
            <w:tr w14:paraId="67230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continue"/>
                  <w:tcBorders>
                    <w:tl2br w:val="nil"/>
                    <w:tr2bl w:val="nil"/>
                  </w:tcBorders>
                  <w:noWrap w:val="0"/>
                  <w:vAlign w:val="center"/>
                </w:tcPr>
                <w:p w14:paraId="3C5ED426">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9" w:type="pct"/>
                  <w:tcBorders>
                    <w:tl2br w:val="nil"/>
                    <w:tr2bl w:val="nil"/>
                  </w:tcBorders>
                  <w:noWrap w:val="0"/>
                  <w:vAlign w:val="center"/>
                </w:tcPr>
                <w:p w14:paraId="1FA887FC">
                  <w:pPr>
                    <w:keepNext w:val="0"/>
                    <w:keepLines w:val="0"/>
                    <w:pageBreakBefore w:val="0"/>
                    <w:widowControl w:val="0"/>
                    <w:wordWrap/>
                    <w:bidi w:val="0"/>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供电系统</w:t>
                  </w:r>
                </w:p>
              </w:tc>
              <w:tc>
                <w:tcPr>
                  <w:tcW w:w="4132" w:type="pct"/>
                  <w:tcBorders>
                    <w:tl2br w:val="nil"/>
                    <w:tr2bl w:val="nil"/>
                  </w:tcBorders>
                  <w:noWrap w:val="0"/>
                  <w:vAlign w:val="center"/>
                </w:tcPr>
                <w:p w14:paraId="7F74EC33">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由国家电网供给，经变压器变配电后使用，可满足日常生产及生活需求</w:t>
                  </w:r>
                </w:p>
              </w:tc>
              <w:tc>
                <w:tcPr>
                  <w:tcW w:w="345" w:type="pct"/>
                  <w:tcBorders>
                    <w:tl2br w:val="nil"/>
                    <w:tr2bl w:val="nil"/>
                  </w:tcBorders>
                  <w:noWrap w:val="0"/>
                  <w:vAlign w:val="center"/>
                </w:tcPr>
                <w:p w14:paraId="0C98DF57">
                  <w:pPr>
                    <w:keepNext w:val="0"/>
                    <w:keepLines w:val="0"/>
                    <w:pageBreakBefore w:val="0"/>
                    <w:widowControl w:val="0"/>
                    <w:wordWrap/>
                    <w:bidi w:val="0"/>
                    <w:adjustRightInd w:val="0"/>
                    <w:snapToGrid w:val="0"/>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lang w:val="en-US" w:eastAsia="zh-CN"/>
                    </w:rPr>
                    <w:t>依托</w:t>
                  </w:r>
                </w:p>
              </w:tc>
            </w:tr>
            <w:tr w14:paraId="3F11C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continue"/>
                  <w:tcBorders>
                    <w:tl2br w:val="nil"/>
                    <w:tr2bl w:val="nil"/>
                  </w:tcBorders>
                  <w:noWrap w:val="0"/>
                  <w:vAlign w:val="center"/>
                </w:tcPr>
                <w:p w14:paraId="2F907AE6">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9" w:type="pct"/>
                  <w:tcBorders>
                    <w:tl2br w:val="nil"/>
                    <w:tr2bl w:val="nil"/>
                  </w:tcBorders>
                  <w:noWrap w:val="0"/>
                  <w:vAlign w:val="center"/>
                </w:tcPr>
                <w:p w14:paraId="43F03344">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供暖工程</w:t>
                  </w:r>
                </w:p>
              </w:tc>
              <w:tc>
                <w:tcPr>
                  <w:tcW w:w="4132" w:type="pct"/>
                  <w:tcBorders>
                    <w:tl2br w:val="nil"/>
                    <w:tr2bl w:val="nil"/>
                  </w:tcBorders>
                  <w:noWrap w:val="0"/>
                  <w:vAlign w:val="center"/>
                </w:tcPr>
                <w:p w14:paraId="24841915">
                  <w:pPr>
                    <w:keepNext w:val="0"/>
                    <w:keepLines w:val="0"/>
                    <w:pageBreakBefore w:val="0"/>
                    <w:widowControl w:val="0"/>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电采暖</w:t>
                  </w:r>
                </w:p>
              </w:tc>
              <w:tc>
                <w:tcPr>
                  <w:tcW w:w="345" w:type="pct"/>
                  <w:tcBorders>
                    <w:tl2br w:val="nil"/>
                    <w:tr2bl w:val="nil"/>
                  </w:tcBorders>
                  <w:shd w:val="clear" w:color="auto" w:fill="auto"/>
                  <w:noWrap w:val="0"/>
                  <w:vAlign w:val="center"/>
                </w:tcPr>
                <w:p w14:paraId="4FBBE16E">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43202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restart"/>
                  <w:tcBorders>
                    <w:tl2br w:val="nil"/>
                    <w:tr2bl w:val="nil"/>
                  </w:tcBorders>
                  <w:noWrap w:val="0"/>
                  <w:vAlign w:val="center"/>
                </w:tcPr>
                <w:p w14:paraId="0CC4C296">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环保工程</w:t>
                  </w:r>
                </w:p>
              </w:tc>
              <w:tc>
                <w:tcPr>
                  <w:tcW w:w="329" w:type="pct"/>
                  <w:tcBorders>
                    <w:tl2br w:val="nil"/>
                    <w:tr2bl w:val="nil"/>
                  </w:tcBorders>
                  <w:noWrap w:val="0"/>
                  <w:vAlign w:val="center"/>
                </w:tcPr>
                <w:p w14:paraId="0757FC44">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4477" w:type="pct"/>
                  <w:gridSpan w:val="2"/>
                  <w:tcBorders>
                    <w:tl2br w:val="nil"/>
                    <w:tr2bl w:val="nil"/>
                  </w:tcBorders>
                  <w:noWrap w:val="0"/>
                  <w:vAlign w:val="center"/>
                </w:tcPr>
                <w:p w14:paraId="00E282A8">
                  <w:pPr>
                    <w:keepNext w:val="0"/>
                    <w:keepLines w:val="0"/>
                    <w:pageBreakBefore w:val="0"/>
                    <w:widowControl w:val="0"/>
                    <w:wordWrap/>
                    <w:bidi w:val="0"/>
                    <w:adjustRightInd w:val="0"/>
                    <w:snapToGrid w:val="0"/>
                    <w:jc w:val="center"/>
                    <w:rPr>
                      <w:rFonts w:hint="eastAsia" w:eastAsia="宋体"/>
                      <w:color w:val="000000" w:themeColor="text1"/>
                      <w:sz w:val="21"/>
                      <w:szCs w:val="21"/>
                      <w:shd w:val="clear" w:color="auto" w:fill="auto"/>
                      <w:lang w:eastAsia="zh-CN"/>
                      <w14:textFill>
                        <w14:solidFill>
                          <w14:schemeClr w14:val="tx1"/>
                        </w14:solidFill>
                      </w14:textFill>
                    </w:rPr>
                  </w:pPr>
                  <w:r>
                    <w:rPr>
                      <w:color w:val="000000" w:themeColor="text1"/>
                      <w:sz w:val="21"/>
                      <w:szCs w:val="21"/>
                      <w:shd w:val="clear" w:color="auto" w:fill="auto"/>
                      <w14:textFill>
                        <w14:solidFill>
                          <w14:schemeClr w14:val="tx1"/>
                        </w14:solidFill>
                      </w14:textFill>
                    </w:rPr>
                    <w:t>采用埋地式储罐及自封式加油机；采用以密封收集为基础的油气回收方法，安装</w:t>
                  </w:r>
                  <w:r>
                    <w:rPr>
                      <w:rFonts w:hint="eastAsia"/>
                      <w:color w:val="000000" w:themeColor="text1"/>
                      <w:sz w:val="21"/>
                      <w:szCs w:val="21"/>
                      <w:shd w:val="clear" w:color="auto" w:fill="auto"/>
                      <w:lang w:val="en-US" w:eastAsia="zh-CN"/>
                      <w14:textFill>
                        <w14:solidFill>
                          <w14:schemeClr w14:val="tx1"/>
                        </w14:solidFill>
                      </w14:textFill>
                    </w:rPr>
                    <w:t>三次</w:t>
                  </w:r>
                  <w:r>
                    <w:rPr>
                      <w:color w:val="000000" w:themeColor="text1"/>
                      <w:sz w:val="21"/>
                      <w:szCs w:val="21"/>
                      <w:shd w:val="clear" w:color="auto" w:fill="auto"/>
                      <w14:textFill>
                        <w14:solidFill>
                          <w14:schemeClr w14:val="tx1"/>
                        </w14:solidFill>
                      </w14:textFill>
                    </w:rPr>
                    <w:t>油气回收</w:t>
                  </w:r>
                  <w:r>
                    <w:rPr>
                      <w:rFonts w:hint="eastAsia"/>
                      <w:color w:val="000000" w:themeColor="text1"/>
                      <w:sz w:val="21"/>
                      <w:szCs w:val="21"/>
                      <w:shd w:val="clear" w:color="auto" w:fill="auto"/>
                      <w:lang w:eastAsia="zh-CN"/>
                      <w14:textFill>
                        <w14:solidFill>
                          <w14:schemeClr w14:val="tx1"/>
                        </w14:solidFill>
                      </w14:textFill>
                    </w:rPr>
                    <w:t>系统</w:t>
                  </w:r>
                </w:p>
              </w:tc>
            </w:tr>
            <w:tr w14:paraId="2EB35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continue"/>
                  <w:tcBorders>
                    <w:tl2br w:val="nil"/>
                    <w:tr2bl w:val="nil"/>
                  </w:tcBorders>
                  <w:noWrap w:val="0"/>
                  <w:vAlign w:val="center"/>
                </w:tcPr>
                <w:p w14:paraId="77F9FD0C">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9" w:type="pct"/>
                  <w:tcBorders>
                    <w:tl2br w:val="nil"/>
                    <w:tr2bl w:val="nil"/>
                  </w:tcBorders>
                  <w:noWrap w:val="0"/>
                  <w:vAlign w:val="center"/>
                </w:tcPr>
                <w:p w14:paraId="397FAAA1">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固废</w:t>
                  </w:r>
                </w:p>
              </w:tc>
              <w:tc>
                <w:tcPr>
                  <w:tcW w:w="4477" w:type="pct"/>
                  <w:gridSpan w:val="2"/>
                  <w:tcBorders>
                    <w:tl2br w:val="nil"/>
                    <w:tr2bl w:val="nil"/>
                  </w:tcBorders>
                  <w:noWrap w:val="0"/>
                  <w:vAlign w:val="center"/>
                </w:tcPr>
                <w:p w14:paraId="262D60A5">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生活垃圾</w:t>
                  </w:r>
                  <w:r>
                    <w:rPr>
                      <w:rFonts w:hint="eastAsia" w:cs="Times New Roman"/>
                      <w:color w:val="000000" w:themeColor="text1"/>
                      <w:sz w:val="21"/>
                      <w:szCs w:val="21"/>
                      <w:lang w:eastAsia="zh-CN"/>
                      <w14:textFill>
                        <w14:solidFill>
                          <w14:schemeClr w14:val="tx1"/>
                        </w14:solidFill>
                      </w14:textFill>
                    </w:rPr>
                    <w:t>设封闭式垃圾桶</w:t>
                  </w:r>
                  <w:r>
                    <w:rPr>
                      <w:rFonts w:hint="default" w:ascii="Times New Roman" w:hAnsi="Times New Roman" w:eastAsia="宋体" w:cs="Times New Roman"/>
                      <w:color w:val="000000" w:themeColor="text1"/>
                      <w:sz w:val="21"/>
                      <w:szCs w:val="21"/>
                      <w14:textFill>
                        <w14:solidFill>
                          <w14:schemeClr w14:val="tx1"/>
                        </w14:solidFill>
                      </w14:textFill>
                    </w:rPr>
                    <w:t>集中</w:t>
                  </w:r>
                  <w:r>
                    <w:rPr>
                      <w:rFonts w:hint="eastAsia" w:cs="Times New Roman"/>
                      <w:color w:val="000000" w:themeColor="text1"/>
                      <w:sz w:val="21"/>
                      <w:szCs w:val="21"/>
                      <w:lang w:eastAsia="zh-CN"/>
                      <w14:textFill>
                        <w14:solidFill>
                          <w14:schemeClr w14:val="tx1"/>
                        </w14:solidFill>
                      </w14:textFill>
                    </w:rPr>
                    <w:t>分类</w:t>
                  </w:r>
                  <w:r>
                    <w:rPr>
                      <w:rFonts w:hint="default" w:ascii="Times New Roman" w:hAnsi="Times New Roman" w:eastAsia="宋体" w:cs="Times New Roman"/>
                      <w:color w:val="000000" w:themeColor="text1"/>
                      <w:sz w:val="21"/>
                      <w:szCs w:val="21"/>
                      <w14:textFill>
                        <w14:solidFill>
                          <w14:schemeClr w14:val="tx1"/>
                        </w14:solidFill>
                      </w14:textFill>
                    </w:rPr>
                    <w:t>收集，</w:t>
                  </w:r>
                  <w:r>
                    <w:rPr>
                      <w:rFonts w:hint="eastAsia" w:ascii="Times New Roman" w:hAnsi="Times New Roman" w:eastAsia="宋体" w:cs="Times New Roman"/>
                      <w:color w:val="000000" w:themeColor="text1"/>
                      <w:sz w:val="21"/>
                      <w:szCs w:val="21"/>
                      <w:lang w:eastAsia="zh-CN"/>
                      <w14:textFill>
                        <w14:solidFill>
                          <w14:schemeClr w14:val="tx1"/>
                        </w14:solidFill>
                      </w14:textFill>
                    </w:rPr>
                    <w:t>交</w:t>
                  </w:r>
                  <w:r>
                    <w:rPr>
                      <w:rFonts w:hint="default" w:ascii="Times New Roman" w:hAnsi="Times New Roman" w:eastAsia="宋体" w:cs="Times New Roman"/>
                      <w:color w:val="000000" w:themeColor="text1"/>
                      <w:sz w:val="21"/>
                      <w:szCs w:val="21"/>
                      <w14:textFill>
                        <w14:solidFill>
                          <w14:schemeClr w14:val="tx1"/>
                        </w14:solidFill>
                      </w14:textFill>
                    </w:rPr>
                    <w:t>由环卫集中处理</w:t>
                  </w:r>
                  <w:r>
                    <w:rPr>
                      <w:rFonts w:hint="eastAsia"/>
                      <w:color w:val="000000" w:themeColor="text1"/>
                      <w:sz w:val="21"/>
                      <w:szCs w:val="21"/>
                      <w:lang w:eastAsia="zh-CN"/>
                      <w14:textFill>
                        <w14:solidFill>
                          <w14:schemeClr w14:val="tx1"/>
                        </w14:solidFill>
                      </w14:textFill>
                    </w:rPr>
                    <w:t>；含油废手套、抹布单独收集，</w:t>
                  </w:r>
                  <w:r>
                    <w:rPr>
                      <w:rFonts w:hint="eastAsia"/>
                      <w:color w:val="000000" w:themeColor="text1"/>
                      <w:sz w:val="21"/>
                      <w:szCs w:val="21"/>
                      <w:lang w:val="en-US" w:eastAsia="zh-CN"/>
                      <w14:textFill>
                        <w14:solidFill>
                          <w14:schemeClr w14:val="tx1"/>
                        </w14:solidFill>
                      </w14:textFill>
                    </w:rPr>
                    <w:t>随生活垃圾一起处理；隔油池废油和清罐油泥随清随运，不储存，交由有危险废物处理资质单位处理</w:t>
                  </w:r>
                  <w:r>
                    <w:rPr>
                      <w:rFonts w:hint="eastAsia"/>
                      <w:color w:val="000000" w:themeColor="text1"/>
                      <w:sz w:val="21"/>
                      <w:szCs w:val="21"/>
                      <w:lang w:eastAsia="zh-CN"/>
                      <w14:textFill>
                        <w14:solidFill>
                          <w14:schemeClr w14:val="tx1"/>
                        </w14:solidFill>
                      </w14:textFill>
                    </w:rPr>
                    <w:t>。</w:t>
                  </w:r>
                </w:p>
              </w:tc>
            </w:tr>
            <w:tr w14:paraId="428EA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continue"/>
                  <w:tcBorders>
                    <w:tl2br w:val="nil"/>
                    <w:tr2bl w:val="nil"/>
                  </w:tcBorders>
                  <w:noWrap w:val="0"/>
                  <w:vAlign w:val="center"/>
                </w:tcPr>
                <w:p w14:paraId="37B4A8CA">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9" w:type="pct"/>
                  <w:tcBorders>
                    <w:tl2br w:val="nil"/>
                    <w:tr2bl w:val="nil"/>
                  </w:tcBorders>
                  <w:noWrap w:val="0"/>
                  <w:vAlign w:val="center"/>
                </w:tcPr>
                <w:p w14:paraId="0342B665">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废水</w:t>
                  </w:r>
                </w:p>
              </w:tc>
              <w:tc>
                <w:tcPr>
                  <w:tcW w:w="4477" w:type="pct"/>
                  <w:gridSpan w:val="2"/>
                  <w:tcBorders>
                    <w:tl2br w:val="nil"/>
                    <w:tr2bl w:val="nil"/>
                  </w:tcBorders>
                  <w:noWrap w:val="0"/>
                  <w:vAlign w:val="center"/>
                </w:tcPr>
                <w:p w14:paraId="7B118474">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生活污水排入</w:t>
                  </w:r>
                  <w:r>
                    <w:rPr>
                      <w:rFonts w:hint="eastAsia" w:ascii="Times New Roman" w:hAnsi="Times New Roman" w:cs="Times New Roman"/>
                      <w:color w:val="000000" w:themeColor="text1"/>
                      <w:sz w:val="21"/>
                      <w:szCs w:val="21"/>
                      <w:lang w:val="en-US" w:eastAsia="zh-CN"/>
                      <w14:textFill>
                        <w14:solidFill>
                          <w14:schemeClr w14:val="tx1"/>
                        </w14:solidFill>
                      </w14:textFill>
                    </w:rPr>
                    <w:t>污水管网，纳入污水处理厂处理</w:t>
                  </w:r>
                  <w:r>
                    <w:rPr>
                      <w:rFonts w:hint="eastAsia" w:cs="Times New Roman"/>
                      <w:color w:val="000000" w:themeColor="text1"/>
                      <w:sz w:val="21"/>
                      <w:szCs w:val="21"/>
                      <w:lang w:val="en-US" w:eastAsia="zh-CN"/>
                      <w14:textFill>
                        <w14:solidFill>
                          <w14:schemeClr w14:val="tx1"/>
                        </w14:solidFill>
                      </w14:textFill>
                    </w:rPr>
                    <w:t>。</w:t>
                  </w:r>
                </w:p>
              </w:tc>
            </w:tr>
            <w:tr w14:paraId="2E2DA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continue"/>
                  <w:tcBorders>
                    <w:tl2br w:val="nil"/>
                    <w:tr2bl w:val="nil"/>
                  </w:tcBorders>
                  <w:noWrap w:val="0"/>
                  <w:vAlign w:val="center"/>
                </w:tcPr>
                <w:p w14:paraId="62D82EB7">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9" w:type="pct"/>
                  <w:tcBorders>
                    <w:tl2br w:val="nil"/>
                    <w:tr2bl w:val="nil"/>
                  </w:tcBorders>
                  <w:noWrap w:val="0"/>
                  <w:vAlign w:val="center"/>
                </w:tcPr>
                <w:p w14:paraId="133299B3">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噪声</w:t>
                  </w:r>
                </w:p>
              </w:tc>
              <w:tc>
                <w:tcPr>
                  <w:tcW w:w="4477" w:type="pct"/>
                  <w:gridSpan w:val="2"/>
                  <w:tcBorders>
                    <w:tl2br w:val="nil"/>
                    <w:tr2bl w:val="nil"/>
                  </w:tcBorders>
                  <w:noWrap w:val="0"/>
                  <w:vAlign w:val="center"/>
                </w:tcPr>
                <w:p w14:paraId="4F3A67F9">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设置减震、隔声措施，加强维护；进出车辆加强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控制，设置停车场指示牌。</w:t>
                  </w:r>
                </w:p>
              </w:tc>
            </w:tr>
            <w:tr w14:paraId="62499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3" w:type="pct"/>
                  <w:vMerge w:val="continue"/>
                  <w:tcBorders>
                    <w:tl2br w:val="nil"/>
                    <w:tr2bl w:val="nil"/>
                  </w:tcBorders>
                  <w:noWrap w:val="0"/>
                  <w:vAlign w:val="center"/>
                </w:tcPr>
                <w:p w14:paraId="1E9BDEF3">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9" w:type="pct"/>
                  <w:tcBorders>
                    <w:tl2br w:val="nil"/>
                    <w:tr2bl w:val="nil"/>
                  </w:tcBorders>
                  <w:noWrap w:val="0"/>
                  <w:vAlign w:val="center"/>
                </w:tcPr>
                <w:p w14:paraId="1004B101">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防渗</w:t>
                  </w:r>
                </w:p>
              </w:tc>
              <w:tc>
                <w:tcPr>
                  <w:tcW w:w="4477" w:type="pct"/>
                  <w:gridSpan w:val="2"/>
                  <w:tcBorders>
                    <w:tl2br w:val="nil"/>
                    <w:tr2bl w:val="nil"/>
                  </w:tcBorders>
                  <w:noWrap w:val="0"/>
                  <w:vAlign w:val="center"/>
                </w:tcPr>
                <w:p w14:paraId="7BEEE6DC">
                  <w:pPr>
                    <w:keepNext w:val="0"/>
                    <w:keepLines w:val="0"/>
                    <w:pageBreakBefore w:val="0"/>
                    <w:widowControl w:val="0"/>
                    <w:wordWrap/>
                    <w:bidi w:val="0"/>
                    <w:adjustRightInd w:val="0"/>
                    <w:snapToGrid w:val="0"/>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埋地油罐、加油区、卸油区、输油管线</w:t>
                  </w:r>
                  <w:r>
                    <w:rPr>
                      <w:rFonts w:hint="default" w:ascii="Times New Roman" w:hAnsi="Times New Roman" w:eastAsia="宋体" w:cs="Times New Roman"/>
                      <w:bCs/>
                      <w:color w:val="000000" w:themeColor="text1"/>
                      <w:sz w:val="21"/>
                      <w:szCs w:val="21"/>
                      <w14:textFill>
                        <w14:solidFill>
                          <w14:schemeClr w14:val="tx1"/>
                        </w14:solidFill>
                      </w14:textFill>
                    </w:rPr>
                    <w:t>等主要区域</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为重点防渗区</w:t>
                  </w:r>
                  <w:r>
                    <w:rPr>
                      <w:rFonts w:hint="default" w:ascii="Times New Roman" w:hAnsi="Times New Roman" w:eastAsia="宋体" w:cs="Times New Roman"/>
                      <w:bCs/>
                      <w:color w:val="000000" w:themeColor="text1"/>
                      <w:sz w:val="21"/>
                      <w:szCs w:val="21"/>
                      <w14:textFill>
                        <w14:solidFill>
                          <w14:schemeClr w14:val="tx1"/>
                        </w14:solidFill>
                      </w14:textFill>
                    </w:rPr>
                    <w:t>，防渗层的防渗性技术要求为：等效黏土防渗层Mb≥</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Cs/>
                      <w:color w:val="000000" w:themeColor="text1"/>
                      <w:sz w:val="21"/>
                      <w:szCs w:val="21"/>
                      <w14:textFill>
                        <w14:solidFill>
                          <w14:schemeClr w14:val="tx1"/>
                        </w14:solidFill>
                      </w14:textFill>
                    </w:rPr>
                    <w:t>.0m，K≤1.0×10</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bCs/>
                      <w:color w:val="000000" w:themeColor="text1"/>
                      <w:sz w:val="21"/>
                      <w:szCs w:val="21"/>
                      <w14:textFill>
                        <w14:solidFill>
                          <w14:schemeClr w14:val="tx1"/>
                        </w14:solidFill>
                      </w14:textFill>
                    </w:rPr>
                    <w:t>cm/s</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站内地坪、站房及辅助用房、道路等</w:t>
                  </w:r>
                  <w:r>
                    <w:rPr>
                      <w:rFonts w:hint="default" w:ascii="Times New Roman" w:hAnsi="Times New Roman" w:eastAsia="宋体" w:cs="Times New Roman"/>
                      <w:bCs/>
                      <w:color w:val="000000" w:themeColor="text1"/>
                      <w:sz w:val="21"/>
                      <w:szCs w:val="21"/>
                      <w14:textFill>
                        <w14:solidFill>
                          <w14:schemeClr w14:val="tx1"/>
                        </w14:solidFill>
                      </w14:textFill>
                    </w:rPr>
                    <w:t>为一般防渗区，防渗层的防渗性技术要求为：等效黏土防渗层Mb≥1.5m，K≤1.0×10</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z w:val="21"/>
                      <w:szCs w:val="21"/>
                      <w14:textFill>
                        <w14:solidFill>
                          <w14:schemeClr w14:val="tx1"/>
                        </w14:solidFill>
                      </w14:textFill>
                    </w:rPr>
                    <w:t>cm/s</w:t>
                  </w:r>
                </w:p>
              </w:tc>
            </w:tr>
            <w:tr w14:paraId="0017D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2" w:type="pct"/>
                  <w:gridSpan w:val="2"/>
                  <w:tcBorders>
                    <w:tl2br w:val="nil"/>
                    <w:tr2bl w:val="nil"/>
                  </w:tcBorders>
                  <w:noWrap w:val="0"/>
                  <w:vAlign w:val="center"/>
                </w:tcPr>
                <w:p w14:paraId="31DA0884">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消防工程</w:t>
                  </w:r>
                </w:p>
              </w:tc>
              <w:tc>
                <w:tcPr>
                  <w:tcW w:w="4477" w:type="pct"/>
                  <w:gridSpan w:val="2"/>
                  <w:tcBorders>
                    <w:tl2br w:val="nil"/>
                    <w:tr2bl w:val="nil"/>
                  </w:tcBorders>
                  <w:noWrap w:val="0"/>
                  <w:vAlign w:val="center"/>
                </w:tcPr>
                <w:p w14:paraId="33731D03">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站区</w:t>
                  </w:r>
                  <w:r>
                    <w:rPr>
                      <w:rFonts w:hint="default" w:ascii="Times New Roman" w:hAnsi="Times New Roman" w:eastAsia="宋体" w:cs="Times New Roman"/>
                      <w:color w:val="000000" w:themeColor="text1"/>
                      <w:sz w:val="21"/>
                      <w:szCs w:val="21"/>
                      <w14:textFill>
                        <w14:solidFill>
                          <w14:schemeClr w14:val="tx1"/>
                        </w14:solidFill>
                      </w14:textFill>
                    </w:rPr>
                    <w:t>配套灭火沙、灭火毯</w:t>
                  </w:r>
                  <w:r>
                    <w:rPr>
                      <w:rFonts w:hint="eastAsia" w:cs="Times New Roman"/>
                      <w:color w:val="000000" w:themeColor="text1"/>
                      <w:sz w:val="21"/>
                      <w:szCs w:val="21"/>
                      <w:lang w:eastAsia="zh-CN"/>
                      <w14:textFill>
                        <w14:solidFill>
                          <w14:schemeClr w14:val="tx1"/>
                        </w14:solidFill>
                      </w14:textFill>
                    </w:rPr>
                    <w:t>、灭火器</w:t>
                  </w:r>
                  <w:r>
                    <w:rPr>
                      <w:rFonts w:hint="default" w:ascii="Times New Roman" w:hAnsi="Times New Roman" w:eastAsia="宋体" w:cs="Times New Roman"/>
                      <w:color w:val="000000" w:themeColor="text1"/>
                      <w:sz w:val="21"/>
                      <w:szCs w:val="21"/>
                      <w:lang w:eastAsia="zh-CN"/>
                      <w14:textFill>
                        <w14:solidFill>
                          <w14:schemeClr w14:val="tx1"/>
                        </w14:solidFill>
                      </w14:textFill>
                    </w:rPr>
                    <w:t>等消防物资</w:t>
                  </w:r>
                </w:p>
              </w:tc>
            </w:tr>
          </w:tbl>
          <w:p w14:paraId="74E5425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right="0"/>
              <w:textAlignment w:val="auto"/>
              <w:rPr>
                <w:rFonts w:hint="eastAsia" w:cs="Times New Roman"/>
                <w:b/>
                <w:color w:val="000000" w:themeColor="text1"/>
                <w:kern w:val="0"/>
                <w:sz w:val="24"/>
                <w:szCs w:val="24"/>
                <w:lang w:val="en-US" w:eastAsia="zh-CN"/>
                <w14:textFill>
                  <w14:solidFill>
                    <w14:schemeClr w14:val="tx1"/>
                  </w14:solidFill>
                </w14:textFill>
              </w:rPr>
            </w:pPr>
            <w:r>
              <w:rPr>
                <w:rFonts w:hint="eastAsia" w:cs="Times New Roman"/>
                <w:b/>
                <w:color w:val="000000" w:themeColor="text1"/>
                <w:kern w:val="0"/>
                <w:sz w:val="24"/>
                <w:szCs w:val="24"/>
                <w:lang w:val="en-US" w:eastAsia="zh-CN"/>
                <w14:textFill>
                  <w14:solidFill>
                    <w14:schemeClr w14:val="tx1"/>
                  </w14:solidFill>
                </w14:textFill>
              </w:rPr>
              <w:t>2.3 主要设备</w:t>
            </w:r>
          </w:p>
          <w:p w14:paraId="4E29004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项目主要设备一览表见表</w:t>
            </w:r>
            <w:r>
              <w:rPr>
                <w:rFonts w:hint="eastAsia" w:cs="Times New Roman"/>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14:textFill>
                  <w14:solidFill>
                    <w14:schemeClr w14:val="tx1"/>
                  </w14:solidFill>
                </w14:textFill>
              </w:rPr>
              <w:t>。</w:t>
            </w:r>
          </w:p>
          <w:p w14:paraId="757DEB9F">
            <w:pPr>
              <w:keepNext w:val="0"/>
              <w:keepLines w:val="0"/>
              <w:pageBreakBefore w:val="0"/>
              <w:widowControl w:val="0"/>
              <w:kinsoku/>
              <w:wordWrap/>
              <w:overflowPunct/>
              <w:topLinePunct w:val="0"/>
              <w:autoSpaceDE/>
              <w:autoSpaceDN/>
              <w:bidi w:val="0"/>
              <w:adjustRightInd w:val="0"/>
              <w:snapToGrid w:val="0"/>
              <w:spacing w:before="157" w:beforeLines="50"/>
              <w:ind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eastAsia" w:cs="Times New Roman"/>
                <w:b/>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b/>
                <w:color w:val="000000" w:themeColor="text1"/>
                <w:sz w:val="21"/>
                <w:szCs w:val="21"/>
                <w14:textFill>
                  <w14:solidFill>
                    <w14:schemeClr w14:val="tx1"/>
                  </w14:solidFill>
                </w14:textFill>
              </w:rPr>
              <w:t xml:space="preserve">  本项目主要设备</w:t>
            </w:r>
            <w:r>
              <w:rPr>
                <w:rFonts w:hint="eastAsia" w:cs="Times New Roman"/>
                <w:b/>
                <w:color w:val="000000" w:themeColor="text1"/>
                <w:sz w:val="21"/>
                <w:szCs w:val="21"/>
                <w:lang w:eastAsia="zh-CN"/>
                <w14:textFill>
                  <w14:solidFill>
                    <w14:schemeClr w14:val="tx1"/>
                  </w14:solidFill>
                </w14:textFill>
              </w:rPr>
              <w:t>一览</w:t>
            </w:r>
            <w:r>
              <w:rPr>
                <w:rFonts w:hint="default" w:ascii="Times New Roman" w:hAnsi="Times New Roman" w:eastAsia="宋体" w:cs="Times New Roman"/>
                <w:b/>
                <w:color w:val="000000" w:themeColor="text1"/>
                <w:sz w:val="21"/>
                <w:szCs w:val="21"/>
                <w14:textFill>
                  <w14:solidFill>
                    <w14:schemeClr w14:val="tx1"/>
                  </w14:solidFill>
                </w14:textFill>
              </w:rPr>
              <w:t>表</w:t>
            </w:r>
          </w:p>
          <w:tbl>
            <w:tblPr>
              <w:tblStyle w:val="31"/>
              <w:tblW w:w="84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621"/>
              <w:gridCol w:w="3045"/>
              <w:gridCol w:w="660"/>
              <w:gridCol w:w="825"/>
              <w:gridCol w:w="1559"/>
            </w:tblGrid>
            <w:tr w14:paraId="2389E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l2br w:val="nil"/>
                    <w:tr2bl w:val="nil"/>
                  </w:tcBorders>
                  <w:noWrap w:val="0"/>
                  <w:vAlign w:val="center"/>
                </w:tcPr>
                <w:p w14:paraId="4A18AE7A">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621" w:type="dxa"/>
                  <w:tcBorders>
                    <w:tl2br w:val="nil"/>
                    <w:tr2bl w:val="nil"/>
                  </w:tcBorders>
                  <w:noWrap w:val="0"/>
                  <w:vAlign w:val="center"/>
                </w:tcPr>
                <w:p w14:paraId="729CC970">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设备名称</w:t>
                  </w:r>
                </w:p>
              </w:tc>
              <w:tc>
                <w:tcPr>
                  <w:tcW w:w="3045" w:type="dxa"/>
                  <w:tcBorders>
                    <w:tl2br w:val="nil"/>
                    <w:tr2bl w:val="nil"/>
                  </w:tcBorders>
                  <w:noWrap w:val="0"/>
                  <w:vAlign w:val="center"/>
                </w:tcPr>
                <w:p w14:paraId="5B4AE505">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规格及型号</w:t>
                  </w:r>
                </w:p>
              </w:tc>
              <w:tc>
                <w:tcPr>
                  <w:tcW w:w="660" w:type="dxa"/>
                  <w:tcBorders>
                    <w:tl2br w:val="nil"/>
                    <w:tr2bl w:val="nil"/>
                  </w:tcBorders>
                  <w:noWrap w:val="0"/>
                  <w:vAlign w:val="center"/>
                </w:tcPr>
                <w:p w14:paraId="1E4272DB">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单位</w:t>
                  </w:r>
                </w:p>
              </w:tc>
              <w:tc>
                <w:tcPr>
                  <w:tcW w:w="825" w:type="dxa"/>
                  <w:tcBorders>
                    <w:tl2br w:val="nil"/>
                    <w:tr2bl w:val="nil"/>
                  </w:tcBorders>
                  <w:noWrap w:val="0"/>
                  <w:vAlign w:val="center"/>
                </w:tcPr>
                <w:p w14:paraId="36B82D86">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数量</w:t>
                  </w:r>
                </w:p>
              </w:tc>
              <w:tc>
                <w:tcPr>
                  <w:tcW w:w="1559" w:type="dxa"/>
                  <w:tcBorders>
                    <w:tl2br w:val="nil"/>
                    <w:tr2bl w:val="nil"/>
                  </w:tcBorders>
                  <w:noWrap w:val="0"/>
                  <w:vAlign w:val="center"/>
                </w:tcPr>
                <w:p w14:paraId="3F51F6D3">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备注</w:t>
                  </w:r>
                </w:p>
              </w:tc>
            </w:tr>
            <w:tr w14:paraId="03B49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l2br w:val="nil"/>
                    <w:tr2bl w:val="nil"/>
                  </w:tcBorders>
                  <w:noWrap w:val="0"/>
                  <w:vAlign w:val="center"/>
                </w:tcPr>
                <w:p w14:paraId="31EF050A">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621" w:type="dxa"/>
                  <w:tcBorders>
                    <w:tl2br w:val="nil"/>
                    <w:tr2bl w:val="nil"/>
                  </w:tcBorders>
                  <w:noWrap w:val="0"/>
                  <w:vAlign w:val="center"/>
                </w:tcPr>
                <w:p w14:paraId="5346DB0D">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油罐</w:t>
                  </w:r>
                </w:p>
              </w:tc>
              <w:tc>
                <w:tcPr>
                  <w:tcW w:w="3045" w:type="dxa"/>
                  <w:tcBorders>
                    <w:tl2br w:val="nil"/>
                    <w:tr2bl w:val="nil"/>
                  </w:tcBorders>
                  <w:noWrap w:val="0"/>
                  <w:vAlign w:val="center"/>
                </w:tcPr>
                <w:p w14:paraId="1F97B9F0">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0m³</w:t>
                  </w:r>
                </w:p>
              </w:tc>
              <w:tc>
                <w:tcPr>
                  <w:tcW w:w="660" w:type="dxa"/>
                  <w:tcBorders>
                    <w:tl2br w:val="nil"/>
                    <w:tr2bl w:val="nil"/>
                  </w:tcBorders>
                  <w:noWrap w:val="0"/>
                  <w:vAlign w:val="center"/>
                </w:tcPr>
                <w:p w14:paraId="36F58458">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25" w:type="dxa"/>
                  <w:tcBorders>
                    <w:tl2br w:val="nil"/>
                    <w:tr2bl w:val="nil"/>
                  </w:tcBorders>
                  <w:noWrap w:val="0"/>
                  <w:vAlign w:val="center"/>
                </w:tcPr>
                <w:p w14:paraId="3432C35F">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1559" w:type="dxa"/>
                  <w:tcBorders>
                    <w:tl2br w:val="nil"/>
                    <w:tr2bl w:val="nil"/>
                  </w:tcBorders>
                  <w:noWrap w:val="0"/>
                  <w:vAlign w:val="center"/>
                </w:tcPr>
                <w:p w14:paraId="59128996">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双层汽油油罐</w:t>
                  </w:r>
                </w:p>
              </w:tc>
            </w:tr>
            <w:tr w14:paraId="4C9CE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l2br w:val="nil"/>
                    <w:tr2bl w:val="nil"/>
                  </w:tcBorders>
                  <w:shd w:val="clear" w:color="auto" w:fill="auto"/>
                  <w:noWrap w:val="0"/>
                  <w:vAlign w:val="center"/>
                </w:tcPr>
                <w:p w14:paraId="44078D04">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621" w:type="dxa"/>
                  <w:tcBorders>
                    <w:tl2br w:val="nil"/>
                    <w:tr2bl w:val="nil"/>
                  </w:tcBorders>
                  <w:shd w:val="clear" w:color="auto" w:fill="auto"/>
                  <w:noWrap w:val="0"/>
                  <w:vAlign w:val="center"/>
                </w:tcPr>
                <w:p w14:paraId="127B3F39">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油罐</w:t>
                  </w:r>
                </w:p>
              </w:tc>
              <w:tc>
                <w:tcPr>
                  <w:tcW w:w="3045" w:type="dxa"/>
                  <w:tcBorders>
                    <w:tl2br w:val="nil"/>
                    <w:tr2bl w:val="nil"/>
                  </w:tcBorders>
                  <w:shd w:val="clear" w:color="auto" w:fill="auto"/>
                  <w:noWrap w:val="0"/>
                  <w:vAlign w:val="center"/>
                </w:tcPr>
                <w:p w14:paraId="62F0371F">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0m³</w:t>
                  </w:r>
                </w:p>
              </w:tc>
              <w:tc>
                <w:tcPr>
                  <w:tcW w:w="660" w:type="dxa"/>
                  <w:tcBorders>
                    <w:tl2br w:val="nil"/>
                    <w:tr2bl w:val="nil"/>
                  </w:tcBorders>
                  <w:shd w:val="clear" w:color="auto" w:fill="auto"/>
                  <w:noWrap w:val="0"/>
                  <w:vAlign w:val="center"/>
                </w:tcPr>
                <w:p w14:paraId="4057C766">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25" w:type="dxa"/>
                  <w:tcBorders>
                    <w:tl2br w:val="nil"/>
                    <w:tr2bl w:val="nil"/>
                  </w:tcBorders>
                  <w:shd w:val="clear" w:color="auto" w:fill="auto"/>
                  <w:noWrap w:val="0"/>
                  <w:vAlign w:val="center"/>
                </w:tcPr>
                <w:p w14:paraId="265528D9">
                  <w:pPr>
                    <w:keepNext w:val="0"/>
                    <w:keepLines w:val="0"/>
                    <w:pageBreakBefore w:val="0"/>
                    <w:widowControl w:val="0"/>
                    <w:wordWrap/>
                    <w:bidi w:val="0"/>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559" w:type="dxa"/>
                  <w:tcBorders>
                    <w:tl2br w:val="nil"/>
                    <w:tr2bl w:val="nil"/>
                  </w:tcBorders>
                  <w:shd w:val="clear" w:color="auto" w:fill="auto"/>
                  <w:noWrap w:val="0"/>
                  <w:vAlign w:val="center"/>
                </w:tcPr>
                <w:p w14:paraId="16AECF8B">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双层汽油油罐</w:t>
                  </w:r>
                </w:p>
              </w:tc>
            </w:tr>
            <w:tr w14:paraId="54E55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l2br w:val="nil"/>
                    <w:tr2bl w:val="nil"/>
                  </w:tcBorders>
                  <w:shd w:val="clear" w:color="auto" w:fill="auto"/>
                  <w:noWrap w:val="0"/>
                  <w:vAlign w:val="center"/>
                </w:tcPr>
                <w:p w14:paraId="649E6D6C">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621" w:type="dxa"/>
                  <w:tcBorders>
                    <w:tl2br w:val="nil"/>
                    <w:tr2bl w:val="nil"/>
                  </w:tcBorders>
                  <w:noWrap w:val="0"/>
                  <w:vAlign w:val="center"/>
                </w:tcPr>
                <w:p w14:paraId="3FD8E8C3">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油罐</w:t>
                  </w:r>
                </w:p>
              </w:tc>
              <w:tc>
                <w:tcPr>
                  <w:tcW w:w="3045" w:type="dxa"/>
                  <w:tcBorders>
                    <w:tl2br w:val="nil"/>
                    <w:tr2bl w:val="nil"/>
                  </w:tcBorders>
                  <w:noWrap w:val="0"/>
                  <w:vAlign w:val="center"/>
                </w:tcPr>
                <w:p w14:paraId="698F5014">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0m³</w:t>
                  </w:r>
                </w:p>
              </w:tc>
              <w:tc>
                <w:tcPr>
                  <w:tcW w:w="660" w:type="dxa"/>
                  <w:tcBorders>
                    <w:tl2br w:val="nil"/>
                    <w:tr2bl w:val="nil"/>
                  </w:tcBorders>
                  <w:noWrap w:val="0"/>
                  <w:vAlign w:val="center"/>
                </w:tcPr>
                <w:p w14:paraId="32DE8F5F">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25" w:type="dxa"/>
                  <w:tcBorders>
                    <w:tl2br w:val="nil"/>
                    <w:tr2bl w:val="nil"/>
                  </w:tcBorders>
                  <w:noWrap w:val="0"/>
                  <w:vAlign w:val="center"/>
                </w:tcPr>
                <w:p w14:paraId="2944201B">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559" w:type="dxa"/>
                  <w:tcBorders>
                    <w:tl2br w:val="nil"/>
                    <w:tr2bl w:val="nil"/>
                  </w:tcBorders>
                  <w:noWrap w:val="0"/>
                  <w:vAlign w:val="center"/>
                </w:tcPr>
                <w:p w14:paraId="529EB0C8">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双层柴油油罐</w:t>
                  </w:r>
                </w:p>
              </w:tc>
            </w:tr>
            <w:tr w14:paraId="62356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03" w:type="dxa"/>
                  <w:tcBorders>
                    <w:tl2br w:val="nil"/>
                    <w:tr2bl w:val="nil"/>
                  </w:tcBorders>
                  <w:shd w:val="clear" w:color="auto" w:fill="auto"/>
                  <w:noWrap w:val="0"/>
                  <w:vAlign w:val="center"/>
                </w:tcPr>
                <w:p w14:paraId="0FA633FC">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621" w:type="dxa"/>
                  <w:tcBorders>
                    <w:tl2br w:val="nil"/>
                    <w:tr2bl w:val="nil"/>
                  </w:tcBorders>
                  <w:noWrap w:val="0"/>
                  <w:vAlign w:val="center"/>
                </w:tcPr>
                <w:p w14:paraId="400E17DC">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加油机</w:t>
                  </w:r>
                </w:p>
              </w:tc>
              <w:tc>
                <w:tcPr>
                  <w:tcW w:w="3045" w:type="dxa"/>
                  <w:tcBorders>
                    <w:tl2br w:val="nil"/>
                    <w:tr2bl w:val="nil"/>
                  </w:tcBorders>
                  <w:noWrap w:val="0"/>
                  <w:vAlign w:val="center"/>
                </w:tcPr>
                <w:p w14:paraId="69662772">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四枪四油品潜油泵加油机（汽油机带分散式油气回收功能）</w:t>
                  </w:r>
                </w:p>
              </w:tc>
              <w:tc>
                <w:tcPr>
                  <w:tcW w:w="660" w:type="dxa"/>
                  <w:tcBorders>
                    <w:tl2br w:val="nil"/>
                    <w:tr2bl w:val="nil"/>
                  </w:tcBorders>
                  <w:noWrap w:val="0"/>
                  <w:vAlign w:val="center"/>
                </w:tcPr>
                <w:p w14:paraId="02DD68A2">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25" w:type="dxa"/>
                  <w:tcBorders>
                    <w:tl2br w:val="nil"/>
                    <w:tr2bl w:val="nil"/>
                  </w:tcBorders>
                  <w:noWrap w:val="0"/>
                  <w:vAlign w:val="center"/>
                </w:tcPr>
                <w:p w14:paraId="2A88248F">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559" w:type="dxa"/>
                  <w:tcBorders>
                    <w:tl2br w:val="nil"/>
                    <w:tr2bl w:val="nil"/>
                  </w:tcBorders>
                  <w:noWrap w:val="0"/>
                  <w:vAlign w:val="center"/>
                </w:tcPr>
                <w:p w14:paraId="25965FCB">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油气回收型</w:t>
                  </w:r>
                </w:p>
              </w:tc>
            </w:tr>
            <w:tr w14:paraId="42A54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l2br w:val="nil"/>
                    <w:tr2bl w:val="nil"/>
                  </w:tcBorders>
                  <w:noWrap w:val="0"/>
                  <w:vAlign w:val="center"/>
                </w:tcPr>
                <w:p w14:paraId="04EB550A">
                  <w:pPr>
                    <w:keepNext w:val="0"/>
                    <w:keepLines w:val="0"/>
                    <w:pageBreakBefore w:val="0"/>
                    <w:widowControl w:val="0"/>
                    <w:wordWrap/>
                    <w:bidi w:val="0"/>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621" w:type="dxa"/>
                  <w:tcBorders>
                    <w:tl2br w:val="nil"/>
                    <w:tr2bl w:val="nil"/>
                  </w:tcBorders>
                  <w:noWrap w:val="0"/>
                  <w:vAlign w:val="center"/>
                </w:tcPr>
                <w:p w14:paraId="0954C439">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潜油泵</w:t>
                  </w:r>
                </w:p>
              </w:tc>
              <w:tc>
                <w:tcPr>
                  <w:tcW w:w="3045" w:type="dxa"/>
                  <w:tcBorders>
                    <w:tl2br w:val="nil"/>
                    <w:tr2bl w:val="nil"/>
                  </w:tcBorders>
                  <w:noWrap w:val="0"/>
                  <w:vAlign w:val="center"/>
                </w:tcPr>
                <w:p w14:paraId="1DFE0C45">
                  <w:pPr>
                    <w:keepNext w:val="0"/>
                    <w:keepLines w:val="0"/>
                    <w:pageBreakBefore w:val="0"/>
                    <w:widowControl w:val="0"/>
                    <w:wordWrap/>
                    <w:bidi w:val="0"/>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60" w:type="dxa"/>
                  <w:tcBorders>
                    <w:tl2br w:val="nil"/>
                    <w:tr2bl w:val="nil"/>
                  </w:tcBorders>
                  <w:noWrap w:val="0"/>
                  <w:vAlign w:val="center"/>
                </w:tcPr>
                <w:p w14:paraId="45CF24E8">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25" w:type="dxa"/>
                  <w:tcBorders>
                    <w:tl2br w:val="nil"/>
                    <w:tr2bl w:val="nil"/>
                  </w:tcBorders>
                  <w:noWrap w:val="0"/>
                  <w:vAlign w:val="center"/>
                </w:tcPr>
                <w:p w14:paraId="64E9FBC4">
                  <w:pPr>
                    <w:keepNext w:val="0"/>
                    <w:keepLines w:val="0"/>
                    <w:pageBreakBefore w:val="0"/>
                    <w:widowControl w:val="0"/>
                    <w:wordWrap/>
                    <w:bidi w:val="0"/>
                    <w:adjustRightInd w:val="0"/>
                    <w:snapToGrid w:val="0"/>
                    <w:spacing w:line="240" w:lineRule="auto"/>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559" w:type="dxa"/>
                  <w:tcBorders>
                    <w:tl2br w:val="nil"/>
                    <w:tr2bl w:val="nil"/>
                  </w:tcBorders>
                  <w:noWrap w:val="0"/>
                  <w:vAlign w:val="center"/>
                </w:tcPr>
                <w:p w14:paraId="5789F304">
                  <w:pPr>
                    <w:keepNext w:val="0"/>
                    <w:keepLines w:val="0"/>
                    <w:pageBreakBefore w:val="0"/>
                    <w:widowControl w:val="0"/>
                    <w:wordWrap/>
                    <w:bidi w:val="0"/>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0BC30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l2br w:val="nil"/>
                    <w:tr2bl w:val="nil"/>
                  </w:tcBorders>
                  <w:noWrap w:val="0"/>
                  <w:vAlign w:val="center"/>
                </w:tcPr>
                <w:p w14:paraId="3032C0A4">
                  <w:pPr>
                    <w:keepNext w:val="0"/>
                    <w:keepLines w:val="0"/>
                    <w:pageBreakBefore w:val="0"/>
                    <w:widowControl w:val="0"/>
                    <w:wordWrap/>
                    <w:bidi w:val="0"/>
                    <w:adjustRightInd w:val="0"/>
                    <w:snapToGrid w:val="0"/>
                    <w:spacing w:line="240" w:lineRule="auto"/>
                    <w:jc w:val="center"/>
                    <w:rPr>
                      <w:rFonts w:hint="default" w:cs="Times New Roman"/>
                      <w:color w:val="0000FF"/>
                      <w:sz w:val="21"/>
                      <w:szCs w:val="21"/>
                      <w:lang w:val="en-US" w:eastAsia="zh-CN"/>
                    </w:rPr>
                  </w:pPr>
                  <w:r>
                    <w:rPr>
                      <w:rFonts w:hint="eastAsia" w:cs="Times New Roman"/>
                      <w:color w:val="0000FF"/>
                      <w:sz w:val="21"/>
                      <w:szCs w:val="21"/>
                      <w:lang w:val="en-US" w:eastAsia="zh-CN"/>
                    </w:rPr>
                    <w:t>6</w:t>
                  </w:r>
                </w:p>
              </w:tc>
              <w:tc>
                <w:tcPr>
                  <w:tcW w:w="1621" w:type="dxa"/>
                  <w:tcBorders>
                    <w:tl2br w:val="nil"/>
                    <w:tr2bl w:val="nil"/>
                  </w:tcBorders>
                  <w:noWrap w:val="0"/>
                  <w:vAlign w:val="center"/>
                </w:tcPr>
                <w:p w14:paraId="3E44A6A6">
                  <w:pPr>
                    <w:keepNext w:val="0"/>
                    <w:keepLines w:val="0"/>
                    <w:pageBreakBefore w:val="0"/>
                    <w:widowControl w:val="0"/>
                    <w:wordWrap/>
                    <w:bidi w:val="0"/>
                    <w:adjustRightInd w:val="0"/>
                    <w:snapToGrid w:val="0"/>
                    <w:spacing w:line="240" w:lineRule="auto"/>
                    <w:jc w:val="center"/>
                    <w:rPr>
                      <w:rFonts w:hint="eastAsia" w:ascii="Times New Roman" w:hAnsi="Times New Roman" w:eastAsia="宋体" w:cs="Times New Roman"/>
                      <w:color w:val="0000FF"/>
                      <w:sz w:val="21"/>
                      <w:szCs w:val="21"/>
                      <w:lang w:eastAsia="zh-CN"/>
                    </w:rPr>
                  </w:pPr>
                  <w:r>
                    <w:rPr>
                      <w:rFonts w:hint="eastAsia" w:cs="Times New Roman"/>
                      <w:color w:val="0000FF"/>
                      <w:sz w:val="21"/>
                      <w:szCs w:val="21"/>
                      <w:lang w:eastAsia="zh-CN"/>
                    </w:rPr>
                    <w:t>自动洗车设备</w:t>
                  </w:r>
                </w:p>
              </w:tc>
              <w:tc>
                <w:tcPr>
                  <w:tcW w:w="3045" w:type="dxa"/>
                  <w:tcBorders>
                    <w:tl2br w:val="nil"/>
                    <w:tr2bl w:val="nil"/>
                  </w:tcBorders>
                  <w:noWrap w:val="0"/>
                  <w:vAlign w:val="center"/>
                </w:tcPr>
                <w:p w14:paraId="5884C249">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w:t>
                  </w:r>
                </w:p>
              </w:tc>
              <w:tc>
                <w:tcPr>
                  <w:tcW w:w="660" w:type="dxa"/>
                  <w:tcBorders>
                    <w:tl2br w:val="nil"/>
                    <w:tr2bl w:val="nil"/>
                  </w:tcBorders>
                  <w:noWrap w:val="0"/>
                  <w:vAlign w:val="center"/>
                </w:tcPr>
                <w:p w14:paraId="58DFB5FA">
                  <w:pPr>
                    <w:keepNext w:val="0"/>
                    <w:keepLines w:val="0"/>
                    <w:pageBreakBefore w:val="0"/>
                    <w:widowControl w:val="0"/>
                    <w:wordWrap/>
                    <w:bidi w:val="0"/>
                    <w:adjustRightInd w:val="0"/>
                    <w:snapToGrid w:val="0"/>
                    <w:spacing w:line="240" w:lineRule="auto"/>
                    <w:jc w:val="center"/>
                    <w:rPr>
                      <w:rFonts w:hint="eastAsia" w:ascii="Times New Roman" w:hAnsi="Times New Roman" w:eastAsia="宋体" w:cs="Times New Roman"/>
                      <w:color w:val="0000FF"/>
                      <w:sz w:val="21"/>
                      <w:szCs w:val="21"/>
                      <w:lang w:eastAsia="zh-CN"/>
                    </w:rPr>
                  </w:pPr>
                  <w:r>
                    <w:rPr>
                      <w:rFonts w:hint="eastAsia" w:cs="Times New Roman"/>
                      <w:color w:val="0000FF"/>
                      <w:sz w:val="21"/>
                      <w:szCs w:val="21"/>
                      <w:lang w:eastAsia="zh-CN"/>
                    </w:rPr>
                    <w:t>套</w:t>
                  </w:r>
                </w:p>
              </w:tc>
              <w:tc>
                <w:tcPr>
                  <w:tcW w:w="825" w:type="dxa"/>
                  <w:tcBorders>
                    <w:tl2br w:val="nil"/>
                    <w:tr2bl w:val="nil"/>
                  </w:tcBorders>
                  <w:noWrap w:val="0"/>
                  <w:vAlign w:val="center"/>
                </w:tcPr>
                <w:p w14:paraId="6B5445AC">
                  <w:pPr>
                    <w:keepNext w:val="0"/>
                    <w:keepLines w:val="0"/>
                    <w:pageBreakBefore w:val="0"/>
                    <w:widowControl w:val="0"/>
                    <w:wordWrap/>
                    <w:bidi w:val="0"/>
                    <w:adjustRightInd w:val="0"/>
                    <w:snapToGrid w:val="0"/>
                    <w:spacing w:line="240" w:lineRule="auto"/>
                    <w:jc w:val="center"/>
                    <w:rPr>
                      <w:rFonts w:hint="default" w:cs="Times New Roman"/>
                      <w:color w:val="0000FF"/>
                      <w:sz w:val="21"/>
                      <w:szCs w:val="21"/>
                      <w:lang w:val="en-US" w:eastAsia="zh-CN"/>
                    </w:rPr>
                  </w:pPr>
                  <w:r>
                    <w:rPr>
                      <w:rFonts w:hint="eastAsia" w:cs="Times New Roman"/>
                      <w:color w:val="0000FF"/>
                      <w:sz w:val="21"/>
                      <w:szCs w:val="21"/>
                      <w:lang w:val="en-US" w:eastAsia="zh-CN"/>
                    </w:rPr>
                    <w:t>1</w:t>
                  </w:r>
                </w:p>
              </w:tc>
              <w:tc>
                <w:tcPr>
                  <w:tcW w:w="1559" w:type="dxa"/>
                  <w:tcBorders>
                    <w:tl2br w:val="nil"/>
                    <w:tr2bl w:val="nil"/>
                  </w:tcBorders>
                  <w:noWrap w:val="0"/>
                  <w:vAlign w:val="center"/>
                </w:tcPr>
                <w:p w14:paraId="619A29D5">
                  <w:pPr>
                    <w:keepNext w:val="0"/>
                    <w:keepLines w:val="0"/>
                    <w:pageBreakBefore w:val="0"/>
                    <w:widowControl w:val="0"/>
                    <w:wordWrap/>
                    <w:bidi w:val="0"/>
                    <w:adjustRightInd w:val="0"/>
                    <w:snapToGrid w:val="0"/>
                    <w:spacing w:line="240" w:lineRule="auto"/>
                    <w:jc w:val="center"/>
                    <w:rPr>
                      <w:rFonts w:hint="eastAsia" w:ascii="Times New Roman" w:hAnsi="Times New Roman" w:eastAsia="宋体" w:cs="Times New Roman"/>
                      <w:color w:val="0000FF"/>
                      <w:sz w:val="21"/>
                      <w:szCs w:val="21"/>
                      <w:lang w:val="en-US" w:eastAsia="zh-CN"/>
                    </w:rPr>
                  </w:pPr>
                </w:p>
              </w:tc>
            </w:tr>
            <w:tr w14:paraId="1FE64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l2br w:val="nil"/>
                    <w:tr2bl w:val="nil"/>
                  </w:tcBorders>
                  <w:noWrap w:val="0"/>
                  <w:vAlign w:val="center"/>
                </w:tcPr>
                <w:p w14:paraId="7E26F924">
                  <w:pPr>
                    <w:keepNext w:val="0"/>
                    <w:keepLines w:val="0"/>
                    <w:pageBreakBefore w:val="0"/>
                    <w:widowControl w:val="0"/>
                    <w:wordWrap/>
                    <w:bidi w:val="0"/>
                    <w:adjustRightInd w:val="0"/>
                    <w:snapToGrid w:val="0"/>
                    <w:spacing w:line="240" w:lineRule="auto"/>
                    <w:jc w:val="center"/>
                    <w:rPr>
                      <w:rFonts w:hint="default" w:cs="Times New Roman"/>
                      <w:color w:val="0000FF"/>
                      <w:sz w:val="21"/>
                      <w:szCs w:val="21"/>
                      <w:lang w:val="en-US" w:eastAsia="zh-CN"/>
                    </w:rPr>
                  </w:pPr>
                  <w:r>
                    <w:rPr>
                      <w:rFonts w:hint="eastAsia" w:cs="Times New Roman"/>
                      <w:color w:val="0000FF"/>
                      <w:sz w:val="21"/>
                      <w:szCs w:val="21"/>
                      <w:lang w:val="en-US" w:eastAsia="zh-CN"/>
                    </w:rPr>
                    <w:t>7</w:t>
                  </w:r>
                </w:p>
              </w:tc>
              <w:tc>
                <w:tcPr>
                  <w:tcW w:w="1621" w:type="dxa"/>
                  <w:tcBorders>
                    <w:tl2br w:val="nil"/>
                    <w:tr2bl w:val="nil"/>
                  </w:tcBorders>
                  <w:noWrap w:val="0"/>
                  <w:vAlign w:val="center"/>
                </w:tcPr>
                <w:p w14:paraId="696888E8">
                  <w:pPr>
                    <w:keepNext w:val="0"/>
                    <w:keepLines w:val="0"/>
                    <w:pageBreakBefore w:val="0"/>
                    <w:widowControl w:val="0"/>
                    <w:wordWrap/>
                    <w:bidi w:val="0"/>
                    <w:adjustRightInd w:val="0"/>
                    <w:snapToGrid w:val="0"/>
                    <w:spacing w:line="240" w:lineRule="auto"/>
                    <w:jc w:val="center"/>
                    <w:rPr>
                      <w:rFonts w:hint="eastAsia" w:cs="Times New Roman"/>
                      <w:color w:val="0000FF"/>
                      <w:sz w:val="21"/>
                      <w:szCs w:val="21"/>
                      <w:lang w:eastAsia="zh-CN"/>
                    </w:rPr>
                  </w:pPr>
                  <w:r>
                    <w:rPr>
                      <w:rFonts w:hint="eastAsia" w:cs="Times New Roman"/>
                      <w:color w:val="0000FF"/>
                      <w:sz w:val="21"/>
                      <w:szCs w:val="21"/>
                      <w:lang w:eastAsia="zh-CN"/>
                    </w:rPr>
                    <w:t>三次油气回收系统</w:t>
                  </w:r>
                </w:p>
              </w:tc>
              <w:tc>
                <w:tcPr>
                  <w:tcW w:w="3045" w:type="dxa"/>
                  <w:tcBorders>
                    <w:tl2br w:val="nil"/>
                    <w:tr2bl w:val="nil"/>
                  </w:tcBorders>
                  <w:noWrap w:val="0"/>
                  <w:vAlign w:val="center"/>
                </w:tcPr>
                <w:p w14:paraId="2A2231C7">
                  <w:pPr>
                    <w:keepNext w:val="0"/>
                    <w:keepLines w:val="0"/>
                    <w:pageBreakBefore w:val="0"/>
                    <w:widowControl w:val="0"/>
                    <w:wordWrap/>
                    <w:bidi w:val="0"/>
                    <w:adjustRightInd w:val="0"/>
                    <w:snapToGrid w:val="0"/>
                    <w:spacing w:line="240" w:lineRule="auto"/>
                    <w:jc w:val="center"/>
                    <w:rPr>
                      <w:rFonts w:hint="eastAsia" w:cs="Times New Roman"/>
                      <w:color w:val="0000FF"/>
                      <w:sz w:val="21"/>
                      <w:szCs w:val="21"/>
                      <w:lang w:val="en-US" w:eastAsia="zh-CN"/>
                    </w:rPr>
                  </w:pPr>
                  <w:r>
                    <w:rPr>
                      <w:rFonts w:hint="eastAsia" w:cs="Times New Roman"/>
                      <w:color w:val="0000FF"/>
                      <w:sz w:val="21"/>
                      <w:szCs w:val="21"/>
                      <w:lang w:val="en-US" w:eastAsia="zh-CN"/>
                    </w:rPr>
                    <w:t>冷凝+膜分离</w:t>
                  </w:r>
                </w:p>
              </w:tc>
              <w:tc>
                <w:tcPr>
                  <w:tcW w:w="660" w:type="dxa"/>
                  <w:tcBorders>
                    <w:tl2br w:val="nil"/>
                    <w:tr2bl w:val="nil"/>
                  </w:tcBorders>
                  <w:noWrap w:val="0"/>
                  <w:vAlign w:val="center"/>
                </w:tcPr>
                <w:p w14:paraId="017B67FE">
                  <w:pPr>
                    <w:keepNext w:val="0"/>
                    <w:keepLines w:val="0"/>
                    <w:pageBreakBefore w:val="0"/>
                    <w:widowControl w:val="0"/>
                    <w:wordWrap/>
                    <w:bidi w:val="0"/>
                    <w:adjustRightInd w:val="0"/>
                    <w:snapToGrid w:val="0"/>
                    <w:spacing w:line="240" w:lineRule="auto"/>
                    <w:jc w:val="center"/>
                    <w:rPr>
                      <w:rFonts w:hint="default" w:cs="Times New Roman"/>
                      <w:color w:val="0000FF"/>
                      <w:sz w:val="21"/>
                      <w:szCs w:val="21"/>
                      <w:lang w:val="en-US" w:eastAsia="zh-CN"/>
                    </w:rPr>
                  </w:pPr>
                  <w:r>
                    <w:rPr>
                      <w:rFonts w:hint="eastAsia" w:cs="Times New Roman"/>
                      <w:color w:val="0000FF"/>
                      <w:sz w:val="21"/>
                      <w:szCs w:val="21"/>
                      <w:lang w:val="en-US" w:eastAsia="zh-CN"/>
                    </w:rPr>
                    <w:t>套</w:t>
                  </w:r>
                </w:p>
              </w:tc>
              <w:tc>
                <w:tcPr>
                  <w:tcW w:w="825" w:type="dxa"/>
                  <w:tcBorders>
                    <w:tl2br w:val="nil"/>
                    <w:tr2bl w:val="nil"/>
                  </w:tcBorders>
                  <w:noWrap w:val="0"/>
                  <w:vAlign w:val="center"/>
                </w:tcPr>
                <w:p w14:paraId="07AA3CC4">
                  <w:pPr>
                    <w:keepNext w:val="0"/>
                    <w:keepLines w:val="0"/>
                    <w:pageBreakBefore w:val="0"/>
                    <w:widowControl w:val="0"/>
                    <w:wordWrap/>
                    <w:bidi w:val="0"/>
                    <w:adjustRightInd w:val="0"/>
                    <w:snapToGrid w:val="0"/>
                    <w:spacing w:line="240" w:lineRule="auto"/>
                    <w:jc w:val="center"/>
                    <w:rPr>
                      <w:rFonts w:hint="default" w:cs="Times New Roman"/>
                      <w:color w:val="0000FF"/>
                      <w:sz w:val="21"/>
                      <w:szCs w:val="21"/>
                      <w:lang w:val="en-US" w:eastAsia="zh-CN"/>
                    </w:rPr>
                  </w:pPr>
                  <w:r>
                    <w:rPr>
                      <w:rFonts w:hint="eastAsia" w:cs="Times New Roman"/>
                      <w:color w:val="0000FF"/>
                      <w:sz w:val="21"/>
                      <w:szCs w:val="21"/>
                      <w:lang w:val="en-US" w:eastAsia="zh-CN"/>
                    </w:rPr>
                    <w:t>1</w:t>
                  </w:r>
                </w:p>
              </w:tc>
              <w:tc>
                <w:tcPr>
                  <w:tcW w:w="1559" w:type="dxa"/>
                  <w:tcBorders>
                    <w:tl2br w:val="nil"/>
                    <w:tr2bl w:val="nil"/>
                  </w:tcBorders>
                  <w:noWrap w:val="0"/>
                  <w:vAlign w:val="center"/>
                </w:tcPr>
                <w:p w14:paraId="42AF3D43">
                  <w:pPr>
                    <w:keepNext w:val="0"/>
                    <w:keepLines w:val="0"/>
                    <w:pageBreakBefore w:val="0"/>
                    <w:widowControl w:val="0"/>
                    <w:wordWrap/>
                    <w:bidi w:val="0"/>
                    <w:adjustRightInd w:val="0"/>
                    <w:snapToGrid w:val="0"/>
                    <w:spacing w:line="240" w:lineRule="auto"/>
                    <w:jc w:val="center"/>
                    <w:rPr>
                      <w:rFonts w:hint="eastAsia" w:ascii="Times New Roman" w:hAnsi="Times New Roman" w:eastAsia="宋体" w:cs="Times New Roman"/>
                      <w:color w:val="0000FF"/>
                      <w:sz w:val="21"/>
                      <w:szCs w:val="21"/>
                      <w:lang w:val="en-US" w:eastAsia="zh-CN"/>
                    </w:rPr>
                  </w:pPr>
                </w:p>
              </w:tc>
            </w:tr>
          </w:tbl>
          <w:p w14:paraId="7DB0AE6E">
            <w:pPr>
              <w:keepNext w:val="0"/>
              <w:keepLines w:val="0"/>
              <w:pageBreakBefore w:val="0"/>
              <w:widowControl w:val="0"/>
              <w:numPr>
                <w:ilvl w:val="0"/>
                <w:numId w:val="0"/>
              </w:numPr>
              <w:kinsoku/>
              <w:wordWrap/>
              <w:overflowPunct/>
              <w:topLinePunct/>
              <w:autoSpaceDE/>
              <w:autoSpaceDN/>
              <w:bidi w:val="0"/>
              <w:adjustRightInd w:val="0"/>
              <w:snapToGrid w:val="0"/>
              <w:spacing w:before="0" w:beforeLines="50" w:line="360" w:lineRule="auto"/>
              <w:ind w:left="0" w:leftChars="0" w:right="0" w:rightChars="0"/>
              <w:jc w:val="left"/>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2.</w:t>
            </w:r>
            <w:r>
              <w:rPr>
                <w:rFonts w:hint="eastAsia" w:cs="Times New Roman"/>
                <w:b/>
                <w:bCs w:val="0"/>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原辅材料及能源</w:t>
            </w:r>
          </w:p>
          <w:p w14:paraId="2D1D7287">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2" w:firstLineChars="200"/>
              <w:jc w:val="left"/>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1.原辅材料</w:t>
            </w:r>
          </w:p>
          <w:p w14:paraId="21F817D4">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本项目完成后正常运营</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时，原辅料</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消耗量</w:t>
            </w:r>
            <w:r>
              <w:rPr>
                <w:rFonts w:hint="default" w:ascii="Times New Roman" w:hAnsi="Times New Roman" w:eastAsia="宋体" w:cs="Times New Roman"/>
                <w:color w:val="000000" w:themeColor="text1"/>
                <w:kern w:val="0"/>
                <w:sz w:val="24"/>
                <w:szCs w:val="24"/>
                <w14:textFill>
                  <w14:solidFill>
                    <w14:schemeClr w14:val="tx1"/>
                  </w14:solidFill>
                </w14:textFill>
              </w:rPr>
              <w:t>具体见表</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2-3；原辅材料理化性质见表2-4</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6456EDE5">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
                <w:color w:val="000000" w:themeColor="text1"/>
                <w:sz w:val="21"/>
                <w:szCs w:val="21"/>
                <w14:textFill>
                  <w14:solidFill>
                    <w14:schemeClr w14:val="tx1"/>
                  </w14:solidFill>
                </w14:textFill>
              </w:rPr>
              <w:t xml:space="preserve">  原辅材料消耗</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一览表</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80"/>
              <w:gridCol w:w="4723"/>
              <w:gridCol w:w="2487"/>
            </w:tblGrid>
            <w:tr w14:paraId="29E76D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703" w:type="pct"/>
                  <w:noWrap w:val="0"/>
                  <w:vAlign w:val="center"/>
                </w:tcPr>
                <w:p w14:paraId="111CAE9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bCs/>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序号</w:t>
                  </w:r>
                </w:p>
              </w:tc>
              <w:tc>
                <w:tcPr>
                  <w:tcW w:w="2814" w:type="pct"/>
                  <w:noWrap w:val="0"/>
                  <w:vAlign w:val="center"/>
                </w:tcPr>
                <w:p w14:paraId="5F5DD64D">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原辅材料名称</w:t>
                  </w:r>
                </w:p>
              </w:tc>
              <w:tc>
                <w:tcPr>
                  <w:tcW w:w="1482" w:type="pct"/>
                  <w:noWrap w:val="0"/>
                  <w:vAlign w:val="center"/>
                </w:tcPr>
                <w:p w14:paraId="1D6AC5F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年耗量</w:t>
                  </w:r>
                </w:p>
              </w:tc>
            </w:tr>
            <w:tr w14:paraId="2D0568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703" w:type="pct"/>
                  <w:noWrap w:val="0"/>
                  <w:vAlign w:val="center"/>
                </w:tcPr>
                <w:p w14:paraId="38D4337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1</w:t>
                  </w:r>
                </w:p>
              </w:tc>
              <w:tc>
                <w:tcPr>
                  <w:tcW w:w="2814" w:type="pct"/>
                  <w:noWrap w:val="0"/>
                  <w:vAlign w:val="center"/>
                </w:tcPr>
                <w:p w14:paraId="31FF2B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汽油</w:t>
                  </w:r>
                </w:p>
              </w:tc>
              <w:tc>
                <w:tcPr>
                  <w:tcW w:w="2487" w:type="dxa"/>
                  <w:noWrap w:val="0"/>
                  <w:vAlign w:val="center"/>
                </w:tcPr>
                <w:p w14:paraId="651935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3000</w:t>
                  </w: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t/a</w:t>
                  </w:r>
                </w:p>
              </w:tc>
            </w:tr>
            <w:tr w14:paraId="54C12E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8" w:hRule="atLeast"/>
                <w:jc w:val="center"/>
              </w:trPr>
              <w:tc>
                <w:tcPr>
                  <w:tcW w:w="703" w:type="pct"/>
                  <w:noWrap w:val="0"/>
                  <w:vAlign w:val="center"/>
                </w:tcPr>
                <w:p w14:paraId="511DAFDD">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2</w:t>
                  </w:r>
                </w:p>
              </w:tc>
              <w:tc>
                <w:tcPr>
                  <w:tcW w:w="2814" w:type="pct"/>
                  <w:noWrap w:val="0"/>
                  <w:vAlign w:val="center"/>
                </w:tcPr>
                <w:p w14:paraId="080E46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柴油</w:t>
                  </w:r>
                </w:p>
              </w:tc>
              <w:tc>
                <w:tcPr>
                  <w:tcW w:w="2487" w:type="dxa"/>
                  <w:noWrap w:val="0"/>
                  <w:vAlign w:val="center"/>
                </w:tcPr>
                <w:p w14:paraId="58E1DA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1000t/a</w:t>
                  </w:r>
                </w:p>
              </w:tc>
            </w:tr>
          </w:tbl>
          <w:p w14:paraId="4687DC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leftChars="0" w:right="0" w:firstLine="460" w:firstLineChars="192"/>
              <w:textAlignment w:val="auto"/>
              <w:rPr>
                <w:rFonts w:hint="default" w:ascii="Times New Roman" w:hAnsi="Times New Roman" w:eastAsia="宋体" w:cs="Times New Roman"/>
                <w:snapToGrid w:val="0"/>
                <w:color w:val="000000" w:themeColor="text1"/>
                <w:kern w:val="0"/>
                <w:sz w:val="24"/>
                <w:szCs w:val="22"/>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2"/>
                <w:lang w:val="en-US" w:eastAsia="zh-CN"/>
                <w14:textFill>
                  <w14:solidFill>
                    <w14:schemeClr w14:val="tx1"/>
                  </w14:solidFill>
                </w14:textFill>
              </w:rPr>
              <w:t>汽油、柴油及天然气理化性质如下：</w:t>
            </w:r>
          </w:p>
          <w:p w14:paraId="385282BA">
            <w:pPr>
              <w:keepNext w:val="0"/>
              <w:keepLines w:val="0"/>
              <w:pageBreakBefore w:val="0"/>
              <w:widowControl w:val="0"/>
              <w:kinsoku/>
              <w:wordWrap/>
              <w:overflowPunct/>
              <w:topLinePunct w:val="0"/>
              <w:autoSpaceDE/>
              <w:autoSpaceDN/>
              <w:bidi w:val="0"/>
              <w:adjustRightInd w:val="0"/>
              <w:snapToGrid w:val="0"/>
              <w:spacing w:before="157" w:beforeLines="50"/>
              <w:ind w:firstLine="0" w:firstLineChars="0"/>
              <w:jc w:val="center"/>
              <w:textAlignment w:val="auto"/>
              <w:rPr>
                <w:rFonts w:hint="default" w:ascii="Times New Roman" w:hAnsi="Times New Roman" w:eastAsia="宋体" w:cs="Times New Roman"/>
                <w:b/>
                <w:bCs/>
                <w:color w:val="000000" w:themeColor="text1"/>
                <w:spacing w:val="6"/>
                <w:sz w:val="21"/>
                <w:szCs w:val="21"/>
                <w14:textFill>
                  <w14:solidFill>
                    <w14:schemeClr w14:val="tx1"/>
                  </w14:solidFill>
                </w14:textFill>
              </w:rPr>
            </w:pPr>
            <w:r>
              <w:rPr>
                <w:rFonts w:hint="default" w:ascii="Times New Roman" w:hAnsi="Times New Roman" w:eastAsia="宋体" w:cs="Times New Roman"/>
                <w:b/>
                <w:bCs/>
                <w:color w:val="000000" w:themeColor="text1"/>
                <w:spacing w:val="6"/>
                <w:sz w:val="21"/>
                <w:szCs w:val="21"/>
                <w14:textFill>
                  <w14:solidFill>
                    <w14:schemeClr w14:val="tx1"/>
                  </w14:solidFill>
                </w14:textFill>
              </w:rPr>
              <w:t>表</w:t>
            </w:r>
            <w:r>
              <w:rPr>
                <w:rFonts w:hint="eastAsia" w:ascii="Times New Roman" w:hAnsi="Times New Roman" w:eastAsia="宋体" w:cs="Times New Roman"/>
                <w:b/>
                <w:bCs/>
                <w:color w:val="000000" w:themeColor="text1"/>
                <w:spacing w:val="6"/>
                <w:sz w:val="21"/>
                <w:szCs w:val="21"/>
                <w:lang w:val="en-US" w:eastAsia="zh-CN"/>
                <w14:textFill>
                  <w14:solidFill>
                    <w14:schemeClr w14:val="tx1"/>
                  </w14:solidFill>
                </w14:textFill>
              </w:rPr>
              <w:t>2-4</w:t>
            </w:r>
            <w:r>
              <w:rPr>
                <w:rFonts w:hint="default" w:ascii="Times New Roman" w:hAnsi="Times New Roman" w:eastAsia="宋体" w:cs="Times New Roman"/>
                <w:b/>
                <w:bCs/>
                <w:color w:val="000000" w:themeColor="text1"/>
                <w:spacing w:val="6"/>
                <w:sz w:val="21"/>
                <w:szCs w:val="21"/>
                <w14:textFill>
                  <w14:solidFill>
                    <w14:schemeClr w14:val="tx1"/>
                  </w14:solidFill>
                </w14:textFill>
              </w:rPr>
              <w:t xml:space="preserve">  汽油的理化性质和危险特性</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2558"/>
              <w:gridCol w:w="685"/>
              <w:gridCol w:w="1490"/>
              <w:gridCol w:w="425"/>
              <w:gridCol w:w="1741"/>
            </w:tblGrid>
            <w:tr w14:paraId="5A3BE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tcBorders>
                    <w:tl2br w:val="nil"/>
                    <w:tr2bl w:val="nil"/>
                  </w:tcBorders>
                  <w:noWrap w:val="0"/>
                  <w:vAlign w:val="center"/>
                </w:tcPr>
                <w:p w14:paraId="324FC9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第一部分危险性概述</w:t>
                  </w:r>
                </w:p>
              </w:tc>
            </w:tr>
            <w:tr w14:paraId="3E11C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278507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危险性类别</w:t>
                  </w:r>
                </w:p>
              </w:tc>
              <w:tc>
                <w:tcPr>
                  <w:tcW w:w="1932" w:type="pct"/>
                  <w:gridSpan w:val="2"/>
                  <w:tcBorders>
                    <w:tl2br w:val="nil"/>
                    <w:tr2bl w:val="nil"/>
                  </w:tcBorders>
                  <w:noWrap w:val="0"/>
                  <w:vAlign w:val="center"/>
                </w:tcPr>
                <w:p w14:paraId="5014A8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第3.1类低闪点易燃液体</w:t>
                  </w:r>
                </w:p>
              </w:tc>
              <w:tc>
                <w:tcPr>
                  <w:tcW w:w="888" w:type="pct"/>
                  <w:tcBorders>
                    <w:tl2br w:val="nil"/>
                    <w:tr2bl w:val="nil"/>
                  </w:tcBorders>
                  <w:noWrap w:val="0"/>
                  <w:vAlign w:val="center"/>
                </w:tcPr>
                <w:p w14:paraId="49572F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燃爆危险</w:t>
                  </w:r>
                </w:p>
              </w:tc>
              <w:tc>
                <w:tcPr>
                  <w:tcW w:w="1287" w:type="pct"/>
                  <w:gridSpan w:val="2"/>
                  <w:tcBorders>
                    <w:tl2br w:val="nil"/>
                    <w:tr2bl w:val="nil"/>
                  </w:tcBorders>
                  <w:noWrap w:val="0"/>
                  <w:vAlign w:val="center"/>
                </w:tcPr>
                <w:p w14:paraId="41F62B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易燃</w:t>
                  </w:r>
                </w:p>
              </w:tc>
            </w:tr>
            <w:tr w14:paraId="2D59C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7F45D6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侵入途径</w:t>
                  </w:r>
                </w:p>
              </w:tc>
              <w:tc>
                <w:tcPr>
                  <w:tcW w:w="1932" w:type="pct"/>
                  <w:gridSpan w:val="2"/>
                  <w:tcBorders>
                    <w:tl2br w:val="nil"/>
                    <w:tr2bl w:val="nil"/>
                  </w:tcBorders>
                  <w:noWrap w:val="0"/>
                  <w:vAlign w:val="center"/>
                </w:tcPr>
                <w:p w14:paraId="72E2D2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吸入、食入、经皮吸收</w:t>
                  </w:r>
                </w:p>
              </w:tc>
              <w:tc>
                <w:tcPr>
                  <w:tcW w:w="888" w:type="pct"/>
                  <w:tcBorders>
                    <w:tl2br w:val="nil"/>
                    <w:tr2bl w:val="nil"/>
                  </w:tcBorders>
                  <w:noWrap w:val="0"/>
                  <w:vAlign w:val="center"/>
                </w:tcPr>
                <w:p w14:paraId="6EBA24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有害燃烧产物</w:t>
                  </w:r>
                </w:p>
              </w:tc>
              <w:tc>
                <w:tcPr>
                  <w:tcW w:w="1287" w:type="pct"/>
                  <w:gridSpan w:val="2"/>
                  <w:tcBorders>
                    <w:tl2br w:val="nil"/>
                    <w:tr2bl w:val="nil"/>
                  </w:tcBorders>
                  <w:noWrap w:val="0"/>
                  <w:vAlign w:val="center"/>
                </w:tcPr>
                <w:p w14:paraId="6B78E6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一氧化碳、二氧化碳</w:t>
                  </w:r>
                </w:p>
              </w:tc>
            </w:tr>
            <w:tr w14:paraId="756AA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44FD45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健康危害</w:t>
                  </w:r>
                </w:p>
              </w:tc>
              <w:tc>
                <w:tcPr>
                  <w:tcW w:w="4109" w:type="pct"/>
                  <w:gridSpan w:val="5"/>
                  <w:tcBorders>
                    <w:tl2br w:val="nil"/>
                    <w:tr2bl w:val="nil"/>
                  </w:tcBorders>
                  <w:noWrap w:val="0"/>
                  <w:vAlign w:val="center"/>
                </w:tcPr>
                <w:p w14:paraId="451DFACE">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主要作用于中枢神经系统，急性中毒症状有头晕、头痛、恶心、呕吐、步态不稳、共济失调。高浓度吸入出现中毒性脑病。极高浓度吸入引起意识突然丧失，反射性呼吸停止及化学性肺炎。可致角膜溃疡、穿孔</w:t>
                  </w:r>
                  <w:r>
                    <w:rPr>
                      <w:rFonts w:hint="eastAsia" w:ascii="Times New Roman" w:hAnsi="Times New Roman" w:cs="Times New Roman"/>
                      <w:color w:val="000000" w:themeColor="text1"/>
                      <w:sz w:val="21"/>
                      <w:szCs w:val="21"/>
                      <w:lang w:eastAsia="zh-CN"/>
                      <w14:textFill>
                        <w14:solidFill>
                          <w14:schemeClr w14:val="tx1"/>
                        </w14:solidFill>
                      </w14:textFill>
                    </w:rPr>
                    <w:t>，甚至</w:t>
                  </w:r>
                  <w:r>
                    <w:rPr>
                      <w:rFonts w:hint="default" w:ascii="Times New Roman" w:hAnsi="Times New Roman" w:eastAsia="宋体" w:cs="Times New Roman"/>
                      <w:color w:val="000000" w:themeColor="text1"/>
                      <w:sz w:val="21"/>
                      <w:szCs w:val="21"/>
                      <w14:textFill>
                        <w14:solidFill>
                          <w14:schemeClr w14:val="tx1"/>
                        </w14:solidFill>
                      </w14:textFill>
                    </w:rPr>
                    <w:t>失明。皮肤接触致急性接触性皮炎或过敏性皮炎。急性经口中毒引起急性胃肠炎，重者出现类似急性吸入中毒症状。慢性中毒：神经衰弱综合症，周围神经病，皮肤损害。</w:t>
                  </w:r>
                </w:p>
              </w:tc>
            </w:tr>
            <w:tr w14:paraId="4F303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2CF28E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环境危害</w:t>
                  </w:r>
                </w:p>
              </w:tc>
              <w:tc>
                <w:tcPr>
                  <w:tcW w:w="4109" w:type="pct"/>
                  <w:gridSpan w:val="5"/>
                  <w:tcBorders>
                    <w:tl2br w:val="nil"/>
                    <w:tr2bl w:val="nil"/>
                  </w:tcBorders>
                  <w:noWrap w:val="0"/>
                  <w:vAlign w:val="center"/>
                </w:tcPr>
                <w:p w14:paraId="07945C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该物质对环境有危害，应特别注意对地表水、土壤、大气和饮用水的污染。</w:t>
                  </w:r>
                </w:p>
              </w:tc>
            </w:tr>
            <w:tr w14:paraId="63884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tcBorders>
                    <w:tl2br w:val="nil"/>
                    <w:tr2bl w:val="nil"/>
                  </w:tcBorders>
                  <w:noWrap w:val="0"/>
                  <w:vAlign w:val="center"/>
                </w:tcPr>
                <w:p w14:paraId="00E8F7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第二部分理化特性</w:t>
                  </w:r>
                </w:p>
              </w:tc>
            </w:tr>
            <w:tr w14:paraId="63B2F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4CBED3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外观及性状</w:t>
                  </w:r>
                </w:p>
              </w:tc>
              <w:tc>
                <w:tcPr>
                  <w:tcW w:w="4109" w:type="pct"/>
                  <w:gridSpan w:val="5"/>
                  <w:tcBorders>
                    <w:tl2br w:val="nil"/>
                    <w:tr2bl w:val="nil"/>
                  </w:tcBorders>
                  <w:noWrap w:val="0"/>
                  <w:vAlign w:val="center"/>
                </w:tcPr>
                <w:p w14:paraId="739CD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无色或淡黄色易挥发液体，具有特殊臭味。</w:t>
                  </w:r>
                </w:p>
              </w:tc>
            </w:tr>
            <w:tr w14:paraId="16A90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172503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熔点（℃）</w:t>
                  </w:r>
                </w:p>
              </w:tc>
              <w:tc>
                <w:tcPr>
                  <w:tcW w:w="1524" w:type="pct"/>
                  <w:tcBorders>
                    <w:tl2br w:val="nil"/>
                    <w:tr2bl w:val="nil"/>
                  </w:tcBorders>
                  <w:noWrap w:val="0"/>
                  <w:vAlign w:val="center"/>
                </w:tcPr>
                <w:p w14:paraId="2B11F8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&lt;-60</w:t>
                  </w:r>
                </w:p>
              </w:tc>
              <w:tc>
                <w:tcPr>
                  <w:tcW w:w="1549" w:type="pct"/>
                  <w:gridSpan w:val="3"/>
                  <w:tcBorders>
                    <w:tl2br w:val="nil"/>
                    <w:tr2bl w:val="nil"/>
                  </w:tcBorders>
                  <w:noWrap w:val="0"/>
                  <w:vAlign w:val="center"/>
                </w:tcPr>
                <w:p w14:paraId="598F89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相对密度（水＝1）</w:t>
                  </w:r>
                </w:p>
              </w:tc>
              <w:tc>
                <w:tcPr>
                  <w:tcW w:w="1035" w:type="pct"/>
                  <w:tcBorders>
                    <w:tl2br w:val="nil"/>
                    <w:tr2bl w:val="nil"/>
                  </w:tcBorders>
                  <w:noWrap w:val="0"/>
                  <w:vAlign w:val="center"/>
                </w:tcPr>
                <w:p w14:paraId="203703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0.70～0.79</w:t>
                  </w:r>
                </w:p>
              </w:tc>
            </w:tr>
            <w:tr w14:paraId="43DA3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001951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闪点（℃）</w:t>
                  </w:r>
                </w:p>
              </w:tc>
              <w:tc>
                <w:tcPr>
                  <w:tcW w:w="1524" w:type="pct"/>
                  <w:tcBorders>
                    <w:tl2br w:val="nil"/>
                    <w:tr2bl w:val="nil"/>
                  </w:tcBorders>
                  <w:noWrap w:val="0"/>
                  <w:vAlign w:val="center"/>
                </w:tcPr>
                <w:p w14:paraId="0F33FE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1549" w:type="pct"/>
                  <w:gridSpan w:val="3"/>
                  <w:tcBorders>
                    <w:tl2br w:val="nil"/>
                    <w:tr2bl w:val="nil"/>
                  </w:tcBorders>
                  <w:noWrap w:val="0"/>
                  <w:vAlign w:val="center"/>
                </w:tcPr>
                <w:p w14:paraId="71F219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相对密度（空气=1）</w:t>
                  </w:r>
                </w:p>
              </w:tc>
              <w:tc>
                <w:tcPr>
                  <w:tcW w:w="1035" w:type="pct"/>
                  <w:tcBorders>
                    <w:tl2br w:val="nil"/>
                    <w:tr2bl w:val="nil"/>
                  </w:tcBorders>
                  <w:noWrap w:val="0"/>
                  <w:vAlign w:val="center"/>
                </w:tcPr>
                <w:p w14:paraId="598A97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r>
            <w:tr w14:paraId="56E40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01FEFA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引燃温度（℃）</w:t>
                  </w:r>
                </w:p>
              </w:tc>
              <w:tc>
                <w:tcPr>
                  <w:tcW w:w="1524" w:type="pct"/>
                  <w:tcBorders>
                    <w:tl2br w:val="nil"/>
                    <w:tr2bl w:val="nil"/>
                  </w:tcBorders>
                  <w:noWrap w:val="0"/>
                  <w:vAlign w:val="center"/>
                </w:tcPr>
                <w:p w14:paraId="6E599B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415～530</w:t>
                  </w:r>
                </w:p>
              </w:tc>
              <w:tc>
                <w:tcPr>
                  <w:tcW w:w="1549" w:type="pct"/>
                  <w:gridSpan w:val="3"/>
                  <w:tcBorders>
                    <w:tl2br w:val="nil"/>
                    <w:tr2bl w:val="nil"/>
                  </w:tcBorders>
                  <w:noWrap w:val="0"/>
                  <w:vAlign w:val="center"/>
                </w:tcPr>
                <w:p w14:paraId="0AD68A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爆炸上限％（V/V）</w:t>
                  </w:r>
                </w:p>
              </w:tc>
              <w:tc>
                <w:tcPr>
                  <w:tcW w:w="1035" w:type="pct"/>
                  <w:tcBorders>
                    <w:tl2br w:val="nil"/>
                    <w:tr2bl w:val="nil"/>
                  </w:tcBorders>
                  <w:noWrap w:val="0"/>
                  <w:vAlign w:val="center"/>
                </w:tcPr>
                <w:p w14:paraId="5CB49E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r w14:paraId="0E09B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464E9F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沸点（℃）</w:t>
                  </w:r>
                </w:p>
              </w:tc>
              <w:tc>
                <w:tcPr>
                  <w:tcW w:w="1524" w:type="pct"/>
                  <w:tcBorders>
                    <w:tl2br w:val="nil"/>
                    <w:tr2bl w:val="nil"/>
                  </w:tcBorders>
                  <w:noWrap w:val="0"/>
                  <w:vAlign w:val="center"/>
                </w:tcPr>
                <w:p w14:paraId="3DBA37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40～200</w:t>
                  </w:r>
                </w:p>
              </w:tc>
              <w:tc>
                <w:tcPr>
                  <w:tcW w:w="1549" w:type="pct"/>
                  <w:gridSpan w:val="3"/>
                  <w:tcBorders>
                    <w:tl2br w:val="nil"/>
                    <w:tr2bl w:val="nil"/>
                  </w:tcBorders>
                  <w:noWrap w:val="0"/>
                  <w:vAlign w:val="center"/>
                </w:tcPr>
                <w:p w14:paraId="6342B5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爆炸下限％（V/V）</w:t>
                  </w:r>
                </w:p>
              </w:tc>
              <w:tc>
                <w:tcPr>
                  <w:tcW w:w="1035" w:type="pct"/>
                  <w:tcBorders>
                    <w:tl2br w:val="nil"/>
                    <w:tr2bl w:val="nil"/>
                  </w:tcBorders>
                  <w:noWrap w:val="0"/>
                  <w:vAlign w:val="center"/>
                </w:tcPr>
                <w:p w14:paraId="29C570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r>
            <w:tr w14:paraId="4D77F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16BFD6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溶解性</w:t>
                  </w:r>
                </w:p>
              </w:tc>
              <w:tc>
                <w:tcPr>
                  <w:tcW w:w="4109" w:type="pct"/>
                  <w:gridSpan w:val="5"/>
                  <w:tcBorders>
                    <w:tl2br w:val="nil"/>
                    <w:tr2bl w:val="nil"/>
                  </w:tcBorders>
                  <w:noWrap w:val="0"/>
                  <w:vAlign w:val="center"/>
                </w:tcPr>
                <w:p w14:paraId="51DE52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不溶于水、易溶于苯、二硫化碳、醇、易溶于脂肪。</w:t>
                  </w:r>
                </w:p>
              </w:tc>
            </w:tr>
            <w:tr w14:paraId="6D186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7F4BAB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主要用途</w:t>
                  </w:r>
                </w:p>
              </w:tc>
              <w:tc>
                <w:tcPr>
                  <w:tcW w:w="4109" w:type="pct"/>
                  <w:gridSpan w:val="5"/>
                  <w:tcBorders>
                    <w:tl2br w:val="nil"/>
                    <w:tr2bl w:val="nil"/>
                  </w:tcBorders>
                  <w:noWrap w:val="0"/>
                  <w:vAlign w:val="center"/>
                </w:tcPr>
                <w:p w14:paraId="0AFEC8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主要用作汽油机的燃料，用于橡胶、制鞋、印刷、制革</w:t>
                  </w:r>
                  <w:r>
                    <w:rPr>
                      <w:rFonts w:hint="eastAsia" w:cs="Times New Roman"/>
                      <w:color w:val="000000" w:themeColor="text1"/>
                      <w:sz w:val="21"/>
                      <w:szCs w:val="21"/>
                      <w:lang w:eastAsia="zh-CN"/>
                      <w14:textFill>
                        <w14:solidFill>
                          <w14:schemeClr w14:val="tx1"/>
                        </w14:solidFill>
                      </w14:textFill>
                    </w:rPr>
                    <w:t>等</w:t>
                  </w:r>
                  <w:r>
                    <w:rPr>
                      <w:rFonts w:hint="default" w:ascii="Times New Roman" w:hAnsi="Times New Roman" w:eastAsia="宋体" w:cs="Times New Roman"/>
                      <w:color w:val="000000" w:themeColor="text1"/>
                      <w:sz w:val="21"/>
                      <w:szCs w:val="21"/>
                      <w14:textFill>
                        <w14:solidFill>
                          <w14:schemeClr w14:val="tx1"/>
                        </w14:solidFill>
                      </w14:textFill>
                    </w:rPr>
                    <w:t>行业，也可用作机械零件的去污剂。</w:t>
                  </w:r>
                </w:p>
              </w:tc>
            </w:tr>
            <w:tr w14:paraId="2228A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tcBorders>
                    <w:tl2br w:val="nil"/>
                    <w:tr2bl w:val="nil"/>
                  </w:tcBorders>
                  <w:noWrap w:val="0"/>
                  <w:vAlign w:val="center"/>
                </w:tcPr>
                <w:p w14:paraId="65DFAD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第三部分稳定性及化学活性</w:t>
                  </w:r>
                </w:p>
              </w:tc>
            </w:tr>
            <w:tr w14:paraId="061AC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4A5160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稳定性</w:t>
                  </w:r>
                </w:p>
              </w:tc>
              <w:tc>
                <w:tcPr>
                  <w:tcW w:w="1524" w:type="pct"/>
                  <w:tcBorders>
                    <w:tl2br w:val="nil"/>
                    <w:tr2bl w:val="nil"/>
                  </w:tcBorders>
                  <w:noWrap w:val="0"/>
                  <w:vAlign w:val="center"/>
                </w:tcPr>
                <w:p w14:paraId="2F1E1B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稳定</w:t>
                  </w:r>
                </w:p>
              </w:tc>
              <w:tc>
                <w:tcPr>
                  <w:tcW w:w="1549" w:type="pct"/>
                  <w:gridSpan w:val="3"/>
                  <w:tcBorders>
                    <w:tl2br w:val="nil"/>
                    <w:tr2bl w:val="nil"/>
                  </w:tcBorders>
                  <w:noWrap w:val="0"/>
                  <w:vAlign w:val="center"/>
                </w:tcPr>
                <w:p w14:paraId="00051E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避免接触的条件</w:t>
                  </w:r>
                </w:p>
              </w:tc>
              <w:tc>
                <w:tcPr>
                  <w:tcW w:w="1035" w:type="pct"/>
                  <w:tcBorders>
                    <w:tl2br w:val="nil"/>
                    <w:tr2bl w:val="nil"/>
                  </w:tcBorders>
                  <w:noWrap w:val="0"/>
                  <w:vAlign w:val="center"/>
                </w:tcPr>
                <w:p w14:paraId="4B412B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明火、高热。</w:t>
                  </w:r>
                </w:p>
              </w:tc>
            </w:tr>
            <w:tr w14:paraId="523B1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18C852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禁配物</w:t>
                  </w:r>
                </w:p>
              </w:tc>
              <w:tc>
                <w:tcPr>
                  <w:tcW w:w="1932" w:type="pct"/>
                  <w:gridSpan w:val="2"/>
                  <w:tcBorders>
                    <w:tl2br w:val="nil"/>
                    <w:tr2bl w:val="nil"/>
                  </w:tcBorders>
                  <w:noWrap w:val="0"/>
                  <w:vAlign w:val="center"/>
                </w:tcPr>
                <w:p w14:paraId="0AF4E2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强氧化剂</w:t>
                  </w:r>
                </w:p>
              </w:tc>
              <w:tc>
                <w:tcPr>
                  <w:tcW w:w="888" w:type="pct"/>
                  <w:tcBorders>
                    <w:tl2br w:val="nil"/>
                    <w:tr2bl w:val="nil"/>
                  </w:tcBorders>
                  <w:noWrap w:val="0"/>
                  <w:vAlign w:val="center"/>
                </w:tcPr>
                <w:p w14:paraId="31845E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聚合危害</w:t>
                  </w:r>
                </w:p>
              </w:tc>
              <w:tc>
                <w:tcPr>
                  <w:tcW w:w="1287" w:type="pct"/>
                  <w:gridSpan w:val="2"/>
                  <w:tcBorders>
                    <w:tl2br w:val="nil"/>
                    <w:tr2bl w:val="nil"/>
                  </w:tcBorders>
                  <w:noWrap w:val="0"/>
                  <w:vAlign w:val="center"/>
                </w:tcPr>
                <w:p w14:paraId="59B2B3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不聚合</w:t>
                  </w:r>
                </w:p>
              </w:tc>
            </w:tr>
            <w:tr w14:paraId="5C2B5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26924D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分解产物</w:t>
                  </w:r>
                </w:p>
              </w:tc>
              <w:tc>
                <w:tcPr>
                  <w:tcW w:w="4109" w:type="pct"/>
                  <w:gridSpan w:val="5"/>
                  <w:tcBorders>
                    <w:tl2br w:val="nil"/>
                    <w:tr2bl w:val="nil"/>
                  </w:tcBorders>
                  <w:noWrap w:val="0"/>
                  <w:vAlign w:val="center"/>
                </w:tcPr>
                <w:p w14:paraId="4D39AA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一氧化碳、二氧化碳。</w:t>
                  </w:r>
                </w:p>
              </w:tc>
            </w:tr>
            <w:tr w14:paraId="056D9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tcBorders>
                    <w:tl2br w:val="nil"/>
                    <w:tr2bl w:val="nil"/>
                  </w:tcBorders>
                  <w:noWrap w:val="0"/>
                  <w:vAlign w:val="center"/>
                </w:tcPr>
                <w:p w14:paraId="79D8C7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第四部分毒理学资料</w:t>
                  </w:r>
                </w:p>
              </w:tc>
            </w:tr>
            <w:tr w14:paraId="27A35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20684B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急性毒性</w:t>
                  </w:r>
                </w:p>
              </w:tc>
              <w:tc>
                <w:tcPr>
                  <w:tcW w:w="4109" w:type="pct"/>
                  <w:gridSpan w:val="5"/>
                  <w:tcBorders>
                    <w:tl2br w:val="nil"/>
                    <w:tr2bl w:val="nil"/>
                  </w:tcBorders>
                  <w:noWrap w:val="0"/>
                  <w:vAlign w:val="center"/>
                </w:tcPr>
                <w:p w14:paraId="43F825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LD50 67000mg/kg（小鼠经口），（120号溶剂汽油）</w:t>
                  </w:r>
                </w:p>
                <w:p w14:paraId="64EF8B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LC50  103000mg/m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小鼠，2小时（120号溶剂汽油）</w:t>
                  </w:r>
                </w:p>
              </w:tc>
            </w:tr>
            <w:tr w14:paraId="091F5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714795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急性中毒</w:t>
                  </w:r>
                </w:p>
              </w:tc>
              <w:tc>
                <w:tcPr>
                  <w:tcW w:w="4109" w:type="pct"/>
                  <w:gridSpan w:val="5"/>
                  <w:tcBorders>
                    <w:tl2br w:val="nil"/>
                    <w:tr2bl w:val="nil"/>
                  </w:tcBorders>
                  <w:noWrap w:val="0"/>
                  <w:vAlign w:val="center"/>
                </w:tcPr>
                <w:p w14:paraId="2F1088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浓度吸入出现中毒性脑病。极高浓度吸入引起意识突然丧失、反射性呼吸停止和化学性肺炎。可致角膜溃疡、穿孔，甚至失明。皮肤接触致急性接触性皮炎或过敏性皮炎。急性经口中毒引起急性胃肠炎；重者出现类似急性吸入中毒症状。</w:t>
                  </w:r>
                </w:p>
              </w:tc>
            </w:tr>
            <w:tr w14:paraId="6A88B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2A1862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慢性中毒</w:t>
                  </w:r>
                </w:p>
              </w:tc>
              <w:tc>
                <w:tcPr>
                  <w:tcW w:w="4109" w:type="pct"/>
                  <w:gridSpan w:val="5"/>
                  <w:tcBorders>
                    <w:tl2br w:val="nil"/>
                    <w:tr2bl w:val="nil"/>
                  </w:tcBorders>
                  <w:noWrap w:val="0"/>
                  <w:vAlign w:val="center"/>
                </w:tcPr>
                <w:p w14:paraId="1A564E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神经衰弱综合症，周围神经病，皮肤损害。</w:t>
                  </w:r>
                </w:p>
              </w:tc>
            </w:tr>
            <w:tr w14:paraId="1655E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4C133D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刺激性</w:t>
                  </w:r>
                </w:p>
              </w:tc>
              <w:tc>
                <w:tcPr>
                  <w:tcW w:w="4109" w:type="pct"/>
                  <w:gridSpan w:val="5"/>
                  <w:tcBorders>
                    <w:tl2br w:val="nil"/>
                    <w:tr2bl w:val="nil"/>
                  </w:tcBorders>
                  <w:noWrap w:val="0"/>
                  <w:vAlign w:val="center"/>
                </w:tcPr>
                <w:p w14:paraId="4746F9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人经眼：140ppm（8小时），轻度刺激。</w:t>
                  </w:r>
                </w:p>
              </w:tc>
            </w:tr>
            <w:tr w14:paraId="7A0B3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tcBorders>
                    <w:tl2br w:val="nil"/>
                    <w:tr2bl w:val="nil"/>
                  </w:tcBorders>
                  <w:noWrap w:val="0"/>
                  <w:vAlign w:val="center"/>
                </w:tcPr>
                <w:p w14:paraId="717B4D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最高容许浓度</w:t>
                  </w:r>
                </w:p>
              </w:tc>
              <w:tc>
                <w:tcPr>
                  <w:tcW w:w="4109" w:type="pct"/>
                  <w:gridSpan w:val="5"/>
                  <w:tcBorders>
                    <w:tl2br w:val="nil"/>
                    <w:tr2bl w:val="nil"/>
                  </w:tcBorders>
                  <w:noWrap w:val="0"/>
                  <w:vAlign w:val="center"/>
                </w:tcPr>
                <w:p w14:paraId="18E896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r>
          </w:tbl>
          <w:p w14:paraId="53F015C4">
            <w:pPr>
              <w:keepNext w:val="0"/>
              <w:keepLines w:val="0"/>
              <w:pageBreakBefore w:val="0"/>
              <w:widowControl w:val="0"/>
              <w:kinsoku/>
              <w:wordWrap/>
              <w:overflowPunct/>
              <w:topLinePunct w:val="0"/>
              <w:autoSpaceDE/>
              <w:autoSpaceDN/>
              <w:bidi w:val="0"/>
              <w:adjustRightInd w:val="0"/>
              <w:snapToGrid w:val="0"/>
              <w:spacing w:before="157" w:beforeLines="50"/>
              <w:ind w:firstLine="0" w:firstLineChars="0"/>
              <w:jc w:val="center"/>
              <w:textAlignment w:val="auto"/>
              <w:rPr>
                <w:rFonts w:hint="default" w:ascii="Times New Roman" w:hAnsi="Times New Roman" w:eastAsia="宋体" w:cs="Times New Roman"/>
                <w:b/>
                <w:bCs/>
                <w:color w:val="000000" w:themeColor="text1"/>
                <w:spacing w:val="6"/>
                <w:sz w:val="21"/>
                <w:szCs w:val="21"/>
                <w14:textFill>
                  <w14:solidFill>
                    <w14:schemeClr w14:val="tx1"/>
                  </w14:solidFill>
                </w14:textFill>
              </w:rPr>
            </w:pPr>
            <w:r>
              <w:rPr>
                <w:rFonts w:hint="default" w:ascii="Times New Roman" w:hAnsi="Times New Roman" w:eastAsia="宋体" w:cs="Times New Roman"/>
                <w:b/>
                <w:bCs/>
                <w:color w:val="000000" w:themeColor="text1"/>
                <w:spacing w:val="6"/>
                <w:sz w:val="21"/>
                <w:szCs w:val="21"/>
                <w14:textFill>
                  <w14:solidFill>
                    <w14:schemeClr w14:val="tx1"/>
                  </w14:solidFill>
                </w14:textFill>
              </w:rPr>
              <w:t>表</w:t>
            </w:r>
            <w:r>
              <w:rPr>
                <w:rFonts w:hint="eastAsia" w:ascii="Times New Roman" w:hAnsi="Times New Roman" w:eastAsia="宋体" w:cs="Times New Roman"/>
                <w:b/>
                <w:bCs/>
                <w:color w:val="000000" w:themeColor="text1"/>
                <w:spacing w:val="6"/>
                <w:sz w:val="21"/>
                <w:szCs w:val="21"/>
                <w:lang w:val="en-US" w:eastAsia="zh-CN"/>
                <w14:textFill>
                  <w14:solidFill>
                    <w14:schemeClr w14:val="tx1"/>
                  </w14:solidFill>
                </w14:textFill>
              </w:rPr>
              <w:t>2-5</w:t>
            </w:r>
            <w:r>
              <w:rPr>
                <w:rFonts w:hint="default" w:ascii="Times New Roman" w:hAnsi="Times New Roman" w:eastAsia="宋体" w:cs="Times New Roman"/>
                <w:b/>
                <w:bCs/>
                <w:color w:val="000000" w:themeColor="text1"/>
                <w:spacing w:val="6"/>
                <w:sz w:val="21"/>
                <w:szCs w:val="21"/>
                <w14:textFill>
                  <w14:solidFill>
                    <w14:schemeClr w14:val="tx1"/>
                  </w14:solidFill>
                </w14:textFill>
              </w:rPr>
              <w:t xml:space="preserve">  柴油的理化性质和危险特性</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2553"/>
              <w:gridCol w:w="898"/>
              <w:gridCol w:w="1704"/>
              <w:gridCol w:w="440"/>
              <w:gridCol w:w="1284"/>
            </w:tblGrid>
            <w:tr w14:paraId="49D40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tcBorders>
                    <w:tl2br w:val="nil"/>
                    <w:tr2bl w:val="nil"/>
                  </w:tcBorders>
                  <w:noWrap w:val="0"/>
                  <w:vAlign w:val="center"/>
                </w:tcPr>
                <w:p w14:paraId="69F019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第一部分危险性概述</w:t>
                  </w:r>
                </w:p>
              </w:tc>
            </w:tr>
            <w:tr w14:paraId="34405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442776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危险性类别</w:t>
                  </w:r>
                </w:p>
              </w:tc>
              <w:tc>
                <w:tcPr>
                  <w:tcW w:w="2056" w:type="pct"/>
                  <w:gridSpan w:val="2"/>
                  <w:tcBorders>
                    <w:tl2br w:val="nil"/>
                    <w:tr2bl w:val="nil"/>
                  </w:tcBorders>
                  <w:noWrap w:val="0"/>
                  <w:vAlign w:val="center"/>
                </w:tcPr>
                <w:p w14:paraId="654608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第3.1类低闪点易燃液体</w:t>
                  </w:r>
                </w:p>
              </w:tc>
              <w:tc>
                <w:tcPr>
                  <w:tcW w:w="1277" w:type="pct"/>
                  <w:gridSpan w:val="2"/>
                  <w:tcBorders>
                    <w:tl2br w:val="nil"/>
                    <w:tr2bl w:val="nil"/>
                  </w:tcBorders>
                  <w:noWrap w:val="0"/>
                  <w:vAlign w:val="center"/>
                </w:tcPr>
                <w:p w14:paraId="7D6DEE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燃爆危险</w:t>
                  </w:r>
                </w:p>
              </w:tc>
              <w:tc>
                <w:tcPr>
                  <w:tcW w:w="762" w:type="pct"/>
                  <w:tcBorders>
                    <w:tl2br w:val="nil"/>
                    <w:tr2bl w:val="nil"/>
                  </w:tcBorders>
                  <w:noWrap w:val="0"/>
                  <w:vAlign w:val="center"/>
                </w:tcPr>
                <w:p w14:paraId="23DF17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易燃。</w:t>
                  </w:r>
                </w:p>
              </w:tc>
            </w:tr>
            <w:tr w14:paraId="29018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5C748C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侵入途径</w:t>
                  </w:r>
                </w:p>
              </w:tc>
              <w:tc>
                <w:tcPr>
                  <w:tcW w:w="2056" w:type="pct"/>
                  <w:gridSpan w:val="2"/>
                  <w:tcBorders>
                    <w:tl2br w:val="nil"/>
                    <w:tr2bl w:val="nil"/>
                  </w:tcBorders>
                  <w:noWrap w:val="0"/>
                  <w:vAlign w:val="center"/>
                </w:tcPr>
                <w:p w14:paraId="50A428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吸入、食入、经皮吸收</w:t>
                  </w:r>
                </w:p>
              </w:tc>
              <w:tc>
                <w:tcPr>
                  <w:tcW w:w="1277" w:type="pct"/>
                  <w:gridSpan w:val="2"/>
                  <w:tcBorders>
                    <w:tl2br w:val="nil"/>
                    <w:tr2bl w:val="nil"/>
                  </w:tcBorders>
                  <w:noWrap w:val="0"/>
                  <w:vAlign w:val="center"/>
                </w:tcPr>
                <w:p w14:paraId="068EFC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有害燃烧产物</w:t>
                  </w:r>
                </w:p>
              </w:tc>
              <w:tc>
                <w:tcPr>
                  <w:tcW w:w="762" w:type="pct"/>
                  <w:tcBorders>
                    <w:tl2br w:val="nil"/>
                    <w:tr2bl w:val="nil"/>
                  </w:tcBorders>
                  <w:noWrap w:val="0"/>
                  <w:vAlign w:val="center"/>
                </w:tcPr>
                <w:p w14:paraId="625EF8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一氧化碳、二氧化碳</w:t>
                  </w:r>
                </w:p>
              </w:tc>
            </w:tr>
            <w:tr w14:paraId="4DC0D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27A2B7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健康危害</w:t>
                  </w:r>
                </w:p>
              </w:tc>
              <w:tc>
                <w:tcPr>
                  <w:tcW w:w="4097" w:type="pct"/>
                  <w:gridSpan w:val="5"/>
                  <w:tcBorders>
                    <w:tl2br w:val="nil"/>
                    <w:tr2bl w:val="nil"/>
                  </w:tcBorders>
                  <w:noWrap w:val="0"/>
                  <w:vAlign w:val="center"/>
                </w:tcPr>
                <w:p w14:paraId="23A1D150">
                  <w:pPr>
                    <w:pStyle w:val="2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柴油的</w:t>
                  </w:r>
                  <w:r>
                    <w:rPr>
                      <w:rFonts w:hint="default" w:ascii="Times New Roman" w:hAnsi="Times New Roman" w:eastAsia="宋体" w:cs="Times New Roman"/>
                      <w:color w:val="000000" w:themeColor="text1"/>
                      <w:sz w:val="21"/>
                      <w:szCs w:val="21"/>
                      <w14:textFill>
                        <w14:solidFill>
                          <w14:schemeClr w14:val="tx1"/>
                        </w14:solidFill>
                      </w14:textFill>
                    </w:rPr>
                    <w:fldChar w:fldCharType="begin"/>
                  </w:r>
                  <w:r>
                    <w:rPr>
                      <w:rFonts w:hint="default" w:ascii="Times New Roman" w:hAnsi="Times New Roman" w:eastAsia="宋体" w:cs="Times New Roman"/>
                      <w:color w:val="000000" w:themeColor="text1"/>
                      <w:sz w:val="21"/>
                      <w:szCs w:val="21"/>
                      <w14:textFill>
                        <w14:solidFill>
                          <w14:schemeClr w14:val="tx1"/>
                        </w14:solidFill>
                      </w14:textFill>
                    </w:rPr>
                    <w:instrText xml:space="preserve"> HYPERLINK "http://baike.haosou.com/doc/1252640-1324776.html" \t "_blank" </w:instrText>
                  </w:r>
                  <w:r>
                    <w:rPr>
                      <w:rFonts w:hint="default" w:ascii="Times New Roman" w:hAnsi="Times New Roman" w:eastAsia="宋体" w:cs="Times New Roman"/>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雾滴</w:t>
                  </w:r>
                  <w:r>
                    <w:rPr>
                      <w:rFonts w:hint="default" w:ascii="Times New Roman" w:hAnsi="Times New Roman" w:eastAsia="宋体" w:cs="Times New Roman"/>
                      <w:color w:val="000000" w:themeColor="text1"/>
                      <w:sz w:val="21"/>
                      <w:szCs w:val="21"/>
                      <w14:textFill>
                        <w14:solidFill>
                          <w14:schemeClr w14:val="tx1"/>
                        </w14:solidFill>
                      </w14:textFill>
                    </w:rPr>
                    <w:fldChar w:fldCharType="end"/>
                  </w:r>
                  <w:r>
                    <w:rPr>
                      <w:rFonts w:hint="default" w:ascii="Times New Roman" w:hAnsi="Times New Roman" w:eastAsia="宋体" w:cs="Times New Roman"/>
                      <w:color w:val="000000" w:themeColor="text1"/>
                      <w:sz w:val="21"/>
                      <w:szCs w:val="21"/>
                      <w14:textFill>
                        <w14:solidFill>
                          <w14:schemeClr w14:val="tx1"/>
                        </w14:solidFill>
                      </w14:textFill>
                    </w:rPr>
                    <w:t>吸入后可致</w:t>
                  </w:r>
                  <w:r>
                    <w:rPr>
                      <w:rFonts w:hint="default" w:ascii="Times New Roman" w:hAnsi="Times New Roman" w:eastAsia="宋体" w:cs="Times New Roman"/>
                      <w:color w:val="000000" w:themeColor="text1"/>
                      <w:sz w:val="21"/>
                      <w:szCs w:val="21"/>
                      <w14:textFill>
                        <w14:solidFill>
                          <w14:schemeClr w14:val="tx1"/>
                        </w14:solidFill>
                      </w14:textFill>
                    </w:rPr>
                    <w:fldChar w:fldCharType="begin"/>
                  </w:r>
                  <w:r>
                    <w:rPr>
                      <w:rFonts w:hint="default" w:ascii="Times New Roman" w:hAnsi="Times New Roman" w:eastAsia="宋体" w:cs="Times New Roman"/>
                      <w:color w:val="000000" w:themeColor="text1"/>
                      <w:sz w:val="21"/>
                      <w:szCs w:val="21"/>
                      <w14:textFill>
                        <w14:solidFill>
                          <w14:schemeClr w14:val="tx1"/>
                        </w14:solidFill>
                      </w14:textFill>
                    </w:rPr>
                    <w:instrText xml:space="preserve"> HYPERLINK "http://baike.haosou.com/doc/5358214-5593767.html" \t "_blank" </w:instrText>
                  </w:r>
                  <w:r>
                    <w:rPr>
                      <w:rFonts w:hint="default" w:ascii="Times New Roman" w:hAnsi="Times New Roman" w:eastAsia="宋体" w:cs="Times New Roman"/>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吸入性肺炎</w:t>
                  </w:r>
                  <w:r>
                    <w:rPr>
                      <w:rFonts w:hint="default" w:ascii="Times New Roman" w:hAnsi="Times New Roman" w:eastAsia="宋体" w:cs="Times New Roman"/>
                      <w:color w:val="000000" w:themeColor="text1"/>
                      <w:sz w:val="21"/>
                      <w:szCs w:val="21"/>
                      <w14:textFill>
                        <w14:solidFill>
                          <w14:schemeClr w14:val="tx1"/>
                        </w14:solidFill>
                      </w14:textFill>
                    </w:rPr>
                    <w:fldChar w:fldCharType="end"/>
                  </w:r>
                  <w:r>
                    <w:rPr>
                      <w:rFonts w:hint="default" w:ascii="Times New Roman" w:hAnsi="Times New Roman" w:eastAsia="宋体" w:cs="Times New Roman"/>
                      <w:color w:val="000000" w:themeColor="text1"/>
                      <w:sz w:val="21"/>
                      <w:szCs w:val="21"/>
                      <w14:textFill>
                        <w14:solidFill>
                          <w14:schemeClr w14:val="tx1"/>
                        </w14:solidFill>
                      </w14:textFill>
                    </w:rPr>
                    <w:t>。皮肤接触柴油可致接触性皮炎。柴油废气中含有</w:t>
                  </w:r>
                  <w:r>
                    <w:rPr>
                      <w:rFonts w:hint="default" w:ascii="Times New Roman" w:hAnsi="Times New Roman" w:eastAsia="宋体" w:cs="Times New Roman"/>
                      <w:color w:val="000000" w:themeColor="text1"/>
                      <w:sz w:val="21"/>
                      <w:szCs w:val="21"/>
                      <w14:textFill>
                        <w14:solidFill>
                          <w14:schemeClr w14:val="tx1"/>
                        </w14:solidFill>
                      </w14:textFill>
                    </w:rPr>
                    <w:fldChar w:fldCharType="begin"/>
                  </w:r>
                  <w:r>
                    <w:rPr>
                      <w:rFonts w:hint="default" w:ascii="Times New Roman" w:hAnsi="Times New Roman" w:eastAsia="宋体" w:cs="Times New Roman"/>
                      <w:color w:val="000000" w:themeColor="text1"/>
                      <w:sz w:val="21"/>
                      <w:szCs w:val="21"/>
                      <w14:textFill>
                        <w14:solidFill>
                          <w14:schemeClr w14:val="tx1"/>
                        </w14:solidFill>
                      </w14:textFill>
                    </w:rPr>
                    <w:instrText xml:space="preserve"> HYPERLINK "http://baike.haosou.com/doc/709571-751137.html" \t "_blank" </w:instrText>
                  </w:r>
                  <w:r>
                    <w:rPr>
                      <w:rFonts w:hint="default" w:ascii="Times New Roman" w:hAnsi="Times New Roman" w:eastAsia="宋体" w:cs="Times New Roman"/>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氮氧化物</w:t>
                  </w:r>
                  <w:r>
                    <w:rPr>
                      <w:rFonts w:hint="default" w:ascii="Times New Roman" w:hAnsi="Times New Roman" w:eastAsia="宋体" w:cs="Times New Roman"/>
                      <w:color w:val="000000" w:themeColor="text1"/>
                      <w:sz w:val="21"/>
                      <w:szCs w:val="21"/>
                      <w14:textFill>
                        <w14:solidFill>
                          <w14:schemeClr w14:val="tx1"/>
                        </w14:solidFill>
                      </w14:textFill>
                    </w:rPr>
                    <w:fldChar w:fldCharType="end"/>
                  </w:r>
                  <w:r>
                    <w:rPr>
                      <w:rFonts w:hint="default" w:ascii="Times New Roman" w:hAnsi="Times New Roman" w:eastAsia="宋体" w:cs="Times New Roman"/>
                      <w:color w:val="000000" w:themeColor="text1"/>
                      <w:sz w:val="21"/>
                      <w:szCs w:val="21"/>
                      <w14:textFill>
                        <w14:solidFill>
                          <w14:schemeClr w14:val="tx1"/>
                        </w14:solidFill>
                      </w14:textFill>
                    </w:rPr>
                    <w:t>、一氧化碳、二氧化碳、醛类和不完全燃烧时的大量黑烟。黑烟中有致癌物如苯并芘。</w:t>
                  </w:r>
                </w:p>
              </w:tc>
            </w:tr>
            <w:tr w14:paraId="7EE50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4887ED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环境危害</w:t>
                  </w:r>
                </w:p>
              </w:tc>
              <w:tc>
                <w:tcPr>
                  <w:tcW w:w="4097" w:type="pct"/>
                  <w:gridSpan w:val="5"/>
                  <w:tcBorders>
                    <w:tl2br w:val="nil"/>
                    <w:tr2bl w:val="nil"/>
                  </w:tcBorders>
                  <w:noWrap w:val="0"/>
                  <w:vAlign w:val="center"/>
                </w:tcPr>
                <w:p w14:paraId="73A50B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该物质对环境有危害，应特别注意对地表水、土壤、大气和饮用水的污染。</w:t>
                  </w:r>
                </w:p>
              </w:tc>
            </w:tr>
            <w:tr w14:paraId="63BEF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tcBorders>
                    <w:tl2br w:val="nil"/>
                    <w:tr2bl w:val="nil"/>
                  </w:tcBorders>
                  <w:noWrap w:val="0"/>
                  <w:vAlign w:val="center"/>
                </w:tcPr>
                <w:p w14:paraId="09FD4E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第二部分理化特性</w:t>
                  </w:r>
                </w:p>
              </w:tc>
            </w:tr>
            <w:tr w14:paraId="191DF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5E409D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外观及性状</w:t>
                  </w:r>
                </w:p>
              </w:tc>
              <w:tc>
                <w:tcPr>
                  <w:tcW w:w="4097" w:type="pct"/>
                  <w:gridSpan w:val="5"/>
                  <w:tcBorders>
                    <w:tl2br w:val="nil"/>
                    <w:tr2bl w:val="nil"/>
                  </w:tcBorders>
                  <w:noWrap w:val="0"/>
                  <w:vAlign w:val="center"/>
                </w:tcPr>
                <w:p w14:paraId="1FC064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有色透明液体。</w:t>
                  </w:r>
                </w:p>
              </w:tc>
            </w:tr>
            <w:tr w14:paraId="506FB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5054D2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熔点（℃）</w:t>
                  </w:r>
                </w:p>
              </w:tc>
              <w:tc>
                <w:tcPr>
                  <w:tcW w:w="1521" w:type="pct"/>
                  <w:tcBorders>
                    <w:tl2br w:val="nil"/>
                    <w:tr2bl w:val="nil"/>
                  </w:tcBorders>
                  <w:noWrap w:val="0"/>
                  <w:vAlign w:val="center"/>
                </w:tcPr>
                <w:p w14:paraId="1C7E5A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550" w:type="pct"/>
                  <w:gridSpan w:val="2"/>
                  <w:tcBorders>
                    <w:tl2br w:val="nil"/>
                    <w:tr2bl w:val="nil"/>
                  </w:tcBorders>
                  <w:noWrap w:val="0"/>
                  <w:vAlign w:val="center"/>
                </w:tcPr>
                <w:p w14:paraId="738041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相对密度（水＝1）</w:t>
                  </w:r>
                </w:p>
              </w:tc>
              <w:tc>
                <w:tcPr>
                  <w:tcW w:w="1025" w:type="pct"/>
                  <w:gridSpan w:val="2"/>
                  <w:tcBorders>
                    <w:tl2br w:val="nil"/>
                    <w:tr2bl w:val="nil"/>
                  </w:tcBorders>
                  <w:noWrap w:val="0"/>
                  <w:vAlign w:val="center"/>
                </w:tcPr>
                <w:p w14:paraId="168E29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0.82-0.846</w:t>
                  </w:r>
                </w:p>
              </w:tc>
            </w:tr>
            <w:tr w14:paraId="234C9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32F3FF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闪点（℃）</w:t>
                  </w:r>
                </w:p>
              </w:tc>
              <w:tc>
                <w:tcPr>
                  <w:tcW w:w="1521" w:type="pct"/>
                  <w:tcBorders>
                    <w:tl2br w:val="nil"/>
                    <w:tr2bl w:val="nil"/>
                  </w:tcBorders>
                  <w:noWrap w:val="0"/>
                  <w:vAlign w:val="center"/>
                </w:tcPr>
                <w:p w14:paraId="60DAF8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w:t>
                  </w:r>
                </w:p>
              </w:tc>
              <w:tc>
                <w:tcPr>
                  <w:tcW w:w="1550" w:type="pct"/>
                  <w:gridSpan w:val="2"/>
                  <w:tcBorders>
                    <w:tl2br w:val="nil"/>
                    <w:tr2bl w:val="nil"/>
                  </w:tcBorders>
                  <w:noWrap w:val="0"/>
                  <w:vAlign w:val="center"/>
                </w:tcPr>
                <w:p w14:paraId="6CF127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相对密度（空气=1）</w:t>
                  </w:r>
                </w:p>
              </w:tc>
              <w:tc>
                <w:tcPr>
                  <w:tcW w:w="1025" w:type="pct"/>
                  <w:gridSpan w:val="2"/>
                  <w:tcBorders>
                    <w:tl2br w:val="nil"/>
                    <w:tr2bl w:val="nil"/>
                  </w:tcBorders>
                  <w:noWrap w:val="0"/>
                  <w:vAlign w:val="center"/>
                </w:tcPr>
                <w:p w14:paraId="2933D1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7AA30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275ACF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引燃温度（℃）</w:t>
                  </w:r>
                </w:p>
              </w:tc>
              <w:tc>
                <w:tcPr>
                  <w:tcW w:w="1521" w:type="pct"/>
                  <w:tcBorders>
                    <w:tl2br w:val="nil"/>
                    <w:tr2bl w:val="nil"/>
                  </w:tcBorders>
                  <w:noWrap w:val="0"/>
                  <w:vAlign w:val="center"/>
                </w:tcPr>
                <w:p w14:paraId="34E9FA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550" w:type="pct"/>
                  <w:gridSpan w:val="2"/>
                  <w:tcBorders>
                    <w:tl2br w:val="nil"/>
                    <w:tr2bl w:val="nil"/>
                  </w:tcBorders>
                  <w:noWrap w:val="0"/>
                  <w:vAlign w:val="center"/>
                </w:tcPr>
                <w:p w14:paraId="162813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爆炸上限％（V/V）</w:t>
                  </w:r>
                </w:p>
              </w:tc>
              <w:tc>
                <w:tcPr>
                  <w:tcW w:w="1025" w:type="pct"/>
                  <w:gridSpan w:val="2"/>
                  <w:tcBorders>
                    <w:tl2br w:val="nil"/>
                    <w:tr2bl w:val="nil"/>
                  </w:tcBorders>
                  <w:noWrap w:val="0"/>
                  <w:vAlign w:val="center"/>
                </w:tcPr>
                <w:p w14:paraId="1627C9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0D82F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6B3F48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沸点（℃）</w:t>
                  </w:r>
                </w:p>
              </w:tc>
              <w:tc>
                <w:tcPr>
                  <w:tcW w:w="1521" w:type="pct"/>
                  <w:tcBorders>
                    <w:tl2br w:val="nil"/>
                    <w:tr2bl w:val="nil"/>
                  </w:tcBorders>
                  <w:noWrap w:val="0"/>
                  <w:vAlign w:val="center"/>
                </w:tcPr>
                <w:p w14:paraId="0A04E8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170-390</w:t>
                  </w:r>
                </w:p>
              </w:tc>
              <w:tc>
                <w:tcPr>
                  <w:tcW w:w="1550" w:type="pct"/>
                  <w:gridSpan w:val="2"/>
                  <w:tcBorders>
                    <w:tl2br w:val="nil"/>
                    <w:tr2bl w:val="nil"/>
                  </w:tcBorders>
                  <w:noWrap w:val="0"/>
                  <w:vAlign w:val="center"/>
                </w:tcPr>
                <w:p w14:paraId="46E5C8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爆炸下限％（V/V）</w:t>
                  </w:r>
                </w:p>
              </w:tc>
              <w:tc>
                <w:tcPr>
                  <w:tcW w:w="1025" w:type="pct"/>
                  <w:gridSpan w:val="2"/>
                  <w:tcBorders>
                    <w:tl2br w:val="nil"/>
                    <w:tr2bl w:val="nil"/>
                  </w:tcBorders>
                  <w:noWrap w:val="0"/>
                  <w:vAlign w:val="center"/>
                </w:tcPr>
                <w:p w14:paraId="5A32B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1D41BD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11231D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溶解性</w:t>
                  </w:r>
                </w:p>
              </w:tc>
              <w:tc>
                <w:tcPr>
                  <w:tcW w:w="4097" w:type="pct"/>
                  <w:gridSpan w:val="5"/>
                  <w:tcBorders>
                    <w:tl2br w:val="nil"/>
                    <w:tr2bl w:val="nil"/>
                  </w:tcBorders>
                  <w:noWrap w:val="0"/>
                  <w:vAlign w:val="center"/>
                </w:tcPr>
                <w:p w14:paraId="3752C9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难溶于水，易溶于醇及其他有机溶剂。</w:t>
                  </w:r>
                </w:p>
              </w:tc>
            </w:tr>
            <w:tr w14:paraId="06EB9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61FF20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主要用途</w:t>
                  </w:r>
                </w:p>
              </w:tc>
              <w:tc>
                <w:tcPr>
                  <w:tcW w:w="4097" w:type="pct"/>
                  <w:gridSpan w:val="5"/>
                  <w:tcBorders>
                    <w:tl2br w:val="nil"/>
                    <w:tr2bl w:val="nil"/>
                  </w:tcBorders>
                  <w:noWrap w:val="0"/>
                  <w:vAlign w:val="center"/>
                </w:tcPr>
                <w:p w14:paraId="2A005C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主要用作柴油机的燃料。</w:t>
                  </w:r>
                </w:p>
              </w:tc>
            </w:tr>
            <w:tr w14:paraId="51495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tcBorders>
                    <w:tl2br w:val="nil"/>
                    <w:tr2bl w:val="nil"/>
                  </w:tcBorders>
                  <w:noWrap w:val="0"/>
                  <w:vAlign w:val="center"/>
                </w:tcPr>
                <w:p w14:paraId="5EB0D1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第三部分稳定性及化学活性</w:t>
                  </w:r>
                </w:p>
              </w:tc>
            </w:tr>
            <w:tr w14:paraId="6FF36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1E70C6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稳定性</w:t>
                  </w:r>
                </w:p>
              </w:tc>
              <w:tc>
                <w:tcPr>
                  <w:tcW w:w="1521" w:type="pct"/>
                  <w:tcBorders>
                    <w:tl2br w:val="nil"/>
                    <w:tr2bl w:val="nil"/>
                  </w:tcBorders>
                  <w:noWrap w:val="0"/>
                  <w:vAlign w:val="center"/>
                </w:tcPr>
                <w:p w14:paraId="28B81A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稳定</w:t>
                  </w:r>
                </w:p>
              </w:tc>
              <w:tc>
                <w:tcPr>
                  <w:tcW w:w="1550" w:type="pct"/>
                  <w:gridSpan w:val="2"/>
                  <w:tcBorders>
                    <w:tl2br w:val="nil"/>
                    <w:tr2bl w:val="nil"/>
                  </w:tcBorders>
                  <w:noWrap w:val="0"/>
                  <w:vAlign w:val="center"/>
                </w:tcPr>
                <w:p w14:paraId="67835E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避免接触的条件</w:t>
                  </w:r>
                </w:p>
              </w:tc>
              <w:tc>
                <w:tcPr>
                  <w:tcW w:w="1025" w:type="pct"/>
                  <w:gridSpan w:val="2"/>
                  <w:tcBorders>
                    <w:tl2br w:val="nil"/>
                    <w:tr2bl w:val="nil"/>
                  </w:tcBorders>
                  <w:noWrap w:val="0"/>
                  <w:vAlign w:val="center"/>
                </w:tcPr>
                <w:p w14:paraId="6BD449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明火、高热。</w:t>
                  </w:r>
                </w:p>
              </w:tc>
            </w:tr>
            <w:tr w14:paraId="4C0D1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445B76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禁配物</w:t>
                  </w:r>
                </w:p>
              </w:tc>
              <w:tc>
                <w:tcPr>
                  <w:tcW w:w="4097" w:type="pct"/>
                  <w:gridSpan w:val="5"/>
                  <w:tcBorders>
                    <w:tl2br w:val="nil"/>
                    <w:tr2bl w:val="nil"/>
                  </w:tcBorders>
                  <w:noWrap w:val="0"/>
                  <w:vAlign w:val="center"/>
                </w:tcPr>
                <w:p w14:paraId="538124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强氧化剂</w:t>
                  </w:r>
                </w:p>
              </w:tc>
            </w:tr>
            <w:tr w14:paraId="51FB4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tcBorders>
                    <w:tl2br w:val="nil"/>
                    <w:tr2bl w:val="nil"/>
                  </w:tcBorders>
                  <w:noWrap w:val="0"/>
                  <w:vAlign w:val="center"/>
                </w:tcPr>
                <w:p w14:paraId="1A80C8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燃烧产物</w:t>
                  </w:r>
                </w:p>
              </w:tc>
              <w:tc>
                <w:tcPr>
                  <w:tcW w:w="4097" w:type="pct"/>
                  <w:gridSpan w:val="5"/>
                  <w:tcBorders>
                    <w:tl2br w:val="nil"/>
                    <w:tr2bl w:val="nil"/>
                  </w:tcBorders>
                  <w:noWrap w:val="0"/>
                  <w:vAlign w:val="center"/>
                </w:tcPr>
                <w:p w14:paraId="1E94C2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一氧化碳、二氧化碳、氮氧化物、醛类和不完全燃烧时的大量黑烟。</w:t>
                  </w:r>
                </w:p>
              </w:tc>
            </w:tr>
          </w:tbl>
          <w:p w14:paraId="60BE6789">
            <w:pPr>
              <w:keepNext w:val="0"/>
              <w:keepLines w:val="0"/>
              <w:pageBreakBefore w:val="0"/>
              <w:widowControl w:val="0"/>
              <w:kinsoku/>
              <w:wordWrap/>
              <w:overflowPunct/>
              <w:topLinePunct/>
              <w:autoSpaceDE/>
              <w:autoSpaceDN/>
              <w:bidi w:val="0"/>
              <w:adjustRightInd w:val="0"/>
              <w:snapToGrid w:val="0"/>
              <w:spacing w:before="157" w:beforeLines="50" w:line="360" w:lineRule="auto"/>
              <w:ind w:left="0" w:leftChars="0" w:right="0" w:rightChars="0" w:firstLine="482" w:firstLineChars="200"/>
              <w:jc w:val="both"/>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2.能源</w:t>
            </w:r>
          </w:p>
          <w:p w14:paraId="2A43B30E">
            <w:pPr>
              <w:pStyle w:val="15"/>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项目运行时，</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能源消耗主要为电和水，消耗情况</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详见表2-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3EE3450C">
            <w:pPr>
              <w:pStyle w:val="15"/>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lang w:val="en-US" w:eastAsia="zh-CN"/>
                <w14:textFill>
                  <w14:solidFill>
                    <w14:schemeClr w14:val="tx1"/>
                  </w14:solidFill>
                </w14:textFill>
              </w:rPr>
              <w:t>表2-</w:t>
            </w:r>
            <w:r>
              <w:rPr>
                <w:rFonts w:hint="eastAsia" w:ascii="Times New Roman" w:hAnsi="Times New Roman" w:eastAsia="宋体" w:cs="Times New Roman"/>
                <w:b/>
                <w:snapToGrid w:val="0"/>
                <w:color w:val="000000" w:themeColor="text1"/>
                <w:kern w:val="0"/>
                <w:sz w:val="21"/>
                <w:szCs w:val="21"/>
                <w:lang w:val="en-US" w:eastAsia="zh-CN"/>
                <w14:textFill>
                  <w14:solidFill>
                    <w14:schemeClr w14:val="tx1"/>
                  </w14:solidFill>
                </w14:textFill>
              </w:rPr>
              <w:t>6</w:t>
            </w:r>
            <w:r>
              <w:rPr>
                <w:rFonts w:hint="default" w:ascii="Times New Roman" w:hAnsi="Times New Roman" w:eastAsia="宋体" w:cs="Times New Roman"/>
                <w:b/>
                <w:snapToGrid w:val="0"/>
                <w:color w:val="000000" w:themeColor="text1"/>
                <w:kern w:val="0"/>
                <w:sz w:val="21"/>
                <w:szCs w:val="21"/>
                <w:lang w:val="en-US" w:eastAsia="zh-CN"/>
                <w14:textFill>
                  <w14:solidFill>
                    <w14:schemeClr w14:val="tx1"/>
                  </w14:solidFill>
                </w14:textFill>
              </w:rPr>
              <w:t xml:space="preserve">  能源消耗一览表</w:t>
            </w:r>
          </w:p>
          <w:tbl>
            <w:tblPr>
              <w:tblStyle w:val="3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98"/>
              <w:gridCol w:w="1223"/>
              <w:gridCol w:w="1145"/>
              <w:gridCol w:w="3603"/>
              <w:gridCol w:w="1720"/>
            </w:tblGrid>
            <w:tr w14:paraId="36F67B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416" w:type="pct"/>
                  <w:tcBorders>
                    <w:tl2br w:val="nil"/>
                    <w:tr2bl w:val="nil"/>
                  </w:tcBorders>
                  <w:noWrap w:val="0"/>
                  <w:vAlign w:val="center"/>
                </w:tcPr>
                <w:p w14:paraId="6A1A996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729" w:type="pct"/>
                  <w:tcBorders>
                    <w:tl2br w:val="nil"/>
                    <w:tr2bl w:val="nil"/>
                  </w:tcBorders>
                  <w:noWrap w:val="0"/>
                  <w:vAlign w:val="center"/>
                </w:tcPr>
                <w:p w14:paraId="29F0D060">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能源</w:t>
                  </w: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682" w:type="pct"/>
                  <w:tcBorders>
                    <w:tl2br w:val="nil"/>
                    <w:tr2bl w:val="nil"/>
                  </w:tcBorders>
                  <w:noWrap w:val="0"/>
                  <w:vAlign w:val="center"/>
                </w:tcPr>
                <w:p w14:paraId="0351C5E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contextualSpacing/>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计量单位</w:t>
                  </w:r>
                </w:p>
              </w:tc>
              <w:tc>
                <w:tcPr>
                  <w:tcW w:w="2147" w:type="pct"/>
                  <w:tcBorders>
                    <w:tl2br w:val="nil"/>
                    <w:tr2bl w:val="nil"/>
                  </w:tcBorders>
                  <w:noWrap w:val="0"/>
                  <w:vAlign w:val="center"/>
                </w:tcPr>
                <w:p w14:paraId="0C2FFA30">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contextualSpacing/>
                    <w:jc w:val="center"/>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年消耗量</w:t>
                  </w:r>
                </w:p>
              </w:tc>
              <w:tc>
                <w:tcPr>
                  <w:tcW w:w="1025" w:type="pct"/>
                  <w:tcBorders>
                    <w:tl2br w:val="nil"/>
                    <w:tr2bl w:val="nil"/>
                  </w:tcBorders>
                  <w:noWrap w:val="0"/>
                  <w:vAlign w:val="center"/>
                </w:tcPr>
                <w:p w14:paraId="29CE16C4">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contextualSpacing/>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供给来源</w:t>
                  </w:r>
                </w:p>
              </w:tc>
            </w:tr>
            <w:tr w14:paraId="3CA3AA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16" w:type="pct"/>
                  <w:tcBorders>
                    <w:tl2br w:val="nil"/>
                    <w:tr2bl w:val="nil"/>
                  </w:tcBorders>
                  <w:noWrap w:val="0"/>
                  <w:vAlign w:val="center"/>
                </w:tcPr>
                <w:p w14:paraId="63F0075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29" w:type="pct"/>
                  <w:tcBorders>
                    <w:tl2br w:val="nil"/>
                    <w:tr2bl w:val="nil"/>
                  </w:tcBorders>
                  <w:noWrap w:val="0"/>
                  <w:vAlign w:val="center"/>
                </w:tcPr>
                <w:p w14:paraId="57CEF576">
                  <w:pPr>
                    <w:keepNext w:val="0"/>
                    <w:keepLines w:val="0"/>
                    <w:pageBreakBefore w:val="0"/>
                    <w:widowControl w:val="0"/>
                    <w:suppressLineNumbers w:val="0"/>
                    <w:kinsoku/>
                    <w:wordWrap/>
                    <w:overflowPunct/>
                    <w:topLinePunct/>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电</w:t>
                  </w:r>
                </w:p>
              </w:tc>
              <w:tc>
                <w:tcPr>
                  <w:tcW w:w="682" w:type="pct"/>
                  <w:tcBorders>
                    <w:tl2br w:val="nil"/>
                    <w:tr2bl w:val="nil"/>
                  </w:tcBorders>
                  <w:noWrap w:val="0"/>
                  <w:vAlign w:val="center"/>
                </w:tcPr>
                <w:p w14:paraId="38A8E48E">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万</w:t>
                  </w:r>
                  <w:r>
                    <w:rPr>
                      <w:rFonts w:hint="default" w:ascii="Times New Roman" w:hAnsi="Times New Roman" w:eastAsia="宋体" w:cs="Times New Roman"/>
                      <w:color w:val="000000" w:themeColor="text1"/>
                      <w:kern w:val="0"/>
                      <w:sz w:val="21"/>
                      <w:szCs w:val="21"/>
                      <w14:textFill>
                        <w14:solidFill>
                          <w14:schemeClr w14:val="tx1"/>
                        </w14:solidFill>
                      </w14:textFill>
                    </w:rPr>
                    <w:t>kW·h/a</w:t>
                  </w:r>
                </w:p>
              </w:tc>
              <w:tc>
                <w:tcPr>
                  <w:tcW w:w="2147" w:type="pct"/>
                  <w:tcBorders>
                    <w:tl2br w:val="nil"/>
                    <w:tr2bl w:val="nil"/>
                  </w:tcBorders>
                  <w:noWrap w:val="0"/>
                  <w:vAlign w:val="center"/>
                </w:tcPr>
                <w:p w14:paraId="68ECEFB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contextualSpacing/>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5.9</w:t>
                  </w:r>
                </w:p>
              </w:tc>
              <w:tc>
                <w:tcPr>
                  <w:tcW w:w="1025" w:type="pct"/>
                  <w:tcBorders>
                    <w:tl2br w:val="nil"/>
                    <w:tr2bl w:val="nil"/>
                  </w:tcBorders>
                  <w:noWrap w:val="0"/>
                  <w:vAlign w:val="center"/>
                </w:tcPr>
                <w:p w14:paraId="4C0C5F9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国家</w:t>
                  </w:r>
                  <w:r>
                    <w:rPr>
                      <w:rFonts w:hint="default" w:ascii="Times New Roman" w:hAnsi="Times New Roman" w:eastAsia="宋体" w:cs="Times New Roman"/>
                      <w:color w:val="000000" w:themeColor="text1"/>
                      <w:kern w:val="0"/>
                      <w:sz w:val="21"/>
                      <w:szCs w:val="21"/>
                      <w14:textFill>
                        <w14:solidFill>
                          <w14:schemeClr w14:val="tx1"/>
                        </w14:solidFill>
                      </w14:textFill>
                    </w:rPr>
                    <w:t>电网</w:t>
                  </w:r>
                </w:p>
              </w:tc>
            </w:tr>
            <w:tr w14:paraId="2934C3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16" w:type="pct"/>
                  <w:tcBorders>
                    <w:tl2br w:val="nil"/>
                    <w:tr2bl w:val="nil"/>
                  </w:tcBorders>
                  <w:noWrap w:val="0"/>
                  <w:vAlign w:val="center"/>
                </w:tcPr>
                <w:p w14:paraId="7CB4E665">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29" w:type="pct"/>
                  <w:tcBorders>
                    <w:tl2br w:val="nil"/>
                    <w:tr2bl w:val="nil"/>
                  </w:tcBorders>
                  <w:noWrap w:val="0"/>
                  <w:vAlign w:val="center"/>
                </w:tcPr>
                <w:p w14:paraId="01377808">
                  <w:pPr>
                    <w:keepNext w:val="0"/>
                    <w:keepLines w:val="0"/>
                    <w:pageBreakBefore w:val="0"/>
                    <w:widowControl w:val="0"/>
                    <w:suppressLineNumbers w:val="0"/>
                    <w:kinsoku/>
                    <w:wordWrap/>
                    <w:overflowPunct/>
                    <w:topLinePunct/>
                    <w:autoSpaceDE/>
                    <w:autoSpaceDN/>
                    <w:bidi w:val="0"/>
                    <w:adjustRightInd w:val="0"/>
                    <w:snapToGrid w:val="0"/>
                    <w:spacing w:line="240" w:lineRule="auto"/>
                    <w:ind w:left="0" w:leftChars="0" w:right="0" w:rightChars="0"/>
                    <w:jc w:val="center"/>
                    <w:textAlignment w:val="bottom"/>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w:t>
                  </w:r>
                </w:p>
              </w:tc>
              <w:tc>
                <w:tcPr>
                  <w:tcW w:w="682" w:type="pct"/>
                  <w:tcBorders>
                    <w:tl2br w:val="nil"/>
                    <w:tr2bl w:val="nil"/>
                  </w:tcBorders>
                  <w:noWrap w:val="0"/>
                  <w:vAlign w:val="center"/>
                </w:tcPr>
                <w:p w14:paraId="217F934E">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p>
              </w:tc>
              <w:tc>
                <w:tcPr>
                  <w:tcW w:w="2147" w:type="pct"/>
                  <w:tcBorders>
                    <w:tl2br w:val="nil"/>
                    <w:tr2bl w:val="nil"/>
                  </w:tcBorders>
                  <w:noWrap w:val="0"/>
                  <w:vAlign w:val="center"/>
                </w:tcPr>
                <w:p w14:paraId="42448C69">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contextualSpacing/>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1383.35</w:t>
                  </w:r>
                </w:p>
              </w:tc>
              <w:tc>
                <w:tcPr>
                  <w:tcW w:w="1025" w:type="pct"/>
                  <w:tcBorders>
                    <w:tl2br w:val="nil"/>
                    <w:tr2bl w:val="nil"/>
                  </w:tcBorders>
                  <w:noWrap w:val="0"/>
                  <w:vAlign w:val="center"/>
                </w:tcPr>
                <w:p w14:paraId="19ACD8D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市政</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供</w:t>
                  </w:r>
                  <w:r>
                    <w:rPr>
                      <w:rFonts w:hint="default" w:ascii="Times New Roman" w:hAnsi="Times New Roman" w:eastAsia="宋体" w:cs="Times New Roman"/>
                      <w:color w:val="000000" w:themeColor="text1"/>
                      <w:kern w:val="0"/>
                      <w:sz w:val="21"/>
                      <w:szCs w:val="21"/>
                      <w14:textFill>
                        <w14:solidFill>
                          <w14:schemeClr w14:val="tx1"/>
                        </w14:solidFill>
                      </w14:textFill>
                    </w:rPr>
                    <w:t>水管网</w:t>
                  </w:r>
                </w:p>
              </w:tc>
            </w:tr>
          </w:tbl>
          <w:p w14:paraId="414B7E0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right="0"/>
              <w:textAlignment w:val="auto"/>
              <w:rPr>
                <w:rFonts w:hint="default" w:ascii="Times New Roman" w:hAnsi="Times New Roman" w:cs="Times New Roman"/>
                <w:b/>
                <w:color w:val="000000" w:themeColor="text1"/>
                <w:kern w:val="0"/>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2.5 产品方案</w:t>
            </w:r>
          </w:p>
          <w:p w14:paraId="2A22B8E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项目产品方案见表2-7。</w:t>
            </w:r>
          </w:p>
          <w:p w14:paraId="4D42837B">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表2-7  项目产品方案一览表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497"/>
              <w:gridCol w:w="1126"/>
              <w:gridCol w:w="3921"/>
              <w:gridCol w:w="1107"/>
            </w:tblGrid>
            <w:tr w14:paraId="22F6C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tcBorders>
                    <w:tl2br w:val="nil"/>
                    <w:tr2bl w:val="nil"/>
                  </w:tcBorders>
                  <w:noWrap w:val="0"/>
                  <w:vAlign w:val="center"/>
                </w:tcPr>
                <w:p w14:paraId="168320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序号</w:t>
                  </w:r>
                </w:p>
              </w:tc>
              <w:tc>
                <w:tcPr>
                  <w:tcW w:w="892" w:type="pct"/>
                  <w:tcBorders>
                    <w:tl2br w:val="nil"/>
                    <w:tr2bl w:val="nil"/>
                  </w:tcBorders>
                  <w:noWrap w:val="0"/>
                  <w:vAlign w:val="center"/>
                </w:tcPr>
                <w:p w14:paraId="7ABF35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油品（产品）</w:t>
                  </w:r>
                </w:p>
              </w:tc>
              <w:tc>
                <w:tcPr>
                  <w:tcW w:w="671" w:type="pct"/>
                  <w:tcBorders>
                    <w:tl2br w:val="nil"/>
                    <w:tr2bl w:val="nil"/>
                  </w:tcBorders>
                  <w:noWrap w:val="0"/>
                  <w:vAlign w:val="center"/>
                </w:tcPr>
                <w:p w14:paraId="1E510D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销售量</w:t>
                  </w:r>
                </w:p>
              </w:tc>
              <w:tc>
                <w:tcPr>
                  <w:tcW w:w="2336" w:type="pct"/>
                  <w:tcBorders>
                    <w:tl2br w:val="nil"/>
                    <w:tr2bl w:val="nil"/>
                  </w:tcBorders>
                  <w:noWrap w:val="0"/>
                  <w:vAlign w:val="center"/>
                </w:tcPr>
                <w:p w14:paraId="575908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最大贮存规模</w:t>
                  </w:r>
                </w:p>
              </w:tc>
              <w:tc>
                <w:tcPr>
                  <w:tcW w:w="659" w:type="pct"/>
                  <w:tcBorders>
                    <w:tl2br w:val="nil"/>
                    <w:tr2bl w:val="nil"/>
                  </w:tcBorders>
                  <w:noWrap w:val="0"/>
                  <w:vAlign w:val="center"/>
                </w:tcPr>
                <w:p w14:paraId="13BE9E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服务对象</w:t>
                  </w:r>
                </w:p>
              </w:tc>
            </w:tr>
            <w:tr w14:paraId="1F1EC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tcBorders>
                    <w:tl2br w:val="nil"/>
                    <w:tr2bl w:val="nil"/>
                  </w:tcBorders>
                  <w:noWrap w:val="0"/>
                  <w:vAlign w:val="center"/>
                </w:tcPr>
                <w:p w14:paraId="62C713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w:t>
                  </w:r>
                </w:p>
              </w:tc>
              <w:tc>
                <w:tcPr>
                  <w:tcW w:w="892" w:type="pct"/>
                  <w:tcBorders>
                    <w:tl2br w:val="nil"/>
                    <w:tr2bl w:val="nil"/>
                  </w:tcBorders>
                  <w:noWrap w:val="0"/>
                  <w:vAlign w:val="center"/>
                </w:tcPr>
                <w:p w14:paraId="2D05BB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汽油</w:t>
                  </w:r>
                </w:p>
              </w:tc>
              <w:tc>
                <w:tcPr>
                  <w:tcW w:w="671" w:type="pct"/>
                  <w:tcBorders>
                    <w:tl2br w:val="nil"/>
                    <w:tr2bl w:val="nil"/>
                  </w:tcBorders>
                  <w:noWrap w:val="0"/>
                  <w:vAlign w:val="center"/>
                </w:tcPr>
                <w:p w14:paraId="19F745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FF"/>
                      <w:sz w:val="21"/>
                      <w:szCs w:val="21"/>
                      <w:vertAlign w:val="baseline"/>
                      <w:lang w:val="en-US" w:eastAsia="zh-CN"/>
                    </w:rPr>
                  </w:pPr>
                  <w:r>
                    <w:rPr>
                      <w:rFonts w:hint="eastAsia" w:cs="Times New Roman"/>
                      <w:b w:val="0"/>
                      <w:bCs/>
                      <w:color w:val="0000FF"/>
                      <w:sz w:val="21"/>
                      <w:szCs w:val="21"/>
                      <w:vertAlign w:val="baseline"/>
                      <w:lang w:val="en-US" w:eastAsia="zh-CN"/>
                    </w:rPr>
                    <w:t>3000</w:t>
                  </w:r>
                  <w:r>
                    <w:rPr>
                      <w:rFonts w:hint="eastAsia" w:ascii="Times New Roman" w:hAnsi="Times New Roman" w:eastAsia="宋体" w:cs="Times New Roman"/>
                      <w:b w:val="0"/>
                      <w:bCs/>
                      <w:color w:val="0000FF"/>
                      <w:sz w:val="21"/>
                      <w:szCs w:val="21"/>
                      <w:vertAlign w:val="baseline"/>
                      <w:lang w:val="en-US" w:eastAsia="zh-CN"/>
                    </w:rPr>
                    <w:t>t/a</w:t>
                  </w:r>
                </w:p>
              </w:tc>
              <w:tc>
                <w:tcPr>
                  <w:tcW w:w="2336" w:type="pct"/>
                  <w:tcBorders>
                    <w:tl2br w:val="nil"/>
                    <w:tr2bl w:val="nil"/>
                  </w:tcBorders>
                  <w:noWrap w:val="0"/>
                  <w:vAlign w:val="center"/>
                </w:tcPr>
                <w:p w14:paraId="7C154E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82</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t</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相对密度取0.75t/m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659" w:type="pct"/>
                  <w:vMerge w:val="restart"/>
                  <w:tcBorders>
                    <w:tl2br w:val="nil"/>
                    <w:tr2bl w:val="nil"/>
                  </w:tcBorders>
                  <w:noWrap w:val="0"/>
                  <w:vAlign w:val="center"/>
                </w:tcPr>
                <w:p w14:paraId="519106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过往车辆</w:t>
                  </w:r>
                </w:p>
              </w:tc>
            </w:tr>
            <w:tr w14:paraId="693CE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tcBorders>
                    <w:tl2br w:val="nil"/>
                    <w:tr2bl w:val="nil"/>
                  </w:tcBorders>
                  <w:noWrap w:val="0"/>
                  <w:vAlign w:val="center"/>
                </w:tcPr>
                <w:p w14:paraId="066E2F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2</w:t>
                  </w:r>
                </w:p>
              </w:tc>
              <w:tc>
                <w:tcPr>
                  <w:tcW w:w="892" w:type="pct"/>
                  <w:tcBorders>
                    <w:tl2br w:val="nil"/>
                    <w:tr2bl w:val="nil"/>
                  </w:tcBorders>
                  <w:noWrap w:val="0"/>
                  <w:vAlign w:val="center"/>
                </w:tcPr>
                <w:p w14:paraId="23B05D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柴油</w:t>
                  </w:r>
                </w:p>
              </w:tc>
              <w:tc>
                <w:tcPr>
                  <w:tcW w:w="671" w:type="pct"/>
                  <w:tcBorders>
                    <w:tl2br w:val="nil"/>
                    <w:tr2bl w:val="nil"/>
                  </w:tcBorders>
                  <w:noWrap w:val="0"/>
                  <w:vAlign w:val="center"/>
                </w:tcPr>
                <w:p w14:paraId="15EA76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FF"/>
                      <w:sz w:val="21"/>
                      <w:szCs w:val="21"/>
                      <w:vertAlign w:val="baseline"/>
                      <w:lang w:val="en-US" w:eastAsia="zh-CN"/>
                    </w:rPr>
                  </w:pPr>
                  <w:r>
                    <w:rPr>
                      <w:rFonts w:hint="eastAsia" w:cs="Times New Roman"/>
                      <w:b w:val="0"/>
                      <w:bCs/>
                      <w:color w:val="0000FF"/>
                      <w:sz w:val="21"/>
                      <w:szCs w:val="21"/>
                      <w:vertAlign w:val="baseline"/>
                      <w:lang w:val="en-US" w:eastAsia="zh-CN"/>
                    </w:rPr>
                    <w:t>10</w:t>
                  </w:r>
                  <w:r>
                    <w:rPr>
                      <w:rFonts w:hint="eastAsia" w:ascii="Times New Roman" w:hAnsi="Times New Roman" w:eastAsia="宋体" w:cs="Times New Roman"/>
                      <w:b w:val="0"/>
                      <w:bCs/>
                      <w:color w:val="0000FF"/>
                      <w:sz w:val="21"/>
                      <w:szCs w:val="21"/>
                      <w:vertAlign w:val="baseline"/>
                      <w:lang w:val="en-US" w:eastAsia="zh-CN"/>
                    </w:rPr>
                    <w:t>00t/a</w:t>
                  </w:r>
                </w:p>
              </w:tc>
              <w:tc>
                <w:tcPr>
                  <w:tcW w:w="2336" w:type="pct"/>
                  <w:tcBorders>
                    <w:tl2br w:val="nil"/>
                    <w:tr2bl w:val="nil"/>
                  </w:tcBorders>
                  <w:noWrap w:val="0"/>
                  <w:vAlign w:val="center"/>
                </w:tcPr>
                <w:p w14:paraId="1A32CD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34.0</w:t>
                  </w:r>
                  <w:r>
                    <w:rPr>
                      <w:rFonts w:hint="default" w:ascii="Times New Roman" w:hAnsi="Times New Roman" w:cs="Times New Roman"/>
                      <w:color w:val="000000" w:themeColor="text1"/>
                      <w:sz w:val="21"/>
                      <w:szCs w:val="21"/>
                      <w14:textFill>
                        <w14:solidFill>
                          <w14:schemeClr w14:val="tx1"/>
                        </w14:solidFill>
                      </w14:textFill>
                    </w:rPr>
                    <w:t>t（相对密度取0.85t/m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659" w:type="pct"/>
                  <w:vMerge w:val="continue"/>
                  <w:tcBorders>
                    <w:tl2br w:val="nil"/>
                    <w:tr2bl w:val="nil"/>
                  </w:tcBorders>
                  <w:noWrap w:val="0"/>
                  <w:vAlign w:val="center"/>
                </w:tcPr>
                <w:p w14:paraId="11EEC2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bl>
          <w:p w14:paraId="4A5B809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right="0"/>
              <w:textAlignment w:val="auto"/>
              <w:rPr>
                <w:rFonts w:hint="default" w:ascii="Times New Roman" w:hAnsi="Times New Roman" w:cs="Times New Roman"/>
                <w:b/>
                <w:bCs/>
                <w:snapToGrid w:val="0"/>
                <w:color w:val="000000" w:themeColor="text1"/>
                <w:kern w:val="0"/>
                <w:sz w:val="24"/>
                <w:szCs w:val="22"/>
                <w:lang w:val="en-US" w:eastAsia="zh-CN"/>
                <w14:textFill>
                  <w14:solidFill>
                    <w14:schemeClr w14:val="tx1"/>
                  </w14:solidFill>
                </w14:textFill>
              </w:rPr>
            </w:pPr>
            <w:r>
              <w:rPr>
                <w:rFonts w:hint="eastAsia" w:ascii="Times New Roman" w:hAnsi="Times New Roman" w:cs="Times New Roman"/>
                <w:b/>
                <w:bCs/>
                <w:snapToGrid w:val="0"/>
                <w:color w:val="000000" w:themeColor="text1"/>
                <w:kern w:val="0"/>
                <w:sz w:val="24"/>
                <w:szCs w:val="22"/>
                <w:lang w:val="en-US" w:eastAsia="zh-CN"/>
                <w14:textFill>
                  <w14:solidFill>
                    <w14:schemeClr w14:val="tx1"/>
                  </w14:solidFill>
                </w14:textFill>
              </w:rPr>
              <w:t>2.</w:t>
            </w:r>
            <w:r>
              <w:rPr>
                <w:rFonts w:hint="eastAsia" w:cs="Times New Roman"/>
                <w:b/>
                <w:bCs/>
                <w:snapToGrid w:val="0"/>
                <w:color w:val="000000" w:themeColor="text1"/>
                <w:kern w:val="0"/>
                <w:sz w:val="24"/>
                <w:szCs w:val="22"/>
                <w:lang w:val="en-US" w:eastAsia="zh-CN"/>
                <w14:textFill>
                  <w14:solidFill>
                    <w14:schemeClr w14:val="tx1"/>
                  </w14:solidFill>
                </w14:textFill>
              </w:rPr>
              <w:t>6</w:t>
            </w:r>
            <w:r>
              <w:rPr>
                <w:rFonts w:hint="eastAsia" w:ascii="Times New Roman" w:hAnsi="Times New Roman" w:cs="Times New Roman"/>
                <w:b/>
                <w:bCs/>
                <w:snapToGrid w:val="0"/>
                <w:color w:val="000000" w:themeColor="text1"/>
                <w:kern w:val="0"/>
                <w:sz w:val="24"/>
                <w:szCs w:val="22"/>
                <w:lang w:val="en-US" w:eastAsia="zh-CN"/>
                <w14:textFill>
                  <w14:solidFill>
                    <w14:schemeClr w14:val="tx1"/>
                  </w14:solidFill>
                </w14:textFill>
              </w:rPr>
              <w:t xml:space="preserve"> </w:t>
            </w:r>
            <w:r>
              <w:rPr>
                <w:rFonts w:hint="default" w:ascii="Times New Roman" w:hAnsi="Times New Roman" w:cs="Times New Roman"/>
                <w:b/>
                <w:bCs/>
                <w:snapToGrid w:val="0"/>
                <w:color w:val="000000" w:themeColor="text1"/>
                <w:kern w:val="0"/>
                <w:sz w:val="24"/>
                <w:szCs w:val="22"/>
                <w:lang w:val="en-US" w:eastAsia="zh-CN"/>
                <w14:textFill>
                  <w14:solidFill>
                    <w14:schemeClr w14:val="tx1"/>
                  </w14:solidFill>
                </w14:textFill>
              </w:rPr>
              <w:t>总平面布置</w:t>
            </w:r>
          </w:p>
          <w:p w14:paraId="6FB7C3C7">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snapToGrid w:val="0"/>
                <w:color w:val="000000" w:themeColor="text1"/>
                <w:kern w:val="0"/>
                <w:sz w:val="24"/>
                <w:szCs w:val="22"/>
                <w:lang w:val="en-US" w:eastAsia="zh-CN"/>
                <w14:textFill>
                  <w14:solidFill>
                    <w14:schemeClr w14:val="tx1"/>
                  </w14:solidFill>
                </w14:textFill>
              </w:rPr>
              <w:t>项目设置</w:t>
            </w:r>
            <w:r>
              <w:rPr>
                <w:rFonts w:hint="eastAsia" w:ascii="Times New Roman" w:hAnsi="Times New Roman" w:cs="Times New Roman"/>
                <w:snapToGrid w:val="0"/>
                <w:color w:val="000000" w:themeColor="text1"/>
                <w:kern w:val="0"/>
                <w:sz w:val="24"/>
                <w:szCs w:val="22"/>
                <w:lang w:val="en-US" w:eastAsia="zh-CN"/>
                <w14:textFill>
                  <w14:solidFill>
                    <w14:schemeClr w14:val="tx1"/>
                  </w14:solidFill>
                </w14:textFill>
              </w:rPr>
              <w:t>有一</w:t>
            </w:r>
            <w:r>
              <w:rPr>
                <w:rFonts w:hint="eastAsia" w:cs="Times New Roman"/>
                <w:color w:val="000000" w:themeColor="text1"/>
                <w:sz w:val="24"/>
                <w:szCs w:val="24"/>
                <w:lang w:eastAsia="zh-CN"/>
                <w14:textFill>
                  <w14:solidFill>
                    <w14:schemeClr w14:val="tx1"/>
                  </w14:solidFill>
                </w14:textFill>
              </w:rPr>
              <w:t>个</w:t>
            </w:r>
            <w:r>
              <w:rPr>
                <w:rFonts w:hint="default" w:ascii="Times New Roman" w:hAnsi="Times New Roman" w:eastAsia="宋体" w:cs="Times New Roman"/>
                <w:color w:val="000000" w:themeColor="text1"/>
                <w:sz w:val="24"/>
                <w:szCs w:val="24"/>
                <w:lang w:eastAsia="zh-CN"/>
                <w14:textFill>
                  <w14:solidFill>
                    <w14:schemeClr w14:val="tx1"/>
                  </w14:solidFill>
                </w14:textFill>
              </w:rPr>
              <w:t>入口</w:t>
            </w:r>
            <w:r>
              <w:rPr>
                <w:rFonts w:hint="eastAsia" w:cs="Times New Roman"/>
                <w:color w:val="000000" w:themeColor="text1"/>
                <w:sz w:val="24"/>
                <w:szCs w:val="24"/>
                <w:lang w:eastAsia="zh-CN"/>
                <w14:textFill>
                  <w14:solidFill>
                    <w14:schemeClr w14:val="tx1"/>
                  </w14:solidFill>
                </w14:textFill>
              </w:rPr>
              <w:t>，位于项目区</w:t>
            </w:r>
            <w:r>
              <w:rPr>
                <w:rFonts w:hint="eastAsia" w:cs="Times New Roman"/>
                <w:color w:val="000000" w:themeColor="text1"/>
                <w:sz w:val="24"/>
                <w:szCs w:val="24"/>
                <w:lang w:val="en-US" w:eastAsia="zh-CN"/>
                <w14:textFill>
                  <w14:solidFill>
                    <w14:schemeClr w14:val="tx1"/>
                  </w14:solidFill>
                </w14:textFill>
              </w:rPr>
              <w:t>东南</w:t>
            </w:r>
            <w:r>
              <w:rPr>
                <w:rFonts w:hint="eastAsia" w:cs="Times New Roman"/>
                <w:color w:val="000000" w:themeColor="text1"/>
                <w:sz w:val="24"/>
                <w:szCs w:val="24"/>
                <w:lang w:eastAsia="zh-CN"/>
                <w14:textFill>
                  <w14:solidFill>
                    <w14:schemeClr w14:val="tx1"/>
                  </w14:solidFill>
                </w14:textFill>
              </w:rPr>
              <w:t>角；</w:t>
            </w:r>
            <w:r>
              <w:rPr>
                <w:rFonts w:hint="eastAsia" w:ascii="Times New Roman" w:hAnsi="Times New Roman" w:cs="Times New Roman"/>
                <w:snapToGrid w:val="0"/>
                <w:color w:val="000000" w:themeColor="text1"/>
                <w:kern w:val="0"/>
                <w:sz w:val="24"/>
                <w:szCs w:val="22"/>
                <w:lang w:val="en-US" w:eastAsia="zh-CN"/>
                <w14:textFill>
                  <w14:solidFill>
                    <w14:schemeClr w14:val="tx1"/>
                  </w14:solidFill>
                </w14:textFill>
              </w:rPr>
              <w:t>一个出口，</w:t>
            </w:r>
            <w:r>
              <w:rPr>
                <w:rFonts w:hint="eastAsia" w:cs="Times New Roman"/>
                <w:color w:val="000000" w:themeColor="text1"/>
                <w:sz w:val="24"/>
                <w:szCs w:val="24"/>
                <w:lang w:eastAsia="zh-CN"/>
                <w14:textFill>
                  <w14:solidFill>
                    <w14:schemeClr w14:val="tx1"/>
                  </w14:solidFill>
                </w14:textFill>
              </w:rPr>
              <w:t>位于项目区</w:t>
            </w:r>
            <w:r>
              <w:rPr>
                <w:rFonts w:hint="eastAsia" w:cs="Times New Roman"/>
                <w:color w:val="000000" w:themeColor="text1"/>
                <w:sz w:val="24"/>
                <w:szCs w:val="24"/>
                <w:lang w:val="en-US" w:eastAsia="zh-CN"/>
                <w14:textFill>
                  <w14:solidFill>
                    <w14:schemeClr w14:val="tx1"/>
                  </w14:solidFill>
                </w14:textFill>
              </w:rPr>
              <w:t>西南</w:t>
            </w:r>
            <w:r>
              <w:rPr>
                <w:rFonts w:hint="eastAsia" w:cs="Times New Roman"/>
                <w:color w:val="000000" w:themeColor="text1"/>
                <w:sz w:val="24"/>
                <w:szCs w:val="24"/>
                <w:lang w:eastAsia="zh-CN"/>
                <w14:textFill>
                  <w14:solidFill>
                    <w14:schemeClr w14:val="tx1"/>
                  </w14:solidFill>
                </w14:textFill>
              </w:rPr>
              <w:t>角，面向</w:t>
            </w:r>
            <w:r>
              <w:rPr>
                <w:rFonts w:hint="eastAsia" w:cs="Times New Roman"/>
                <w:color w:val="000000" w:themeColor="text1"/>
                <w:sz w:val="24"/>
                <w:szCs w:val="24"/>
                <w:lang w:val="en-US" w:eastAsia="zh-CN"/>
                <w14:textFill>
                  <w14:solidFill>
                    <w14:schemeClr w14:val="tx1"/>
                  </w14:solidFill>
                </w14:textFill>
              </w:rPr>
              <w:t>中华路</w:t>
            </w:r>
            <w:r>
              <w:rPr>
                <w:rFonts w:hint="default" w:ascii="Times New Roman" w:hAnsi="Times New Roman" w:eastAsia="宋体" w:cs="Times New Roman"/>
                <w:color w:val="000000" w:themeColor="text1"/>
                <w:sz w:val="24"/>
                <w:szCs w:val="24"/>
                <w14:textFill>
                  <w14:solidFill>
                    <w14:schemeClr w14:val="tx1"/>
                  </w14:solidFill>
                </w14:textFill>
              </w:rPr>
              <w:t>。</w:t>
            </w:r>
          </w:p>
          <w:p w14:paraId="289DDB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本站属于甲类防火防爆场所，整个站区分为</w:t>
            </w:r>
            <w:r>
              <w:rPr>
                <w:rFonts w:hint="eastAsia" w:cs="Times New Roman"/>
                <w:snapToGrid w:val="0"/>
                <w:color w:val="000000" w:themeColor="text1"/>
                <w:kern w:val="0"/>
                <w:sz w:val="24"/>
                <w:szCs w:val="22"/>
                <w:highlight w:val="none"/>
                <w:lang w:eastAsia="zh-CN"/>
                <w14:textFill>
                  <w14:solidFill>
                    <w14:schemeClr w14:val="tx1"/>
                  </w14:solidFill>
                </w14:textFill>
              </w:rPr>
              <w:t>加油区、站房及充电桩</w:t>
            </w:r>
            <w:r>
              <w:rPr>
                <w:rFonts w:hint="default" w:ascii="Times New Roman" w:hAnsi="Times New Roman" w:eastAsia="宋体" w:cs="Times New Roman"/>
                <w:color w:val="000000" w:themeColor="text1"/>
                <w:sz w:val="24"/>
                <w:szCs w:val="24"/>
                <w:lang w:eastAsia="zh-CN"/>
                <w14:textFill>
                  <w14:solidFill>
                    <w14:schemeClr w14:val="tx1"/>
                  </w14:solidFill>
                </w14:textFill>
              </w:rPr>
              <w:t>。加油</w:t>
            </w:r>
            <w:r>
              <w:rPr>
                <w:rFonts w:hint="default" w:ascii="Times New Roman" w:hAnsi="Times New Roman" w:eastAsia="宋体" w:cs="Times New Roman"/>
                <w:color w:val="000000" w:themeColor="text1"/>
                <w:sz w:val="24"/>
                <w:szCs w:val="24"/>
                <w14:textFill>
                  <w14:solidFill>
                    <w14:schemeClr w14:val="tx1"/>
                  </w14:solidFill>
                </w14:textFill>
              </w:rPr>
              <w:t>区</w:t>
            </w:r>
            <w:r>
              <w:rPr>
                <w:rFonts w:hint="eastAsia" w:ascii="Times New Roman" w:hAnsi="Times New Roman" w:eastAsia="宋体" w:cs="Times New Roman"/>
                <w:color w:val="000000" w:themeColor="text1"/>
                <w:sz w:val="24"/>
                <w:szCs w:val="24"/>
                <w:lang w:eastAsia="zh-CN"/>
                <w14:textFill>
                  <w14:solidFill>
                    <w14:schemeClr w14:val="tx1"/>
                  </w14:solidFill>
                </w14:textFill>
              </w:rPr>
              <w:t>位于项目区中部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站房位于</w:t>
            </w:r>
            <w:r>
              <w:rPr>
                <w:rFonts w:hint="eastAsia" w:ascii="Times New Roman" w:hAnsi="Times New Roman" w:eastAsia="宋体" w:cs="Times New Roman"/>
                <w:color w:val="000000" w:themeColor="text1"/>
                <w:sz w:val="24"/>
                <w:szCs w:val="24"/>
                <w:lang w:eastAsia="zh-CN"/>
                <w14:textFill>
                  <w14:solidFill>
                    <w14:schemeClr w14:val="tx1"/>
                  </w14:solidFill>
                </w14:textFill>
              </w:rPr>
              <w:t>项目区</w:t>
            </w:r>
            <w:r>
              <w:rPr>
                <w:rFonts w:hint="eastAsia" w:cs="Times New Roman"/>
                <w:color w:val="000000" w:themeColor="text1"/>
                <w:sz w:val="24"/>
                <w:szCs w:val="24"/>
                <w:lang w:eastAsia="zh-CN"/>
                <w14:textFill>
                  <w14:solidFill>
                    <w14:schemeClr w14:val="tx1"/>
                  </w14:solidFill>
                </w14:textFill>
              </w:rPr>
              <w:t>西</w:t>
            </w:r>
            <w:r>
              <w:rPr>
                <w:rFonts w:hint="eastAsia" w:cs="Times New Roman"/>
                <w:color w:val="000000" w:themeColor="text1"/>
                <w:sz w:val="24"/>
                <w:szCs w:val="24"/>
                <w:lang w:val="en-US" w:eastAsia="zh-CN"/>
                <w14:textFill>
                  <w14:solidFill>
                    <w14:schemeClr w14:val="tx1"/>
                  </w14:solidFill>
                </w14:textFill>
              </w:rPr>
              <w:t>北</w:t>
            </w:r>
            <w:r>
              <w:rPr>
                <w:rFonts w:hint="eastAsia" w:cs="Times New Roman"/>
                <w:color w:val="000000" w:themeColor="text1"/>
                <w:sz w:val="24"/>
                <w:szCs w:val="24"/>
                <w:lang w:eastAsia="zh-CN"/>
                <w14:textFill>
                  <w14:solidFill>
                    <w14:schemeClr w14:val="tx1"/>
                  </w14:solidFill>
                </w14:textFill>
              </w:rPr>
              <w:t>角</w:t>
            </w:r>
            <w:r>
              <w:rPr>
                <w:rFonts w:hint="eastAsia" w:ascii="Times New Roman" w:hAnsi="Times New Roman" w:eastAsia="宋体" w:cs="Times New Roman"/>
                <w:color w:val="000000" w:themeColor="text1"/>
                <w:sz w:val="24"/>
                <w:szCs w:val="24"/>
                <w:lang w:eastAsia="zh-CN"/>
                <w14:textFill>
                  <w14:solidFill>
                    <w14:schemeClr w14:val="tx1"/>
                  </w14:solidFill>
                </w14:textFill>
              </w:rPr>
              <w:t>，充电桩位于项目区</w:t>
            </w:r>
            <w:r>
              <w:rPr>
                <w:rFonts w:hint="eastAsia" w:cs="Times New Roman"/>
                <w:color w:val="000000" w:themeColor="text1"/>
                <w:sz w:val="24"/>
                <w:szCs w:val="24"/>
                <w:lang w:val="en-US" w:eastAsia="zh-CN"/>
                <w14:textFill>
                  <w14:solidFill>
                    <w14:schemeClr w14:val="tx1"/>
                  </w14:solidFill>
                </w14:textFill>
              </w:rPr>
              <w:t>南</w:t>
            </w:r>
            <w:r>
              <w:rPr>
                <w:rFonts w:hint="eastAsia" w:cs="Times New Roman"/>
                <w:color w:val="000000" w:themeColor="text1"/>
                <w:sz w:val="24"/>
                <w:szCs w:val="24"/>
                <w:lang w:eastAsia="zh-CN"/>
                <w14:textFill>
                  <w14:solidFill>
                    <w14:schemeClr w14:val="tx1"/>
                  </w14:solidFill>
                </w14:textFill>
              </w:rPr>
              <w:t>侧</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站内道路及场坪水泥硬化</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各功能区相对独立，减少了彼此的干扰</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同时本项目平面布置符合《汽车加油加气加氢站技术标准》（GB50156-2021）中站内建（构）筑物安全距离与汽油（柴油）设备与站外建（构）筑物安全距离。</w:t>
            </w:r>
            <w:r>
              <w:rPr>
                <w:rFonts w:hint="default"/>
                <w:color w:val="000000" w:themeColor="text1"/>
                <w:kern w:val="24"/>
                <w:sz w:val="24"/>
                <w:szCs w:val="24"/>
                <w:highlight w:val="none"/>
                <w14:textFill>
                  <w14:solidFill>
                    <w14:schemeClr w14:val="tx1"/>
                  </w14:solidFill>
                </w14:textFill>
              </w:rPr>
              <w:t>项目区总平面布置图详见附图</w:t>
            </w:r>
            <w:r>
              <w:rPr>
                <w:rFonts w:hint="eastAsia"/>
                <w:color w:val="000000" w:themeColor="text1"/>
                <w:kern w:val="24"/>
                <w:sz w:val="24"/>
                <w:szCs w:val="24"/>
                <w:highlight w:val="none"/>
                <w:lang w:val="en-US" w:eastAsia="zh-CN"/>
                <w14:textFill>
                  <w14:solidFill>
                    <w14:schemeClr w14:val="tx1"/>
                  </w14:solidFill>
                </w14:textFill>
              </w:rPr>
              <w:t>5。</w:t>
            </w:r>
          </w:p>
          <w:p w14:paraId="5DC09BE9">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textAlignment w:val="auto"/>
              <w:rPr>
                <w:rFonts w:hint="default" w:ascii="Times New Roman" w:hAnsi="Times New Roman" w:cs="Times New Roman"/>
                <w:b/>
                <w:bCs/>
                <w:snapToGrid w:val="0"/>
                <w:color w:val="000000" w:themeColor="text1"/>
                <w:kern w:val="0"/>
                <w:sz w:val="24"/>
                <w:szCs w:val="22"/>
                <w:lang w:val="en-US" w:eastAsia="zh-CN"/>
                <w14:textFill>
                  <w14:solidFill>
                    <w14:schemeClr w14:val="tx1"/>
                  </w14:solidFill>
                </w14:textFill>
              </w:rPr>
            </w:pPr>
            <w:r>
              <w:rPr>
                <w:rFonts w:hint="eastAsia" w:eastAsia="宋体" w:cs="Times New Roman"/>
                <w:b/>
                <w:color w:val="000000" w:themeColor="text1"/>
                <w:sz w:val="24"/>
                <w:szCs w:val="24"/>
                <w:lang w:val="en-US" w:eastAsia="zh-CN"/>
                <w14:textFill>
                  <w14:solidFill>
                    <w14:schemeClr w14:val="tx1"/>
                  </w14:solidFill>
                </w14:textFill>
              </w:rPr>
              <w:t>2.</w:t>
            </w:r>
            <w:r>
              <w:rPr>
                <w:rFonts w:hint="eastAsia" w:cs="Times New Roman"/>
                <w:b/>
                <w:color w:val="000000" w:themeColor="text1"/>
                <w:sz w:val="24"/>
                <w:szCs w:val="24"/>
                <w:lang w:val="en-US" w:eastAsia="zh-CN"/>
                <w14:textFill>
                  <w14:solidFill>
                    <w14:schemeClr w14:val="tx1"/>
                  </w14:solidFill>
                </w14:textFill>
              </w:rPr>
              <w:t>7</w:t>
            </w:r>
            <w:r>
              <w:rPr>
                <w:rFonts w:hint="eastAsia"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
                <w:bCs/>
                <w:snapToGrid w:val="0"/>
                <w:color w:val="000000" w:themeColor="text1"/>
                <w:kern w:val="0"/>
                <w:sz w:val="24"/>
                <w:szCs w:val="22"/>
                <w:lang w:val="en-US" w:eastAsia="zh-CN"/>
                <w14:textFill>
                  <w14:solidFill>
                    <w14:schemeClr w14:val="tx1"/>
                  </w14:solidFill>
                </w14:textFill>
              </w:rPr>
              <w:t>劳动定员及工作制度</w:t>
            </w:r>
          </w:p>
          <w:p w14:paraId="209608A0">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480" w:firstLineChars="200"/>
              <w:textAlignment w:val="auto"/>
              <w:rPr>
                <w:rFonts w:hint="default" w:ascii="Times New Roman" w:hAnsi="Times New Roman" w:cs="Times New Roman"/>
                <w:snapToGrid w:val="0"/>
                <w:color w:val="000000" w:themeColor="text1"/>
                <w:kern w:val="0"/>
                <w:sz w:val="24"/>
                <w:szCs w:val="22"/>
                <w:lang w:val="en-US" w:eastAsia="zh-CN"/>
                <w14:textFill>
                  <w14:solidFill>
                    <w14:schemeClr w14:val="tx1"/>
                  </w14:solidFill>
                </w14:textFill>
              </w:rPr>
            </w:pPr>
            <w:r>
              <w:rPr>
                <w:rFonts w:hint="default" w:ascii="Times New Roman" w:hAnsi="Times New Roman" w:cs="Times New Roman"/>
                <w:snapToGrid w:val="0"/>
                <w:color w:val="000000" w:themeColor="text1"/>
                <w:kern w:val="0"/>
                <w:sz w:val="24"/>
                <w:szCs w:val="22"/>
                <w:lang w:val="en-US" w:eastAsia="zh-CN"/>
                <w14:textFill>
                  <w14:solidFill>
                    <w14:schemeClr w14:val="tx1"/>
                  </w14:solidFill>
                </w14:textFill>
              </w:rPr>
              <w:t>劳动定员：根据项目工艺技术特点，项目总定员</w:t>
            </w:r>
            <w:r>
              <w:rPr>
                <w:rFonts w:hint="eastAsia" w:ascii="Times New Roman" w:hAnsi="Times New Roman" w:cs="Times New Roman"/>
                <w:snapToGrid w:val="0"/>
                <w:color w:val="000000" w:themeColor="text1"/>
                <w:kern w:val="0"/>
                <w:sz w:val="24"/>
                <w:szCs w:val="22"/>
                <w:lang w:val="en-US" w:eastAsia="zh-CN"/>
                <w14:textFill>
                  <w14:solidFill>
                    <w14:schemeClr w14:val="tx1"/>
                  </w14:solidFill>
                </w14:textFill>
              </w:rPr>
              <w:t>1</w:t>
            </w:r>
            <w:r>
              <w:rPr>
                <w:rFonts w:hint="eastAsia" w:cs="Times New Roman"/>
                <w:snapToGrid w:val="0"/>
                <w:color w:val="000000" w:themeColor="text1"/>
                <w:kern w:val="0"/>
                <w:sz w:val="24"/>
                <w:szCs w:val="22"/>
                <w:lang w:val="en-US" w:eastAsia="zh-CN"/>
                <w14:textFill>
                  <w14:solidFill>
                    <w14:schemeClr w14:val="tx1"/>
                  </w14:solidFill>
                </w14:textFill>
              </w:rPr>
              <w:t>0</w:t>
            </w:r>
            <w:r>
              <w:rPr>
                <w:rFonts w:hint="default" w:ascii="Times New Roman" w:hAnsi="Times New Roman" w:cs="Times New Roman"/>
                <w:snapToGrid w:val="0"/>
                <w:color w:val="000000" w:themeColor="text1"/>
                <w:kern w:val="0"/>
                <w:sz w:val="24"/>
                <w:szCs w:val="22"/>
                <w:lang w:val="en-US" w:eastAsia="zh-CN"/>
                <w14:textFill>
                  <w14:solidFill>
                    <w14:schemeClr w14:val="tx1"/>
                  </w14:solidFill>
                </w14:textFill>
              </w:rPr>
              <w:t>人</w:t>
            </w:r>
            <w:r>
              <w:rPr>
                <w:rFonts w:hint="eastAsia" w:ascii="Times New Roman" w:hAnsi="Times New Roman" w:cs="Times New Roman"/>
                <w:snapToGrid w:val="0"/>
                <w:color w:val="000000" w:themeColor="text1"/>
                <w:kern w:val="0"/>
                <w:sz w:val="24"/>
                <w:szCs w:val="22"/>
                <w:lang w:val="en-US" w:eastAsia="zh-CN"/>
                <w14:textFill>
                  <w14:solidFill>
                    <w14:schemeClr w14:val="tx1"/>
                  </w14:solidFill>
                </w14:textFill>
              </w:rPr>
              <w:t>，不在厂区食宿</w:t>
            </w:r>
            <w:r>
              <w:rPr>
                <w:rFonts w:hint="default" w:ascii="Times New Roman" w:hAnsi="Times New Roman" w:cs="Times New Roman"/>
                <w:snapToGrid w:val="0"/>
                <w:color w:val="000000" w:themeColor="text1"/>
                <w:kern w:val="0"/>
                <w:sz w:val="24"/>
                <w:szCs w:val="22"/>
                <w:lang w:val="en-US" w:eastAsia="zh-CN"/>
                <w14:textFill>
                  <w14:solidFill>
                    <w14:schemeClr w14:val="tx1"/>
                  </w14:solidFill>
                </w14:textFill>
              </w:rPr>
              <w:t>。</w:t>
            </w:r>
          </w:p>
          <w:p w14:paraId="3E511D6B">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480" w:firstLineChars="200"/>
              <w:textAlignment w:val="auto"/>
              <w:rPr>
                <w:rFonts w:hint="default" w:ascii="Times New Roman" w:hAnsi="Times New Roman" w:eastAsia="宋体" w:cs="Times New Roman"/>
                <w:snapToGrid w:val="0"/>
                <w:color w:val="000000" w:themeColor="text1"/>
                <w:kern w:val="0"/>
                <w:sz w:val="24"/>
                <w:szCs w:val="22"/>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2"/>
                <w:lang w:val="en-US" w:eastAsia="zh-CN"/>
                <w14:textFill>
                  <w14:solidFill>
                    <w14:schemeClr w14:val="tx1"/>
                  </w14:solidFill>
                </w14:textFill>
              </w:rPr>
              <w:t>工作制度：年工作</w:t>
            </w:r>
            <w:r>
              <w:rPr>
                <w:rFonts w:hint="eastAsia" w:ascii="Times New Roman" w:hAnsi="Times New Roman" w:eastAsia="宋体" w:cs="Times New Roman"/>
                <w:snapToGrid w:val="0"/>
                <w:color w:val="000000" w:themeColor="text1"/>
                <w:kern w:val="0"/>
                <w:sz w:val="24"/>
                <w:szCs w:val="22"/>
                <w:lang w:val="en-US" w:eastAsia="zh-CN"/>
                <w14:textFill>
                  <w14:solidFill>
                    <w14:schemeClr w14:val="tx1"/>
                  </w14:solidFill>
                </w14:textFill>
              </w:rPr>
              <w:t>365</w:t>
            </w:r>
            <w:r>
              <w:rPr>
                <w:rFonts w:hint="default" w:ascii="Times New Roman" w:hAnsi="Times New Roman" w:eastAsia="宋体" w:cs="Times New Roman"/>
                <w:snapToGrid w:val="0"/>
                <w:color w:val="000000" w:themeColor="text1"/>
                <w:kern w:val="0"/>
                <w:sz w:val="24"/>
                <w:szCs w:val="22"/>
                <w:lang w:val="en-US" w:eastAsia="zh-CN"/>
                <w14:textFill>
                  <w14:solidFill>
                    <w14:schemeClr w14:val="tx1"/>
                  </w14:solidFill>
                </w14:textFill>
              </w:rPr>
              <w:t>天，采用</w:t>
            </w:r>
            <w:r>
              <w:rPr>
                <w:rFonts w:hint="eastAsia" w:ascii="Times New Roman" w:hAnsi="Times New Roman" w:eastAsia="宋体" w:cs="Times New Roman"/>
                <w:snapToGrid w:val="0"/>
                <w:color w:val="000000" w:themeColor="text1"/>
                <w:kern w:val="0"/>
                <w:sz w:val="24"/>
                <w:szCs w:val="22"/>
                <w:lang w:val="en-US" w:eastAsia="zh-CN"/>
                <w14:textFill>
                  <w14:solidFill>
                    <w14:schemeClr w14:val="tx1"/>
                  </w14:solidFill>
                </w14:textFill>
              </w:rPr>
              <w:t>三</w:t>
            </w:r>
            <w:r>
              <w:rPr>
                <w:rFonts w:hint="default" w:ascii="Times New Roman" w:hAnsi="Times New Roman" w:eastAsia="宋体" w:cs="Times New Roman"/>
                <w:snapToGrid w:val="0"/>
                <w:color w:val="000000" w:themeColor="text1"/>
                <w:kern w:val="0"/>
                <w:sz w:val="24"/>
                <w:szCs w:val="22"/>
                <w:lang w:val="en-US" w:eastAsia="zh-CN"/>
                <w14:textFill>
                  <w14:solidFill>
                    <w14:schemeClr w14:val="tx1"/>
                  </w14:solidFill>
                </w14:textFill>
              </w:rPr>
              <w:t>班制，每班8h。</w:t>
            </w:r>
          </w:p>
          <w:p w14:paraId="4512AEA2">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right="0"/>
              <w:textAlignment w:val="auto"/>
              <w:outlineLvl w:val="9"/>
              <w:rPr>
                <w:rFonts w:hint="default"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snapToGrid w:val="0"/>
                <w:color w:val="000000" w:themeColor="text1"/>
                <w:kern w:val="0"/>
                <w:sz w:val="24"/>
                <w:szCs w:val="22"/>
                <w:lang w:val="en-US" w:eastAsia="zh-CN"/>
                <w14:textFill>
                  <w14:solidFill>
                    <w14:schemeClr w14:val="tx1"/>
                  </w14:solidFill>
                </w14:textFill>
              </w:rPr>
              <w:t>2.</w:t>
            </w:r>
            <w:r>
              <w:rPr>
                <w:rFonts w:hint="eastAsia" w:cs="Times New Roman"/>
                <w:b/>
                <w:bCs/>
                <w:snapToGrid w:val="0"/>
                <w:color w:val="000000" w:themeColor="text1"/>
                <w:kern w:val="0"/>
                <w:sz w:val="24"/>
                <w:szCs w:val="22"/>
                <w:lang w:val="en-US" w:eastAsia="zh-CN"/>
                <w14:textFill>
                  <w14:solidFill>
                    <w14:schemeClr w14:val="tx1"/>
                  </w14:solidFill>
                </w14:textFill>
              </w:rPr>
              <w:t>8</w:t>
            </w:r>
            <w:r>
              <w:rPr>
                <w:rFonts w:hint="eastAsia" w:ascii="Times New Roman" w:hAnsi="Times New Roman" w:cs="Times New Roman"/>
                <w:b/>
                <w:bCs/>
                <w:snapToGrid w:val="0"/>
                <w:color w:val="000000" w:themeColor="text1"/>
                <w:kern w:val="0"/>
                <w:sz w:val="24"/>
                <w:szCs w:val="22"/>
                <w:lang w:val="en-US" w:eastAsia="zh-CN"/>
                <w14:textFill>
                  <w14:solidFill>
                    <w14:schemeClr w14:val="tx1"/>
                  </w14:solidFill>
                </w14:textFill>
              </w:rPr>
              <w:t xml:space="preserve"> </w:t>
            </w:r>
            <w:r>
              <w:rPr>
                <w:rFonts w:hint="default" w:eastAsia="宋体" w:cs="Times New Roman"/>
                <w:b/>
                <w:bCs/>
                <w:color w:val="000000" w:themeColor="text1"/>
                <w:sz w:val="24"/>
                <w:szCs w:val="24"/>
                <w:lang w:val="en-US" w:eastAsia="zh-CN"/>
                <w14:textFill>
                  <w14:solidFill>
                    <w14:schemeClr w14:val="tx1"/>
                  </w14:solidFill>
                </w14:textFill>
              </w:rPr>
              <w:t>公用工程</w:t>
            </w:r>
          </w:p>
          <w:p w14:paraId="39BE984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outlineLvl w:val="9"/>
              <w:rPr>
                <w:rFonts w:hint="eastAsia" w:ascii="Times New Roman" w:hAnsi="Times New Roman" w:eastAsia="宋体" w:cs="Times New Roman"/>
                <w:bCs/>
                <w:color w:val="000000" w:themeColor="text1"/>
                <w:sz w:val="24"/>
                <w:szCs w:val="24"/>
                <w:lang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1.供</w:t>
            </w:r>
            <w:r>
              <w:rPr>
                <w:rFonts w:hint="eastAsia" w:cs="Times New Roman"/>
                <w:bCs/>
                <w:color w:val="000000" w:themeColor="text1"/>
                <w:sz w:val="24"/>
                <w:szCs w:val="24"/>
                <w:lang w:eastAsia="zh-CN"/>
                <w14:textFill>
                  <w14:solidFill>
                    <w14:schemeClr w14:val="tx1"/>
                  </w14:solidFill>
                </w14:textFill>
              </w:rPr>
              <w:t>水</w:t>
            </w:r>
          </w:p>
          <w:p w14:paraId="153CBD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60" w:firstLineChars="192"/>
              <w:textAlignment w:val="auto"/>
              <w:outlineLvl w:val="9"/>
              <w:rPr>
                <w:rFonts w:hint="default" w:ascii="Times New Roman" w:hAnsi="Times New Roman" w:cs="Times New Roman"/>
                <w:snapToGrid w:val="0"/>
                <w:color w:val="000000" w:themeColor="text1"/>
                <w:kern w:val="0"/>
                <w:sz w:val="24"/>
                <w:szCs w:val="22"/>
                <w:lang w:eastAsia="zh-CN"/>
                <w14:textFill>
                  <w14:solidFill>
                    <w14:schemeClr w14:val="tx1"/>
                  </w14:solidFill>
                </w14:textFill>
              </w:rPr>
            </w:pP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本项目工程</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用水主要为</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生活用水</w:t>
            </w:r>
            <w:r>
              <w:rPr>
                <w:rFonts w:hint="eastAsia" w:cs="Times New Roman"/>
                <w:snapToGrid w:val="0"/>
                <w:color w:val="000000" w:themeColor="text1"/>
                <w:kern w:val="0"/>
                <w:sz w:val="24"/>
                <w:szCs w:val="22"/>
                <w:lang w:eastAsia="zh-CN"/>
                <w14:textFill>
                  <w14:solidFill>
                    <w14:schemeClr w14:val="tx1"/>
                  </w14:solidFill>
                </w14:textFill>
              </w:rPr>
              <w:t>、绿化用水及</w:t>
            </w:r>
            <w:r>
              <w:rPr>
                <w:rFonts w:hint="eastAsia" w:cs="Times New Roman"/>
                <w:snapToGrid w:val="0"/>
                <w:color w:val="000000" w:themeColor="text1"/>
                <w:kern w:val="0"/>
                <w:sz w:val="24"/>
                <w:szCs w:val="22"/>
                <w:lang w:val="en-US" w:eastAsia="zh-CN"/>
                <w14:textFill>
                  <w14:solidFill>
                    <w14:schemeClr w14:val="tx1"/>
                  </w14:solidFill>
                </w14:textFill>
              </w:rPr>
              <w:t>洗车用水</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。生活</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用水</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主要由</w:t>
            </w:r>
            <w:r>
              <w:rPr>
                <w:rFonts w:hint="eastAsia" w:cs="Times New Roman"/>
                <w:snapToGrid w:val="0"/>
                <w:color w:val="000000" w:themeColor="text1"/>
                <w:kern w:val="0"/>
                <w:sz w:val="24"/>
                <w:szCs w:val="22"/>
                <w:lang w:val="en-US" w:eastAsia="zh-CN"/>
                <w14:textFill>
                  <w14:solidFill>
                    <w14:schemeClr w14:val="tx1"/>
                  </w14:solidFill>
                </w14:textFill>
              </w:rPr>
              <w:t>玛纳斯县</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供水管网提供</w:t>
            </w:r>
            <w:r>
              <w:rPr>
                <w:rFonts w:hint="eastAsia" w:ascii="Times New Roman" w:hAnsi="Times New Roman" w:cs="Times New Roman"/>
                <w:snapToGrid w:val="0"/>
                <w:color w:val="000000" w:themeColor="text1"/>
                <w:kern w:val="0"/>
                <w:sz w:val="24"/>
                <w:szCs w:val="22"/>
                <w:lang w:val="en-US" w:eastAsia="zh-CN"/>
                <w14:textFill>
                  <w14:solidFill>
                    <w14:schemeClr w14:val="tx1"/>
                  </w14:solidFill>
                </w14:textFill>
              </w:rPr>
              <w:t>。</w:t>
            </w:r>
          </w:p>
          <w:p w14:paraId="2FDC98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60" w:firstLineChars="192"/>
              <w:textAlignment w:val="auto"/>
              <w:outlineLvl w:val="9"/>
              <w:rPr>
                <w:rFonts w:hint="eastAsia" w:ascii="Times New Roman" w:hAnsi="Times New Roman" w:cs="Times New Roman"/>
                <w:snapToGrid w:val="0"/>
                <w:color w:val="000000" w:themeColor="text1"/>
                <w:kern w:val="0"/>
                <w:sz w:val="24"/>
                <w:szCs w:val="22"/>
                <w:lang w:eastAsia="zh-CN"/>
                <w14:textFill>
                  <w14:solidFill>
                    <w14:schemeClr w14:val="tx1"/>
                  </w14:solidFill>
                </w14:textFill>
              </w:rPr>
            </w:pP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fldChar w:fldCharType="begin"/>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instrText xml:space="preserve"> = 1 \* GB3 \* MERGEFORMAT </w:instrTex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fldChar w:fldCharType="separate"/>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①</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fldChar w:fldCharType="end"/>
            </w:r>
            <w:r>
              <w:rPr>
                <w:rFonts w:hint="eastAsia" w:ascii="Times New Roman" w:hAnsi="Times New Roman" w:cs="Times New Roman"/>
                <w:snapToGrid w:val="0"/>
                <w:color w:val="000000" w:themeColor="text1"/>
                <w:kern w:val="0"/>
                <w:sz w:val="24"/>
                <w:szCs w:val="22"/>
                <w:lang w:val="en-US" w:eastAsia="zh-CN"/>
                <w14:textFill>
                  <w14:solidFill>
                    <w14:schemeClr w14:val="tx1"/>
                  </w14:solidFill>
                </w14:textFill>
              </w:rPr>
              <w:t xml:space="preserve"> </w:t>
            </w:r>
            <w:r>
              <w:rPr>
                <w:rFonts w:hint="eastAsia" w:cs="Times New Roman"/>
                <w:snapToGrid w:val="0"/>
                <w:color w:val="000000" w:themeColor="text1"/>
                <w:kern w:val="0"/>
                <w:sz w:val="24"/>
                <w:szCs w:val="22"/>
                <w:lang w:eastAsia="zh-CN"/>
                <w14:textFill>
                  <w14:solidFill>
                    <w14:schemeClr w14:val="tx1"/>
                  </w14:solidFill>
                </w14:textFill>
              </w:rPr>
              <w:t>生活用水：</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项目</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劳动定员为</w:t>
            </w:r>
            <w:r>
              <w:rPr>
                <w:rFonts w:hint="eastAsia" w:ascii="Times New Roman" w:hAnsi="Times New Roman" w:cs="Times New Roman"/>
                <w:snapToGrid w:val="0"/>
                <w:color w:val="000000" w:themeColor="text1"/>
                <w:kern w:val="0"/>
                <w:sz w:val="24"/>
                <w:szCs w:val="22"/>
                <w:lang w:val="en-US" w:eastAsia="zh-CN"/>
                <w14:textFill>
                  <w14:solidFill>
                    <w14:schemeClr w14:val="tx1"/>
                  </w14:solidFill>
                </w14:textFill>
              </w:rPr>
              <w:t>1</w:t>
            </w:r>
            <w:r>
              <w:rPr>
                <w:rFonts w:hint="eastAsia" w:cs="Times New Roman"/>
                <w:snapToGrid w:val="0"/>
                <w:color w:val="000000" w:themeColor="text1"/>
                <w:kern w:val="0"/>
                <w:sz w:val="24"/>
                <w:szCs w:val="22"/>
                <w:lang w:val="en-US" w:eastAsia="zh-CN"/>
                <w14:textFill>
                  <w14:solidFill>
                    <w14:schemeClr w14:val="tx1"/>
                  </w14:solidFill>
                </w14:textFill>
              </w:rPr>
              <w:t>0</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人，根据《新疆维吾尔自治区生活用水定额》</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生活用水量</w:t>
            </w:r>
            <w:r>
              <w:rPr>
                <w:rFonts w:hint="eastAsia" w:cs="Times New Roman"/>
                <w:snapToGrid w:val="0"/>
                <w:color w:val="000000" w:themeColor="text1"/>
                <w:kern w:val="0"/>
                <w:sz w:val="24"/>
                <w:szCs w:val="22"/>
                <w:lang w:eastAsia="zh-CN"/>
                <w14:textFill>
                  <w14:solidFill>
                    <w14:schemeClr w14:val="tx1"/>
                  </w14:solidFill>
                </w14:textFill>
              </w:rPr>
              <w:t>为</w:t>
            </w:r>
            <w:r>
              <w:rPr>
                <w:rFonts w:hint="eastAsia" w:ascii="Times New Roman" w:hAnsi="Times New Roman" w:cs="Times New Roman"/>
                <w:snapToGrid w:val="0"/>
                <w:color w:val="000000" w:themeColor="text1"/>
                <w:kern w:val="0"/>
                <w:sz w:val="24"/>
                <w:szCs w:val="22"/>
                <w:lang w:val="en-US" w:eastAsia="zh-CN"/>
                <w14:textFill>
                  <w14:solidFill>
                    <w14:schemeClr w14:val="tx1"/>
                  </w14:solidFill>
                </w14:textFill>
              </w:rPr>
              <w:t>25</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L/人·</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d</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。项目全年有效生产运营365</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d</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，则项目</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员工</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生活用水量约为</w:t>
            </w:r>
            <w:r>
              <w:rPr>
                <w:rFonts w:hint="eastAsia" w:cs="Times New Roman"/>
                <w:snapToGrid w:val="0"/>
                <w:color w:val="000000" w:themeColor="text1"/>
                <w:kern w:val="0"/>
                <w:sz w:val="24"/>
                <w:szCs w:val="22"/>
                <w:lang w:val="en-US" w:eastAsia="zh-CN"/>
                <w14:textFill>
                  <w14:solidFill>
                    <w14:schemeClr w14:val="tx1"/>
                  </w14:solidFill>
                </w14:textFill>
              </w:rPr>
              <w:t>0.25</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d（</w:t>
            </w:r>
            <w:r>
              <w:rPr>
                <w:rFonts w:hint="eastAsia" w:cs="Times New Roman"/>
                <w:snapToGrid w:val="0"/>
                <w:color w:val="000000" w:themeColor="text1"/>
                <w:kern w:val="0"/>
                <w:sz w:val="24"/>
                <w:szCs w:val="22"/>
                <w:lang w:val="en-US" w:eastAsia="zh-CN"/>
                <w14:textFill>
                  <w14:solidFill>
                    <w14:schemeClr w14:val="tx1"/>
                  </w14:solidFill>
                </w14:textFill>
              </w:rPr>
              <w:t>91.25</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/a</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根据建设方提供，加油顾客中日最大入厕人次不超过</w:t>
            </w:r>
            <w:r>
              <w:rPr>
                <w:rFonts w:hint="eastAsia" w:cs="Times New Roman"/>
                <w:snapToGrid w:val="0"/>
                <w:color w:val="000000" w:themeColor="text1"/>
                <w:kern w:val="0"/>
                <w:sz w:val="24"/>
                <w:szCs w:val="22"/>
                <w:highlight w:val="none"/>
                <w:lang w:val="en-US" w:eastAsia="zh-CN"/>
                <w14:textFill>
                  <w14:solidFill>
                    <w14:schemeClr w14:val="tx1"/>
                  </w14:solidFill>
                </w14:textFill>
              </w:rPr>
              <w:t>200</w:t>
            </w:r>
            <w:r>
              <w:rPr>
                <w:rFonts w:hint="eastAsia" w:ascii="Times New Roman" w:hAnsi="Times New Roman" w:cs="Times New Roman"/>
                <w:snapToGrid w:val="0"/>
                <w:color w:val="000000" w:themeColor="text1"/>
                <w:kern w:val="0"/>
                <w:sz w:val="24"/>
                <w:szCs w:val="22"/>
                <w:highlight w:val="none"/>
                <w:lang w:eastAsia="zh-CN"/>
                <w14:textFill>
                  <w14:solidFill>
                    <w14:schemeClr w14:val="tx1"/>
                  </w14:solidFill>
                </w14:textFill>
              </w:rPr>
              <w:t>人次</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，主要集中在昼间。冲厕用水量按照15L</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/人</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次</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d计算，顾客最大冲厕用水量约</w:t>
            </w:r>
            <w:r>
              <w:rPr>
                <w:rFonts w:hint="eastAsia" w:cs="Times New Roman"/>
                <w:snapToGrid w:val="0"/>
                <w:color w:val="000000" w:themeColor="text1"/>
                <w:kern w:val="0"/>
                <w:sz w:val="24"/>
                <w:szCs w:val="22"/>
                <w:lang w:val="en-US"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d（</w:t>
            </w:r>
            <w:r>
              <w:rPr>
                <w:rFonts w:hint="eastAsia" w:cs="Times New Roman"/>
                <w:snapToGrid w:val="0"/>
                <w:color w:val="000000" w:themeColor="text1"/>
                <w:kern w:val="0"/>
                <w:sz w:val="24"/>
                <w:szCs w:val="22"/>
                <w:lang w:val="en-US" w:eastAsia="zh-CN"/>
                <w14:textFill>
                  <w14:solidFill>
                    <w14:schemeClr w14:val="tx1"/>
                  </w14:solidFill>
                </w14:textFill>
              </w:rPr>
              <w:t>1095</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/a</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），冲厕用水也属于生活用水，则项目区生活用水量总计</w:t>
            </w:r>
            <w:r>
              <w:rPr>
                <w:rFonts w:hint="eastAsia" w:cs="Times New Roman"/>
                <w:snapToGrid w:val="0"/>
                <w:color w:val="000000" w:themeColor="text1"/>
                <w:kern w:val="0"/>
                <w:sz w:val="24"/>
                <w:szCs w:val="22"/>
                <w:lang w:val="en-US" w:eastAsia="zh-CN"/>
                <w14:textFill>
                  <w14:solidFill>
                    <w14:schemeClr w14:val="tx1"/>
                  </w14:solidFill>
                </w14:textFill>
              </w:rPr>
              <w:t>3.25</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d（</w:t>
            </w:r>
            <w:r>
              <w:rPr>
                <w:rFonts w:hint="eastAsia" w:cs="Times New Roman"/>
                <w:snapToGrid w:val="0"/>
                <w:color w:val="000000" w:themeColor="text1"/>
                <w:kern w:val="0"/>
                <w:sz w:val="24"/>
                <w:szCs w:val="22"/>
                <w:lang w:val="en-US" w:eastAsia="zh-CN"/>
                <w14:textFill>
                  <w14:solidFill>
                    <w14:schemeClr w14:val="tx1"/>
                  </w14:solidFill>
                </w14:textFill>
              </w:rPr>
              <w:t>1186.25</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/a</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cs="Times New Roman"/>
                <w:snapToGrid w:val="0"/>
                <w:color w:val="000000" w:themeColor="text1"/>
                <w:kern w:val="0"/>
                <w:sz w:val="24"/>
                <w:szCs w:val="22"/>
                <w:lang w:eastAsia="zh-CN"/>
                <w14:textFill>
                  <w14:solidFill>
                    <w14:schemeClr w14:val="tx1"/>
                  </w14:solidFill>
                </w14:textFill>
              </w:rPr>
              <w:t>；</w:t>
            </w:r>
          </w:p>
          <w:p w14:paraId="57A1A8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Times New Roman" w:cs="Times New Roman"/>
                <w:snapToGrid w:val="0"/>
                <w:color w:val="0000FF"/>
                <w:kern w:val="0"/>
                <w:sz w:val="24"/>
                <w:szCs w:val="24"/>
                <w:lang w:val="en-US" w:eastAsia="zh-CN"/>
              </w:rPr>
            </w:pPr>
            <w:r>
              <w:rPr>
                <w:rFonts w:hint="eastAsia" w:ascii="Times New Roman" w:hAnsi="Times New Roman" w:cs="Times New Roman"/>
                <w:snapToGrid w:val="0"/>
                <w:color w:val="0000FF"/>
                <w:kern w:val="0"/>
                <w:sz w:val="24"/>
                <w:szCs w:val="22"/>
                <w:lang w:val="en-US" w:eastAsia="zh-CN"/>
              </w:rPr>
              <w:fldChar w:fldCharType="begin"/>
            </w:r>
            <w:r>
              <w:rPr>
                <w:rFonts w:hint="eastAsia" w:ascii="Times New Roman" w:hAnsi="Times New Roman" w:cs="Times New Roman"/>
                <w:snapToGrid w:val="0"/>
                <w:color w:val="0000FF"/>
                <w:kern w:val="0"/>
                <w:sz w:val="24"/>
                <w:szCs w:val="22"/>
                <w:lang w:val="en-US" w:eastAsia="zh-CN"/>
              </w:rPr>
              <w:instrText xml:space="preserve"> = 2 \* GB3 \* MERGEFORMAT </w:instrText>
            </w:r>
            <w:r>
              <w:rPr>
                <w:rFonts w:hint="eastAsia" w:ascii="Times New Roman" w:hAnsi="Times New Roman" w:cs="Times New Roman"/>
                <w:snapToGrid w:val="0"/>
                <w:color w:val="0000FF"/>
                <w:kern w:val="0"/>
                <w:sz w:val="24"/>
                <w:szCs w:val="22"/>
                <w:lang w:val="en-US" w:eastAsia="zh-CN"/>
              </w:rPr>
              <w:fldChar w:fldCharType="separate"/>
            </w:r>
            <w:r>
              <w:rPr>
                <w:rFonts w:hint="default" w:ascii="Times New Roman" w:hAnsi="Times New Roman" w:cs="Times New Roman"/>
                <w:snapToGrid w:val="0"/>
                <w:color w:val="0000FF"/>
                <w:kern w:val="0"/>
                <w:sz w:val="24"/>
                <w:szCs w:val="22"/>
                <w:lang w:eastAsia="zh-CN"/>
              </w:rPr>
              <w:t>②</w:t>
            </w:r>
            <w:r>
              <w:rPr>
                <w:rFonts w:hint="eastAsia" w:ascii="Times New Roman" w:hAnsi="Times New Roman" w:cs="Times New Roman"/>
                <w:snapToGrid w:val="0"/>
                <w:color w:val="0000FF"/>
                <w:kern w:val="0"/>
                <w:sz w:val="24"/>
                <w:szCs w:val="22"/>
                <w:lang w:val="en-US" w:eastAsia="zh-CN"/>
              </w:rPr>
              <w:fldChar w:fldCharType="end"/>
            </w:r>
            <w:r>
              <w:rPr>
                <w:rFonts w:hint="eastAsia" w:ascii="Times New Roman" w:hAnsi="Times New Roman" w:cs="Times New Roman"/>
                <w:snapToGrid w:val="0"/>
                <w:color w:val="0000FF"/>
                <w:kern w:val="0"/>
                <w:sz w:val="24"/>
                <w:szCs w:val="22"/>
                <w:lang w:val="en-US" w:eastAsia="zh-CN"/>
              </w:rPr>
              <w:t xml:space="preserve"> </w:t>
            </w:r>
            <w:r>
              <w:rPr>
                <w:rFonts w:hint="eastAsia" w:cs="Times New Roman"/>
                <w:snapToGrid w:val="0"/>
                <w:color w:val="0000FF"/>
                <w:kern w:val="0"/>
                <w:sz w:val="24"/>
                <w:szCs w:val="22"/>
                <w:lang w:val="en-US" w:eastAsia="zh-CN"/>
              </w:rPr>
              <w:t>洗车用水：根据《水利部关于印发综合医院等十一项服务业用水定额的通知》（水节约〔2021〕107号）中“服务业用水定额：洗车场所--自动洗车--通用值”计算，考虑加油站自动洗车设备适用车型，本次取最大值计算，冲洗用水定额取36L/（辆·次），加油站洗车量约为15辆/d，年运行365d，则年用水量为0.54m</w:t>
            </w:r>
            <w:r>
              <w:rPr>
                <w:rFonts w:hint="eastAsia" w:cs="Times New Roman"/>
                <w:snapToGrid w:val="0"/>
                <w:color w:val="0000FF"/>
                <w:kern w:val="0"/>
                <w:sz w:val="24"/>
                <w:szCs w:val="22"/>
                <w:vertAlign w:val="superscript"/>
                <w:lang w:val="en-US" w:eastAsia="zh-CN"/>
              </w:rPr>
              <w:t>3</w:t>
            </w:r>
            <w:r>
              <w:rPr>
                <w:rFonts w:hint="eastAsia" w:cs="Times New Roman"/>
                <w:snapToGrid w:val="0"/>
                <w:color w:val="0000FF"/>
                <w:kern w:val="0"/>
                <w:sz w:val="24"/>
                <w:szCs w:val="22"/>
                <w:lang w:val="en-US" w:eastAsia="zh-CN"/>
              </w:rPr>
              <w:t>/d（197.1m</w:t>
            </w:r>
            <w:r>
              <w:rPr>
                <w:rFonts w:hint="eastAsia" w:cs="Times New Roman"/>
                <w:snapToGrid w:val="0"/>
                <w:color w:val="0000FF"/>
                <w:kern w:val="0"/>
                <w:sz w:val="24"/>
                <w:szCs w:val="22"/>
                <w:vertAlign w:val="superscript"/>
                <w:lang w:val="en-US" w:eastAsia="zh-CN"/>
              </w:rPr>
              <w:t>3</w:t>
            </w:r>
            <w:r>
              <w:rPr>
                <w:rFonts w:hint="eastAsia" w:cs="Times New Roman"/>
                <w:snapToGrid w:val="0"/>
                <w:color w:val="0000FF"/>
                <w:kern w:val="0"/>
                <w:sz w:val="24"/>
                <w:szCs w:val="22"/>
                <w:lang w:val="en-US" w:eastAsia="zh-CN"/>
              </w:rPr>
              <w:t>/a）。</w:t>
            </w:r>
          </w:p>
          <w:p w14:paraId="2DBBED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Times New Roman" w:cs="Times New Roman"/>
                <w:snapToGrid w:val="0"/>
                <w:color w:val="0000FF"/>
                <w:kern w:val="0"/>
                <w:sz w:val="24"/>
                <w:szCs w:val="24"/>
                <w:lang w:val="en-US" w:eastAsia="zh-CN"/>
              </w:rPr>
            </w:pPr>
            <w:r>
              <w:rPr>
                <w:rFonts w:hint="eastAsia" w:ascii="Times New Roman" w:hAnsi="Times New Roman" w:cs="Times New Roman"/>
                <w:snapToGrid w:val="0"/>
                <w:color w:val="0000FF"/>
                <w:kern w:val="0"/>
                <w:sz w:val="24"/>
                <w:szCs w:val="24"/>
                <w:lang w:val="en-US" w:eastAsia="zh-CN"/>
              </w:rPr>
              <w:t>综上，</w:t>
            </w:r>
            <w:r>
              <w:rPr>
                <w:rFonts w:hint="default" w:ascii="Times New Roman" w:hAnsi="Times New Roman" w:eastAsia="宋体" w:cs="Times New Roman"/>
                <w:color w:val="0000FF"/>
                <w:sz w:val="24"/>
                <w:szCs w:val="24"/>
                <w:highlight w:val="none"/>
                <w:lang w:eastAsia="zh-CN"/>
              </w:rPr>
              <w:t>本项目用水量为</w:t>
            </w:r>
            <w:r>
              <w:rPr>
                <w:rFonts w:hint="eastAsia" w:cs="Times New Roman"/>
                <w:i w:val="0"/>
                <w:iCs w:val="0"/>
                <w:color w:val="0000FF"/>
                <w:kern w:val="0"/>
                <w:sz w:val="24"/>
                <w:szCs w:val="24"/>
                <w:u w:val="none"/>
                <w:lang w:val="en-US" w:eastAsia="zh-CN" w:bidi="ar"/>
              </w:rPr>
              <w:t>1383.35</w:t>
            </w:r>
            <w:r>
              <w:rPr>
                <w:rFonts w:hint="default" w:ascii="Times New Roman" w:hAnsi="Times New Roman" w:eastAsia="宋体" w:cs="Times New Roman"/>
                <w:color w:val="0000FF"/>
                <w:sz w:val="24"/>
                <w:szCs w:val="24"/>
                <w:highlight w:val="none"/>
                <w:lang w:val="en-US" w:eastAsia="zh-CN"/>
              </w:rPr>
              <w:t>m</w:t>
            </w:r>
            <w:r>
              <w:rPr>
                <w:rFonts w:hint="default"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highlight w:val="none"/>
                <w:lang w:val="en-US" w:eastAsia="zh-CN"/>
              </w:rPr>
              <w:t>/a</w:t>
            </w:r>
            <w:r>
              <w:rPr>
                <w:rFonts w:hint="default" w:ascii="Times New Roman" w:hAnsi="Times New Roman" w:eastAsia="宋体" w:cs="Times New Roman"/>
                <w:color w:val="0000FF"/>
                <w:sz w:val="24"/>
                <w:szCs w:val="24"/>
                <w:highlight w:val="none"/>
                <w:lang w:eastAsia="zh-CN"/>
              </w:rPr>
              <w:t>。</w:t>
            </w:r>
          </w:p>
          <w:p w14:paraId="5DA60D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snapToGrid w:val="0"/>
                <w:color w:val="000000" w:themeColor="text1"/>
                <w:kern w:val="0"/>
                <w:sz w:val="24"/>
                <w:szCs w:val="24"/>
                <w:lang w:eastAsia="zh-CN"/>
                <w14:textFill>
                  <w14:solidFill>
                    <w14:schemeClr w14:val="tx1"/>
                  </w14:solidFill>
                </w14:textFill>
              </w:rPr>
            </w:pPr>
            <w:r>
              <w:rPr>
                <w:rFonts w:hint="eastAsia" w:ascii="Times New Roman" w:hAnsi="Times New Roman" w:cs="Times New Roman"/>
                <w:snapToGrid w:val="0"/>
                <w:color w:val="000000" w:themeColor="text1"/>
                <w:kern w:val="0"/>
                <w:sz w:val="24"/>
                <w:szCs w:val="24"/>
                <w:lang w:val="en-US" w:eastAsia="zh-CN"/>
                <w14:textFill>
                  <w14:solidFill>
                    <w14:schemeClr w14:val="tx1"/>
                  </w14:solidFill>
                </w14:textFill>
              </w:rPr>
              <w:t>2.</w:t>
            </w:r>
            <w:r>
              <w:rPr>
                <w:rFonts w:hint="default" w:ascii="Times New Roman" w:hAnsi="Times New Roman" w:cs="Times New Roman"/>
                <w:snapToGrid w:val="0"/>
                <w:color w:val="000000" w:themeColor="text1"/>
                <w:kern w:val="0"/>
                <w:sz w:val="24"/>
                <w:szCs w:val="24"/>
                <w:lang w:eastAsia="zh-CN"/>
                <w14:textFill>
                  <w14:solidFill>
                    <w14:schemeClr w14:val="tx1"/>
                  </w14:solidFill>
                </w14:textFill>
              </w:rPr>
              <w:t>排水</w:t>
            </w:r>
          </w:p>
          <w:p w14:paraId="5446A5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60" w:firstLineChars="192"/>
              <w:textAlignment w:val="auto"/>
              <w:outlineLvl w:val="9"/>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本项目</w:t>
            </w:r>
            <w:r>
              <w:rPr>
                <w:rFonts w:hint="default"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废水主要为生活污水</w:t>
            </w:r>
            <w:r>
              <w:rPr>
                <w:rFonts w:hint="eastAsia" w:cs="Times New Roman"/>
                <w:snapToGrid w:val="0"/>
                <w:color w:val="000000" w:themeColor="text1"/>
                <w:kern w:val="0"/>
                <w:sz w:val="24"/>
                <w:szCs w:val="24"/>
                <w:highlight w:val="none"/>
                <w:lang w:val="en-US" w:eastAsia="zh-CN"/>
                <w14:textFill>
                  <w14:solidFill>
                    <w14:schemeClr w14:val="tx1"/>
                  </w14:solidFill>
                </w14:textFill>
              </w:rPr>
              <w:t>和洗车废水</w:t>
            </w:r>
            <w:r>
              <w:rPr>
                <w:rFonts w:hint="eastAsia"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w:t>
            </w:r>
            <w:r>
              <w:rPr>
                <w:rFonts w:hint="eastAsia" w:cs="Times New Roman"/>
                <w:snapToGrid w:val="0"/>
                <w:color w:val="0000FF"/>
                <w:kern w:val="0"/>
                <w:sz w:val="24"/>
                <w:szCs w:val="24"/>
                <w:highlight w:val="none"/>
                <w:lang w:val="en-US" w:eastAsia="zh-CN"/>
              </w:rPr>
              <w:t>根据《生活污染源产排污系数手册》，城镇生活污水产生量根据城镇生活用水量和折污系数计算。折污系数为0.8~0.9，其中，人均日生活用水量≤150升/人</w:t>
            </w:r>
            <w:r>
              <w:rPr>
                <w:rFonts w:hint="eastAsia" w:ascii="微软雅黑" w:hAnsi="微软雅黑" w:eastAsia="微软雅黑" w:cs="微软雅黑"/>
                <w:snapToGrid w:val="0"/>
                <w:color w:val="0000FF"/>
                <w:kern w:val="0"/>
                <w:sz w:val="24"/>
                <w:szCs w:val="24"/>
                <w:highlight w:val="none"/>
                <w:lang w:val="en-US" w:eastAsia="zh-CN"/>
              </w:rPr>
              <w:t>•</w:t>
            </w:r>
            <w:r>
              <w:rPr>
                <w:rFonts w:hint="eastAsia" w:cs="Times New Roman"/>
                <w:snapToGrid w:val="0"/>
                <w:color w:val="0000FF"/>
                <w:kern w:val="0"/>
                <w:sz w:val="24"/>
                <w:szCs w:val="24"/>
                <w:highlight w:val="none"/>
                <w:lang w:val="en-US" w:eastAsia="zh-CN"/>
              </w:rPr>
              <w:t>天时，折污系数取0.8，</w:t>
            </w:r>
            <w:r>
              <w:rPr>
                <w:rFonts w:hint="eastAsia" w:cs="Times New Roman"/>
                <w:snapToGrid w:val="0"/>
                <w:color w:val="000000" w:themeColor="text1"/>
                <w:kern w:val="0"/>
                <w:sz w:val="24"/>
                <w:szCs w:val="24"/>
                <w:highlight w:val="none"/>
                <w:lang w:val="en-US" w:eastAsia="zh-CN"/>
                <w14:textFill>
                  <w14:solidFill>
                    <w14:schemeClr w14:val="tx1"/>
                  </w14:solidFill>
                </w14:textFill>
              </w:rPr>
              <w:t>因此</w:t>
            </w:r>
            <w:r>
              <w:rPr>
                <w:rFonts w:hint="default"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生活污水按生活用水量的8</w:t>
            </w:r>
            <w:r>
              <w:rPr>
                <w:rFonts w:hint="eastAsia"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0</w:t>
            </w:r>
            <w:r>
              <w:rPr>
                <w:rFonts w:hint="default"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%计</w:t>
            </w:r>
            <w:r>
              <w:rPr>
                <w:rFonts w:hint="eastAsia"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项目生活用水量约为</w:t>
            </w:r>
            <w:r>
              <w:rPr>
                <w:rFonts w:hint="eastAsia" w:cs="Times New Roman"/>
                <w:snapToGrid w:val="0"/>
                <w:color w:val="000000" w:themeColor="text1"/>
                <w:kern w:val="0"/>
                <w:sz w:val="24"/>
                <w:szCs w:val="22"/>
                <w:lang w:val="en-US" w:eastAsia="zh-CN"/>
                <w14:textFill>
                  <w14:solidFill>
                    <w14:schemeClr w14:val="tx1"/>
                  </w14:solidFill>
                </w14:textFill>
              </w:rPr>
              <w:t>3.25</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d（</w:t>
            </w:r>
            <w:r>
              <w:rPr>
                <w:rFonts w:hint="eastAsia" w:cs="Times New Roman"/>
                <w:snapToGrid w:val="0"/>
                <w:color w:val="000000" w:themeColor="text1"/>
                <w:kern w:val="0"/>
                <w:sz w:val="24"/>
                <w:szCs w:val="22"/>
                <w:lang w:val="en-US" w:eastAsia="zh-CN"/>
                <w14:textFill>
                  <w14:solidFill>
                    <w14:schemeClr w14:val="tx1"/>
                  </w14:solidFill>
                </w14:textFill>
              </w:rPr>
              <w:t>1186.25</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/a</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则生活污水产生量为</w:t>
            </w:r>
            <w:r>
              <w:rPr>
                <w:rFonts w:hint="eastAsia" w:cs="Times New Roman"/>
                <w:snapToGrid w:val="0"/>
                <w:color w:val="000000" w:themeColor="text1"/>
                <w:kern w:val="0"/>
                <w:sz w:val="24"/>
                <w:szCs w:val="22"/>
                <w:lang w:val="en-US" w:eastAsia="zh-CN"/>
                <w14:textFill>
                  <w14:solidFill>
                    <w14:schemeClr w14:val="tx1"/>
                  </w14:solidFill>
                </w14:textFill>
              </w:rPr>
              <w:t>2.6</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d（</w:t>
            </w:r>
            <w:r>
              <w:rPr>
                <w:rFonts w:hint="eastAsia" w:cs="Times New Roman"/>
                <w:snapToGrid w:val="0"/>
                <w:color w:val="000000" w:themeColor="text1"/>
                <w:kern w:val="0"/>
                <w:sz w:val="24"/>
                <w:szCs w:val="22"/>
                <w:lang w:val="en-US" w:eastAsia="zh-CN"/>
                <w14:textFill>
                  <w14:solidFill>
                    <w14:schemeClr w14:val="tx1"/>
                  </w14:solidFill>
                </w14:textFill>
              </w:rPr>
              <w:t>949</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/a</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。生活污水排入污水管网，最终纳入</w:t>
            </w:r>
            <w:r>
              <w:rPr>
                <w:rFonts w:hint="default" w:ascii="Times New Roman" w:hAnsi="Times New Roman" w:eastAsia="宋体" w:cs="Times New Roman"/>
                <w:color w:val="000000" w:themeColor="text1"/>
                <w:spacing w:val="0"/>
                <w:kern w:val="21"/>
                <w:sz w:val="24"/>
                <w:szCs w:val="24"/>
                <w:lang w:eastAsia="zh-CN"/>
                <w14:textFill>
                  <w14:solidFill>
                    <w14:schemeClr w14:val="tx1"/>
                  </w14:solidFill>
                </w14:textFill>
              </w:rPr>
              <w:t>污水处理厂处理</w:t>
            </w:r>
            <w:r>
              <w:rPr>
                <w:rFonts w:hint="eastAsia" w:cs="Times New Roman"/>
                <w:color w:val="000000" w:themeColor="text1"/>
                <w:spacing w:val="0"/>
                <w:kern w:val="21"/>
                <w:sz w:val="24"/>
                <w:szCs w:val="24"/>
                <w:lang w:eastAsia="zh-CN"/>
                <w14:textFill>
                  <w14:solidFill>
                    <w14:schemeClr w14:val="tx1"/>
                  </w14:solidFill>
                </w14:textFill>
              </w:rPr>
              <w:t>；</w:t>
            </w:r>
            <w:r>
              <w:rPr>
                <w:rFonts w:hint="eastAsia" w:cs="Times New Roman"/>
                <w:snapToGrid w:val="0"/>
                <w:color w:val="000000" w:themeColor="text1"/>
                <w:kern w:val="0"/>
                <w:sz w:val="24"/>
                <w:szCs w:val="22"/>
                <w:lang w:val="en-US" w:eastAsia="zh-CN"/>
                <w14:textFill>
                  <w14:solidFill>
                    <w14:schemeClr w14:val="tx1"/>
                  </w14:solidFill>
                </w14:textFill>
              </w:rPr>
              <w:t>洗车废水按洗车用水的80%计，</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项目</w:t>
            </w:r>
            <w:r>
              <w:rPr>
                <w:rFonts w:hint="eastAsia" w:ascii="Times New Roman" w:hAnsi="Times New Roman" w:cs="Times New Roman"/>
                <w:snapToGrid w:val="0"/>
                <w:color w:val="000000" w:themeColor="text1"/>
                <w:kern w:val="0"/>
                <w:sz w:val="24"/>
                <w:szCs w:val="22"/>
                <w:lang w:val="en-US" w:eastAsia="zh-CN"/>
                <w14:textFill>
                  <w14:solidFill>
                    <w14:schemeClr w14:val="tx1"/>
                  </w14:solidFill>
                </w14:textFill>
              </w:rPr>
              <w:t>洗车</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用水量约为</w:t>
            </w:r>
            <w:r>
              <w:rPr>
                <w:rFonts w:hint="eastAsia" w:cs="Times New Roman"/>
                <w:snapToGrid w:val="0"/>
                <w:color w:val="0000FF"/>
                <w:kern w:val="0"/>
                <w:sz w:val="24"/>
                <w:szCs w:val="22"/>
                <w:lang w:val="en-US" w:eastAsia="zh-CN"/>
              </w:rPr>
              <w:t>0.54m</w:t>
            </w:r>
            <w:r>
              <w:rPr>
                <w:rFonts w:hint="eastAsia" w:cs="Times New Roman"/>
                <w:snapToGrid w:val="0"/>
                <w:color w:val="0000FF"/>
                <w:kern w:val="0"/>
                <w:sz w:val="24"/>
                <w:szCs w:val="22"/>
                <w:vertAlign w:val="superscript"/>
                <w:lang w:val="en-US" w:eastAsia="zh-CN"/>
              </w:rPr>
              <w:t>3</w:t>
            </w:r>
            <w:r>
              <w:rPr>
                <w:rFonts w:hint="eastAsia" w:cs="Times New Roman"/>
                <w:snapToGrid w:val="0"/>
                <w:color w:val="0000FF"/>
                <w:kern w:val="0"/>
                <w:sz w:val="24"/>
                <w:szCs w:val="22"/>
                <w:lang w:val="en-US" w:eastAsia="zh-CN"/>
              </w:rPr>
              <w:t>/d（197.1m</w:t>
            </w:r>
            <w:r>
              <w:rPr>
                <w:rFonts w:hint="eastAsia" w:cs="Times New Roman"/>
                <w:snapToGrid w:val="0"/>
                <w:color w:val="0000FF"/>
                <w:kern w:val="0"/>
                <w:sz w:val="24"/>
                <w:szCs w:val="22"/>
                <w:vertAlign w:val="superscript"/>
                <w:lang w:val="en-US" w:eastAsia="zh-CN"/>
              </w:rPr>
              <w:t>3</w:t>
            </w:r>
            <w:r>
              <w:rPr>
                <w:rFonts w:hint="eastAsia" w:cs="Times New Roman"/>
                <w:snapToGrid w:val="0"/>
                <w:color w:val="0000FF"/>
                <w:kern w:val="0"/>
                <w:sz w:val="24"/>
                <w:szCs w:val="22"/>
                <w:lang w:val="en-US" w:eastAsia="zh-CN"/>
              </w:rPr>
              <w:t>/a）</w:t>
            </w:r>
            <w:r>
              <w:rPr>
                <w:rFonts w:hint="eastAsia"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则</w:t>
            </w:r>
            <w:r>
              <w:rPr>
                <w:rFonts w:hint="eastAsia" w:ascii="Times New Roman" w:hAnsi="Times New Roman" w:eastAsia="宋体" w:cs="Times New Roman"/>
                <w:snapToGrid w:val="0"/>
                <w:color w:val="000000" w:themeColor="text1"/>
                <w:sz w:val="24"/>
                <w:szCs w:val="24"/>
                <w:lang w:val="en-US" w:eastAsia="zh-CN"/>
                <w14:textFill>
                  <w14:solidFill>
                    <w14:schemeClr w14:val="tx1"/>
                  </w14:solidFill>
                </w14:textFill>
              </w:rPr>
              <w:t>洗车废水</w:t>
            </w: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产生量为</w:t>
            </w:r>
            <w:r>
              <w:rPr>
                <w:rFonts w:hint="eastAsia" w:cs="Times New Roman"/>
                <w:snapToGrid w:val="0"/>
                <w:color w:val="000000" w:themeColor="text1"/>
                <w:kern w:val="0"/>
                <w:sz w:val="24"/>
                <w:szCs w:val="22"/>
                <w:lang w:val="en-US" w:eastAsia="zh-CN"/>
                <w14:textFill>
                  <w14:solidFill>
                    <w14:schemeClr w14:val="tx1"/>
                  </w14:solidFill>
                </w14:textFill>
              </w:rPr>
              <w:t>0.432m</w:t>
            </w:r>
            <w:r>
              <w:rPr>
                <w:rFonts w:hint="eastAsia" w:cs="Times New Roman"/>
                <w:snapToGrid w:val="0"/>
                <w:color w:val="000000" w:themeColor="text1"/>
                <w:kern w:val="0"/>
                <w:sz w:val="24"/>
                <w:szCs w:val="22"/>
                <w:vertAlign w:val="superscript"/>
                <w:lang w:val="en-US" w:eastAsia="zh-CN"/>
                <w14:textFill>
                  <w14:solidFill>
                    <w14:schemeClr w14:val="tx1"/>
                  </w14:solidFill>
                </w14:textFill>
              </w:rPr>
              <w:t>3</w:t>
            </w:r>
            <w:r>
              <w:rPr>
                <w:rFonts w:hint="eastAsia" w:cs="Times New Roman"/>
                <w:snapToGrid w:val="0"/>
                <w:color w:val="000000" w:themeColor="text1"/>
                <w:kern w:val="0"/>
                <w:sz w:val="24"/>
                <w:szCs w:val="22"/>
                <w:lang w:val="en-US" w:eastAsia="zh-CN"/>
                <w14:textFill>
                  <w14:solidFill>
                    <w14:schemeClr w14:val="tx1"/>
                  </w14:solidFill>
                </w14:textFill>
              </w:rPr>
              <w:t>/d（157.68m</w:t>
            </w:r>
            <w:r>
              <w:rPr>
                <w:rFonts w:hint="eastAsia" w:cs="Times New Roman"/>
                <w:snapToGrid w:val="0"/>
                <w:color w:val="000000" w:themeColor="text1"/>
                <w:kern w:val="0"/>
                <w:sz w:val="24"/>
                <w:szCs w:val="22"/>
                <w:vertAlign w:val="superscript"/>
                <w:lang w:val="en-US" w:eastAsia="zh-CN"/>
                <w14:textFill>
                  <w14:solidFill>
                    <w14:schemeClr w14:val="tx1"/>
                  </w14:solidFill>
                </w14:textFill>
              </w:rPr>
              <w:t>3</w:t>
            </w:r>
            <w:r>
              <w:rPr>
                <w:rFonts w:hint="eastAsia" w:cs="Times New Roman"/>
                <w:snapToGrid w:val="0"/>
                <w:color w:val="000000" w:themeColor="text1"/>
                <w:kern w:val="0"/>
                <w:sz w:val="24"/>
                <w:szCs w:val="22"/>
                <w:lang w:val="en-US" w:eastAsia="zh-CN"/>
                <w14:textFill>
                  <w14:solidFill>
                    <w14:schemeClr w14:val="tx1"/>
                  </w14:solidFill>
                </w14:textFill>
              </w:rPr>
              <w:t>/a）</w:t>
            </w: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snapToGrid w:val="0"/>
                <w:color w:val="000000" w:themeColor="text1"/>
                <w:sz w:val="24"/>
                <w:szCs w:val="24"/>
                <w:lang w:val="en-US" w:eastAsia="zh-CN"/>
                <w14:textFill>
                  <w14:solidFill>
                    <w14:schemeClr w14:val="tx1"/>
                  </w14:solidFill>
                </w14:textFill>
              </w:rPr>
              <w:t>洗车废水设置隔油沉淀池，经隔油处理后</w:t>
            </w: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排入污水管网，最终纳入</w:t>
            </w:r>
            <w:r>
              <w:rPr>
                <w:rFonts w:hint="eastAsia" w:cs="Times New Roman"/>
                <w:color w:val="000000" w:themeColor="text1"/>
                <w:spacing w:val="0"/>
                <w:kern w:val="21"/>
                <w:sz w:val="24"/>
                <w:szCs w:val="24"/>
                <w:lang w:eastAsia="zh-CN"/>
                <w14:textFill>
                  <w14:solidFill>
                    <w14:schemeClr w14:val="tx1"/>
                  </w14:solidFill>
                </w14:textFill>
              </w:rPr>
              <w:t>玛纳斯县城镇污水处理厂</w:t>
            </w:r>
            <w:r>
              <w:rPr>
                <w:rFonts w:hint="default" w:ascii="Times New Roman" w:hAnsi="Times New Roman" w:eastAsia="宋体" w:cs="Times New Roman"/>
                <w:color w:val="000000" w:themeColor="text1"/>
                <w:spacing w:val="0"/>
                <w:kern w:val="21"/>
                <w:sz w:val="24"/>
                <w:szCs w:val="24"/>
                <w:lang w:eastAsia="zh-CN"/>
                <w14:textFill>
                  <w14:solidFill>
                    <w14:schemeClr w14:val="tx1"/>
                  </w14:solidFill>
                </w14:textFill>
              </w:rPr>
              <w:t>处理</w:t>
            </w: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w:t>
            </w:r>
          </w:p>
          <w:p w14:paraId="6A313B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60" w:firstLineChars="192"/>
              <w:textAlignment w:val="auto"/>
              <w:outlineLvl w:val="9"/>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项目用排水平衡见表</w:t>
            </w:r>
            <w:r>
              <w:rPr>
                <w:rFonts w:hint="eastAsia" w:cs="Times New Roman"/>
                <w:b w:val="0"/>
                <w:bCs/>
                <w:color w:val="000000" w:themeColor="text1"/>
                <w:sz w:val="24"/>
                <w:szCs w:val="24"/>
                <w:lang w:val="en-US" w:eastAsia="zh-CN"/>
                <w14:textFill>
                  <w14:solidFill>
                    <w14:schemeClr w14:val="tx1"/>
                  </w14:solidFill>
                </w14:textFill>
              </w:rPr>
              <w:t>2-8</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5D7A4B62">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ind w:left="0" w:right="0"/>
              <w:jc w:val="center"/>
              <w:textAlignment w:val="auto"/>
              <w:rPr>
                <w:rFonts w:hint="default" w:ascii="Times New Roman" w:hAnsi="Times New Roman" w:eastAsia="宋体" w:cs="Times New Roman"/>
                <w:b/>
                <w:color w:val="000000" w:themeColor="text1"/>
                <w:kern w:val="2"/>
                <w:sz w:val="21"/>
                <w:szCs w:val="21"/>
                <w:highlight w:val="none"/>
                <w:vertAlign w:val="superscript"/>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vertAlign w:val="baseline"/>
                <w:lang w:val="en-US" w:eastAsia="zh-CN" w:bidi="ar-SA"/>
                <w14:textFill>
                  <w14:solidFill>
                    <w14:schemeClr w14:val="tx1"/>
                  </w14:solidFill>
                </w14:textFill>
              </w:rPr>
              <w:t>表</w:t>
            </w:r>
            <w:r>
              <w:rPr>
                <w:rFonts w:hint="eastAsia" w:cs="Times New Roman"/>
                <w:b/>
                <w:bCs/>
                <w:snapToGrid w:val="0"/>
                <w:color w:val="000000" w:themeColor="text1"/>
                <w:kern w:val="0"/>
                <w:sz w:val="21"/>
                <w:szCs w:val="21"/>
                <w:highlight w:val="none"/>
                <w:vertAlign w:val="baseline"/>
                <w:lang w:val="en-US" w:eastAsia="zh-CN" w:bidi="ar-SA"/>
                <w14:textFill>
                  <w14:solidFill>
                    <w14:schemeClr w14:val="tx1"/>
                  </w14:solidFill>
                </w14:textFill>
              </w:rPr>
              <w:t xml:space="preserve">2-8 </w:t>
            </w:r>
            <w:r>
              <w:rPr>
                <w:rFonts w:hint="default" w:ascii="Times New Roman" w:hAnsi="Times New Roman" w:eastAsia="宋体" w:cs="Times New Roman"/>
                <w:b/>
                <w:bCs/>
                <w:snapToGrid w:val="0"/>
                <w:color w:val="000000" w:themeColor="text1"/>
                <w:kern w:val="0"/>
                <w:sz w:val="21"/>
                <w:szCs w:val="21"/>
                <w:highlight w:val="none"/>
                <w:vertAlign w:val="baseline"/>
                <w:lang w:val="en-US" w:eastAsia="zh-CN" w:bidi="ar-SA"/>
                <w14:textFill>
                  <w14:solidFill>
                    <w14:schemeClr w14:val="tx1"/>
                  </w14:solidFill>
                </w14:textFill>
              </w:rPr>
              <w:t xml:space="preserve">   </w:t>
            </w:r>
            <w:r>
              <w:rPr>
                <w:rFonts w:hint="eastAsia" w:ascii="Times New Roman" w:hAnsi="Times New Roman" w:eastAsia="宋体" w:cs="Times New Roman"/>
                <w:b/>
                <w:bCs/>
                <w:snapToGrid w:val="0"/>
                <w:color w:val="000000" w:themeColor="text1"/>
                <w:kern w:val="0"/>
                <w:sz w:val="21"/>
                <w:szCs w:val="21"/>
                <w:highlight w:val="none"/>
                <w:vertAlign w:val="baseline"/>
                <w:lang w:val="en-US" w:eastAsia="zh-CN" w:bidi="ar-SA"/>
                <w14:textFill>
                  <w14:solidFill>
                    <w14:schemeClr w14:val="tx1"/>
                  </w14:solidFill>
                </w14:textFill>
              </w:rPr>
              <w:t>项目用、排水情况一览表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84"/>
              <w:gridCol w:w="997"/>
              <w:gridCol w:w="2100"/>
              <w:gridCol w:w="1640"/>
              <w:gridCol w:w="1635"/>
              <w:gridCol w:w="1433"/>
            </w:tblGrid>
            <w:tr w14:paraId="471FE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942" w:type="pct"/>
                  <w:gridSpan w:val="2"/>
                  <w:tcBorders>
                    <w:tl2br w:val="nil"/>
                    <w:tr2bl w:val="nil"/>
                  </w:tcBorders>
                  <w:noWrap w:val="0"/>
                  <w:vAlign w:val="center"/>
                </w:tcPr>
                <w:p w14:paraId="3CBE3C3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用水类别</w:t>
                  </w:r>
                </w:p>
              </w:tc>
              <w:tc>
                <w:tcPr>
                  <w:tcW w:w="1251" w:type="pct"/>
                  <w:tcBorders>
                    <w:tl2br w:val="nil"/>
                    <w:tr2bl w:val="nil"/>
                  </w:tcBorders>
                  <w:noWrap w:val="0"/>
                  <w:vAlign w:val="center"/>
                </w:tcPr>
                <w:p w14:paraId="6D1B5AD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用水规模</w:t>
                  </w:r>
                </w:p>
              </w:tc>
              <w:tc>
                <w:tcPr>
                  <w:tcW w:w="977" w:type="pct"/>
                  <w:tcBorders>
                    <w:tl2br w:val="nil"/>
                    <w:tr2bl w:val="nil"/>
                  </w:tcBorders>
                  <w:noWrap w:val="0"/>
                  <w:vAlign w:val="center"/>
                </w:tcPr>
                <w:p w14:paraId="5506EEF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用水量（</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w:t>
                  </w: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974" w:type="pct"/>
                  <w:tcBorders>
                    <w:tl2br w:val="nil"/>
                    <w:tr2bl w:val="nil"/>
                  </w:tcBorders>
                  <w:noWrap w:val="0"/>
                  <w:vAlign w:val="center"/>
                </w:tcPr>
                <w:p w14:paraId="4E6C437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消耗量（</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w:t>
                  </w: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854" w:type="pct"/>
                  <w:tcBorders>
                    <w:tl2br w:val="nil"/>
                    <w:tr2bl w:val="nil"/>
                  </w:tcBorders>
                  <w:noWrap w:val="0"/>
                  <w:vAlign w:val="center"/>
                </w:tcPr>
                <w:p w14:paraId="252BE8C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排水量（</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w:t>
                  </w: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r>
            <w:tr w14:paraId="1EC68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48" w:type="pct"/>
                  <w:vMerge w:val="restart"/>
                  <w:tcBorders>
                    <w:tl2br w:val="nil"/>
                    <w:tr2bl w:val="nil"/>
                  </w:tcBorders>
                  <w:noWrap w:val="0"/>
                  <w:vAlign w:val="center"/>
                </w:tcPr>
                <w:p w14:paraId="4E38E82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eastAsia="宋体" w:cs="Times New Roman"/>
                      <w:color w:val="000000" w:themeColor="text1"/>
                      <w:sz w:val="21"/>
                      <w:szCs w:val="21"/>
                      <w:highlight w:val="none"/>
                      <w:lang w:eastAsia="zh-CN"/>
                      <w14:textFill>
                        <w14:solidFill>
                          <w14:schemeClr w14:val="tx1"/>
                        </w14:solidFill>
                      </w14:textFill>
                    </w:rPr>
                    <w:t>生活用水</w:t>
                  </w:r>
                </w:p>
              </w:tc>
              <w:tc>
                <w:tcPr>
                  <w:tcW w:w="593" w:type="pct"/>
                  <w:tcBorders>
                    <w:tl2br w:val="nil"/>
                    <w:tr2bl w:val="nil"/>
                  </w:tcBorders>
                  <w:noWrap w:val="0"/>
                  <w:vAlign w:val="center"/>
                </w:tcPr>
                <w:p w14:paraId="2F280C4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eastAsia" w:eastAsia="宋体" w:cs="Times New Roman"/>
                      <w:color w:val="000000" w:themeColor="text1"/>
                      <w:sz w:val="21"/>
                      <w:szCs w:val="21"/>
                      <w:highlight w:val="none"/>
                      <w:lang w:eastAsia="zh-CN"/>
                      <w14:textFill>
                        <w14:solidFill>
                          <w14:schemeClr w14:val="tx1"/>
                        </w14:solidFill>
                      </w14:textFill>
                    </w:rPr>
                  </w:pPr>
                  <w:r>
                    <w:rPr>
                      <w:rFonts w:hint="eastAsia" w:eastAsia="宋体" w:cs="Times New Roman"/>
                      <w:color w:val="000000" w:themeColor="text1"/>
                      <w:sz w:val="21"/>
                      <w:szCs w:val="21"/>
                      <w:highlight w:val="none"/>
                      <w:lang w:eastAsia="zh-CN"/>
                      <w14:textFill>
                        <w14:solidFill>
                          <w14:schemeClr w14:val="tx1"/>
                        </w14:solidFill>
                      </w14:textFill>
                    </w:rPr>
                    <w:t>职工用水</w:t>
                  </w:r>
                </w:p>
              </w:tc>
              <w:tc>
                <w:tcPr>
                  <w:tcW w:w="1251" w:type="pct"/>
                  <w:tcBorders>
                    <w:tl2br w:val="nil"/>
                    <w:tr2bl w:val="nil"/>
                  </w:tcBorders>
                  <w:noWrap w:val="0"/>
                  <w:vAlign w:val="center"/>
                </w:tcPr>
                <w:p w14:paraId="665BEC2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L/人·d</w:t>
                  </w:r>
                  <w:r>
                    <w:rPr>
                      <w:rFonts w:hint="eastAsia" w:eastAsia="宋体" w:cs="Times New Roman"/>
                      <w:color w:val="000000" w:themeColor="text1"/>
                      <w:sz w:val="21"/>
                      <w:szCs w:val="21"/>
                      <w:highlight w:val="none"/>
                      <w:lang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人/d</w:t>
                  </w:r>
                </w:p>
              </w:tc>
              <w:tc>
                <w:tcPr>
                  <w:tcW w:w="977" w:type="pct"/>
                  <w:tcBorders>
                    <w:tl2br w:val="nil"/>
                    <w:tr2bl w:val="nil"/>
                  </w:tcBorders>
                  <w:noWrap w:val="0"/>
                  <w:vAlign w:val="center"/>
                </w:tcPr>
                <w:p w14:paraId="1B71323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91.25</w:t>
                  </w:r>
                </w:p>
              </w:tc>
              <w:tc>
                <w:tcPr>
                  <w:tcW w:w="974" w:type="pct"/>
                  <w:tcBorders>
                    <w:tl2br w:val="nil"/>
                    <w:tr2bl w:val="nil"/>
                  </w:tcBorders>
                  <w:noWrap w:val="0"/>
                  <w:vAlign w:val="center"/>
                </w:tcPr>
                <w:p w14:paraId="3811F9E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18.25</w:t>
                  </w:r>
                </w:p>
              </w:tc>
              <w:tc>
                <w:tcPr>
                  <w:tcW w:w="854" w:type="pct"/>
                  <w:vMerge w:val="restart"/>
                  <w:tcBorders>
                    <w:tl2br w:val="nil"/>
                    <w:tr2bl w:val="nil"/>
                  </w:tcBorders>
                  <w:noWrap w:val="0"/>
                  <w:vAlign w:val="center"/>
                </w:tcPr>
                <w:p w14:paraId="2A402C6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949</w:t>
                  </w:r>
                </w:p>
              </w:tc>
            </w:tr>
            <w:tr w14:paraId="5FD9C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48" w:type="pct"/>
                  <w:vMerge w:val="continue"/>
                  <w:tcBorders>
                    <w:tl2br w:val="nil"/>
                    <w:tr2bl w:val="nil"/>
                  </w:tcBorders>
                  <w:noWrap w:val="0"/>
                  <w:vAlign w:val="center"/>
                </w:tcPr>
                <w:p w14:paraId="7462450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3" w:type="pct"/>
                  <w:tcBorders>
                    <w:tl2br w:val="nil"/>
                    <w:tr2bl w:val="nil"/>
                  </w:tcBorders>
                  <w:noWrap w:val="0"/>
                  <w:vAlign w:val="center"/>
                </w:tcPr>
                <w:p w14:paraId="0B11A81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eastAsia="宋体" w:cs="Times New Roman"/>
                      <w:color w:val="000000" w:themeColor="text1"/>
                      <w:sz w:val="21"/>
                      <w:szCs w:val="21"/>
                      <w:highlight w:val="none"/>
                      <w:lang w:eastAsia="zh-CN"/>
                      <w14:textFill>
                        <w14:solidFill>
                          <w14:schemeClr w14:val="tx1"/>
                        </w14:solidFill>
                      </w14:textFill>
                    </w:rPr>
                    <w:t>冲厕用水</w:t>
                  </w:r>
                </w:p>
              </w:tc>
              <w:tc>
                <w:tcPr>
                  <w:tcW w:w="1251" w:type="pct"/>
                  <w:tcBorders>
                    <w:tl2br w:val="nil"/>
                    <w:tr2bl w:val="nil"/>
                  </w:tcBorders>
                  <w:noWrap w:val="0"/>
                  <w:vAlign w:val="center"/>
                </w:tcPr>
                <w:p w14:paraId="535B8A9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15L/人次·d</w:t>
                  </w:r>
                  <w:r>
                    <w:rPr>
                      <w:rFonts w:hint="eastAsia" w:eastAsia="宋体"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200</w:t>
                  </w:r>
                  <w:r>
                    <w:rPr>
                      <w:rFonts w:hint="default" w:ascii="Times New Roman" w:hAnsi="Times New Roman" w:eastAsia="宋体" w:cs="Times New Roman"/>
                      <w:color w:val="000000" w:themeColor="text1"/>
                      <w:sz w:val="21"/>
                      <w:szCs w:val="21"/>
                      <w:highlight w:val="none"/>
                      <w14:textFill>
                        <w14:solidFill>
                          <w14:schemeClr w14:val="tx1"/>
                        </w14:solidFill>
                      </w14:textFill>
                    </w:rPr>
                    <w:t>人/d</w:t>
                  </w:r>
                </w:p>
              </w:tc>
              <w:tc>
                <w:tcPr>
                  <w:tcW w:w="977" w:type="pct"/>
                  <w:tcBorders>
                    <w:tl2br w:val="nil"/>
                    <w:tr2bl w:val="nil"/>
                  </w:tcBorders>
                  <w:noWrap w:val="0"/>
                  <w:vAlign w:val="center"/>
                </w:tcPr>
                <w:p w14:paraId="222B9A2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1095</w:t>
                  </w:r>
                </w:p>
              </w:tc>
              <w:tc>
                <w:tcPr>
                  <w:tcW w:w="974" w:type="pct"/>
                  <w:tcBorders>
                    <w:tl2br w:val="nil"/>
                    <w:tr2bl w:val="nil"/>
                  </w:tcBorders>
                  <w:noWrap w:val="0"/>
                  <w:vAlign w:val="center"/>
                </w:tcPr>
                <w:p w14:paraId="36BD214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219</w:t>
                  </w:r>
                </w:p>
              </w:tc>
              <w:tc>
                <w:tcPr>
                  <w:tcW w:w="854" w:type="pct"/>
                  <w:vMerge w:val="continue"/>
                  <w:tcBorders>
                    <w:tl2br w:val="nil"/>
                    <w:tr2bl w:val="nil"/>
                  </w:tcBorders>
                  <w:noWrap w:val="0"/>
                  <w:vAlign w:val="center"/>
                </w:tcPr>
                <w:p w14:paraId="22CF90C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eastAsia" w:eastAsia="宋体" w:cs="Times New Roman"/>
                      <w:color w:val="000000" w:themeColor="text1"/>
                      <w:sz w:val="21"/>
                      <w:szCs w:val="21"/>
                      <w:highlight w:val="none"/>
                      <w:lang w:val="en-US" w:eastAsia="zh-CN"/>
                      <w14:textFill>
                        <w14:solidFill>
                          <w14:schemeClr w14:val="tx1"/>
                        </w14:solidFill>
                      </w14:textFill>
                    </w:rPr>
                  </w:pPr>
                </w:p>
              </w:tc>
            </w:tr>
            <w:tr w14:paraId="0701A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942" w:type="pct"/>
                  <w:gridSpan w:val="2"/>
                  <w:tcBorders>
                    <w:tl2br w:val="nil"/>
                    <w:tr2bl w:val="nil"/>
                  </w:tcBorders>
                  <w:noWrap w:val="0"/>
                  <w:vAlign w:val="center"/>
                </w:tcPr>
                <w:p w14:paraId="5E6A631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洗车用水</w:t>
                  </w:r>
                </w:p>
              </w:tc>
              <w:tc>
                <w:tcPr>
                  <w:tcW w:w="1251" w:type="pct"/>
                  <w:tcBorders>
                    <w:tl2br w:val="nil"/>
                    <w:tr2bl w:val="nil"/>
                  </w:tcBorders>
                  <w:noWrap w:val="0"/>
                  <w:vAlign w:val="center"/>
                </w:tcPr>
                <w:p w14:paraId="3F4B177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L/辆</w:t>
                  </w:r>
                  <w:r>
                    <w:rPr>
                      <w:rFonts w:hint="default" w:ascii="Times New Roman" w:hAnsi="Times New Roman" w:eastAsia="宋体" w:cs="Times New Roman"/>
                      <w:color w:val="000000" w:themeColor="text1"/>
                      <w:sz w:val="21"/>
                      <w:szCs w:val="21"/>
                      <w:highlight w:val="none"/>
                      <w14:textFill>
                        <w14:solidFill>
                          <w14:schemeClr w14:val="tx1"/>
                        </w14:solidFill>
                      </w14:textFill>
                    </w:rPr>
                    <w:t>·d</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15辆/d</w:t>
                  </w:r>
                </w:p>
              </w:tc>
              <w:tc>
                <w:tcPr>
                  <w:tcW w:w="977" w:type="pct"/>
                  <w:tcBorders>
                    <w:tl2br w:val="nil"/>
                    <w:tr2bl w:val="nil"/>
                  </w:tcBorders>
                  <w:noWrap w:val="0"/>
                  <w:vAlign w:val="center"/>
                </w:tcPr>
                <w:p w14:paraId="4665E2A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197.1</w:t>
                  </w:r>
                </w:p>
              </w:tc>
              <w:tc>
                <w:tcPr>
                  <w:tcW w:w="974" w:type="pct"/>
                  <w:tcBorders>
                    <w:tl2br w:val="nil"/>
                    <w:tr2bl w:val="nil"/>
                  </w:tcBorders>
                  <w:noWrap w:val="0"/>
                  <w:vAlign w:val="center"/>
                </w:tcPr>
                <w:p w14:paraId="23A70DA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39.42</w:t>
                  </w:r>
                </w:p>
              </w:tc>
              <w:tc>
                <w:tcPr>
                  <w:tcW w:w="854" w:type="pct"/>
                  <w:tcBorders>
                    <w:tl2br w:val="nil"/>
                    <w:tr2bl w:val="nil"/>
                  </w:tcBorders>
                  <w:noWrap w:val="0"/>
                  <w:vAlign w:val="center"/>
                </w:tcPr>
                <w:p w14:paraId="0BFF9E5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157.68</w:t>
                  </w:r>
                </w:p>
              </w:tc>
            </w:tr>
            <w:tr w14:paraId="689FA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942" w:type="pct"/>
                  <w:gridSpan w:val="2"/>
                  <w:tcBorders>
                    <w:tl2br w:val="nil"/>
                    <w:tr2bl w:val="nil"/>
                  </w:tcBorders>
                  <w:noWrap w:val="0"/>
                  <w:vAlign w:val="center"/>
                </w:tcPr>
                <w:p w14:paraId="001C3D0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1251" w:type="pct"/>
                  <w:tcBorders>
                    <w:tl2br w:val="nil"/>
                    <w:tr2bl w:val="nil"/>
                  </w:tcBorders>
                  <w:noWrap w:val="0"/>
                  <w:vAlign w:val="center"/>
                </w:tcPr>
                <w:p w14:paraId="78DEB24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640" w:type="dxa"/>
                  <w:tcBorders>
                    <w:tl2br w:val="nil"/>
                    <w:tr2bl w:val="nil"/>
                  </w:tcBorders>
                  <w:noWrap w:val="0"/>
                  <w:vAlign w:val="center"/>
                </w:tcPr>
                <w:p w14:paraId="1F6D2FF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1383.35</w:t>
                  </w:r>
                </w:p>
              </w:tc>
              <w:tc>
                <w:tcPr>
                  <w:tcW w:w="1635" w:type="dxa"/>
                  <w:tcBorders>
                    <w:tl2br w:val="nil"/>
                    <w:tr2bl w:val="nil"/>
                  </w:tcBorders>
                  <w:noWrap w:val="0"/>
                  <w:vAlign w:val="center"/>
                </w:tcPr>
                <w:p w14:paraId="303241A6">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276.67</w:t>
                  </w:r>
                </w:p>
              </w:tc>
              <w:tc>
                <w:tcPr>
                  <w:tcW w:w="1433" w:type="dxa"/>
                  <w:tcBorders>
                    <w:tl2br w:val="nil"/>
                    <w:tr2bl w:val="nil"/>
                  </w:tcBorders>
                  <w:noWrap w:val="0"/>
                  <w:vAlign w:val="center"/>
                </w:tcPr>
                <w:p w14:paraId="17EF9EA3">
                  <w:pPr>
                    <w:keepNext w:val="0"/>
                    <w:keepLines w:val="0"/>
                    <w:widowControl/>
                    <w:suppressLineNumbers w:val="0"/>
                    <w:jc w:val="center"/>
                    <w:textAlignment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1106.68</w:t>
                  </w:r>
                </w:p>
              </w:tc>
            </w:tr>
          </w:tbl>
          <w:p w14:paraId="4B7086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14:textFill>
                  <w14:solidFill>
                    <w14:schemeClr w14:val="tx1"/>
                  </w14:solidFill>
                </w14:textFill>
              </w:rPr>
              <w:t>水平衡关系见图</w:t>
            </w:r>
            <w:r>
              <w:rPr>
                <w:rFonts w:hint="eastAsia" w:cs="Times New Roman"/>
                <w:color w:val="000000" w:themeColor="text1"/>
                <w:sz w:val="24"/>
                <w:szCs w:val="24"/>
                <w:highlight w:val="none"/>
                <w:lang w:val="en-US" w:eastAsia="zh-CN"/>
                <w14:textFill>
                  <w14:solidFill>
                    <w14:schemeClr w14:val="tx1"/>
                  </w14:solidFill>
                </w14:textFill>
              </w:rPr>
              <w:t>2-1。</w:t>
            </w:r>
          </w:p>
          <w:p w14:paraId="06E34917">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color w:val="000000" w:themeColor="text1"/>
                <w:sz w:val="24"/>
                <w14:textFill>
                  <w14:solidFill>
                    <w14:schemeClr w14:val="tx1"/>
                  </w14:solidFill>
                </w14:textFill>
              </w:rPr>
              <mc:AlternateContent>
                <mc:Choice Requires="wpc">
                  <w:drawing>
                    <wp:inline distT="0" distB="0" distL="114300" distR="114300">
                      <wp:extent cx="5010150" cy="2287270"/>
                      <wp:effectExtent l="0" t="0" r="0" b="0"/>
                      <wp:docPr id="24" name="画布 42"/>
                      <wp:cNvGraphicFramePr/>
                      <a:graphic xmlns:a="http://schemas.openxmlformats.org/drawingml/2006/main">
                        <a:graphicData uri="http://schemas.microsoft.com/office/word/2010/wordprocessingCanvas">
                          <wpc:wpc>
                            <wpc:bg>
                              <a:noFill/>
                            </wpc:bg>
                            <wpc:whole>
                              <a:ln>
                                <a:noFill/>
                              </a:ln>
                            </wpc:whole>
                            <wps:wsp>
                              <wps:cNvPr id="18" name="矩形 44"/>
                              <wps:cNvSpPr/>
                              <wps:spPr>
                                <a:xfrm>
                                  <a:off x="1461771" y="518160"/>
                                  <a:ext cx="942340" cy="291465"/>
                                </a:xfrm>
                                <a:prstGeom prst="rect">
                                  <a:avLst/>
                                </a:prstGeom>
                                <a:noFill/>
                                <a:ln w="3175" cap="flat" cmpd="sng">
                                  <a:solidFill>
                                    <a:srgbClr val="000000"/>
                                  </a:solidFill>
                                  <a:prstDash val="solid"/>
                                  <a:miter/>
                                  <a:headEnd type="none" w="med" len="med"/>
                                  <a:tailEnd type="none" w="med" len="med"/>
                                </a:ln>
                              </wps:spPr>
                              <wps:txbx>
                                <w:txbxContent>
                                  <w:p w14:paraId="432FB1C3">
                                    <w:pPr>
                                      <w:jc w:val="center"/>
                                      <w:rPr>
                                        <w:rFonts w:hint="eastAsia" w:eastAsia="宋体"/>
                                        <w:lang w:eastAsia="zh-CN"/>
                                      </w:rPr>
                                    </w:pPr>
                                    <w:r>
                                      <w:rPr>
                                        <w:rFonts w:hint="eastAsia"/>
                                        <w:lang w:eastAsia="zh-CN"/>
                                      </w:rPr>
                                      <w:t>生活用水</w:t>
                                    </w:r>
                                  </w:p>
                                </w:txbxContent>
                              </wps:txbx>
                              <wps:bodyPr vert="horz" wrap="square" anchor="t" anchorCtr="0" upright="1"/>
                            </wps:wsp>
                            <wps:wsp>
                              <wps:cNvPr id="25" name="直线 47"/>
                              <wps:cNvCnPr/>
                              <wps:spPr>
                                <a:xfrm>
                                  <a:off x="930910" y="681355"/>
                                  <a:ext cx="9525" cy="1323340"/>
                                </a:xfrm>
                                <a:prstGeom prst="line">
                                  <a:avLst/>
                                </a:prstGeom>
                                <a:ln w="3175" cap="flat" cmpd="sng">
                                  <a:solidFill>
                                    <a:srgbClr val="000000"/>
                                  </a:solidFill>
                                  <a:prstDash val="solid"/>
                                  <a:headEnd type="none" w="med" len="med"/>
                                  <a:tailEnd type="none" w="med" len="med"/>
                                </a:ln>
                              </wps:spPr>
                              <wps:bodyPr upright="1"/>
                            </wps:wsp>
                            <wps:wsp>
                              <wps:cNvPr id="26" name="直线 48"/>
                              <wps:cNvCnPr/>
                              <wps:spPr>
                                <a:xfrm>
                                  <a:off x="941705" y="692785"/>
                                  <a:ext cx="497840" cy="0"/>
                                </a:xfrm>
                                <a:prstGeom prst="line">
                                  <a:avLst/>
                                </a:prstGeom>
                                <a:ln w="3175" cap="flat" cmpd="sng">
                                  <a:solidFill>
                                    <a:srgbClr val="000000"/>
                                  </a:solidFill>
                                  <a:prstDash val="solid"/>
                                  <a:headEnd type="none" w="med" len="med"/>
                                  <a:tailEnd type="triangle" w="med" len="med"/>
                                </a:ln>
                              </wps:spPr>
                              <wps:bodyPr upright="1"/>
                            </wps:wsp>
                            <wps:wsp>
                              <wps:cNvPr id="28" name="矩形 51"/>
                              <wps:cNvSpPr/>
                              <wps:spPr>
                                <a:xfrm>
                                  <a:off x="163830" y="1086485"/>
                                  <a:ext cx="769620" cy="466090"/>
                                </a:xfrm>
                                <a:prstGeom prst="rect">
                                  <a:avLst/>
                                </a:prstGeom>
                                <a:noFill/>
                                <a:ln w="3175">
                                  <a:noFill/>
                                </a:ln>
                              </wps:spPr>
                              <wps:txbx>
                                <w:txbxContent>
                                  <w:p w14:paraId="6B83A83A">
                                    <w:pPr>
                                      <w:spacing w:line="240" w:lineRule="auto"/>
                                      <w:jc w:val="center"/>
                                      <w:rPr>
                                        <w:rFonts w:hint="default" w:ascii="Times New Roman" w:hAnsi="Times New Roman" w:cs="Times New Roman"/>
                                        <w:b w:val="0"/>
                                        <w:bCs w:val="0"/>
                                        <w:sz w:val="21"/>
                                        <w:szCs w:val="21"/>
                                        <w:lang w:val="en-US" w:eastAsia="zh-CN"/>
                                      </w:rPr>
                                    </w:pPr>
                                    <w:r>
                                      <w:rPr>
                                        <w:rFonts w:hint="eastAsia"/>
                                        <w:b w:val="0"/>
                                        <w:bCs w:val="0"/>
                                        <w:lang w:eastAsia="zh-CN"/>
                                      </w:rPr>
                                      <w:t>新鲜水</w:t>
                                    </w:r>
                                    <w:r>
                                      <w:rPr>
                                        <w:rFonts w:hint="eastAsia" w:cs="Times New Roman"/>
                                        <w:b w:val="0"/>
                                        <w:bCs w:val="0"/>
                                        <w:sz w:val="21"/>
                                        <w:szCs w:val="21"/>
                                        <w:lang w:val="en-US" w:eastAsia="zh-CN"/>
                                      </w:rPr>
                                      <w:t>1366.925</w:t>
                                    </w:r>
                                  </w:p>
                                </w:txbxContent>
                              </wps:txbx>
                              <wps:bodyPr vert="horz" wrap="square" anchor="t" anchorCtr="0" upright="1"/>
                            </wps:wsp>
                            <wps:wsp>
                              <wps:cNvPr id="34" name="矩形 54"/>
                              <wps:cNvSpPr/>
                              <wps:spPr>
                                <a:xfrm>
                                  <a:off x="2997200" y="532765"/>
                                  <a:ext cx="1765300" cy="266700"/>
                                </a:xfrm>
                                <a:prstGeom prst="rect">
                                  <a:avLst/>
                                </a:prstGeom>
                                <a:noFill/>
                                <a:ln w="3175" cap="flat" cmpd="sng">
                                  <a:solidFill>
                                    <a:srgbClr val="000000"/>
                                  </a:solidFill>
                                  <a:prstDash val="solid"/>
                                  <a:miter/>
                                  <a:headEnd type="none" w="med" len="med"/>
                                  <a:tailEnd type="none" w="med" len="med"/>
                                </a:ln>
                              </wps:spPr>
                              <wps:txbx>
                                <w:txbxContent>
                                  <w:p w14:paraId="22E58791">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snapToGrid w:val="0"/>
                                        <w:color w:val="000000" w:themeColor="text1"/>
                                        <w:sz w:val="21"/>
                                        <w:szCs w:val="21"/>
                                        <w:lang w:eastAsia="zh-CN"/>
                                        <w14:textFill>
                                          <w14:solidFill>
                                            <w14:schemeClr w14:val="tx1"/>
                                          </w14:solidFill>
                                        </w14:textFill>
                                      </w:rPr>
                                      <w:t>玛纳斯县城镇污水处理厂</w:t>
                                    </w:r>
                                  </w:p>
                                </w:txbxContent>
                              </wps:txbx>
                              <wps:bodyPr vert="horz" wrap="square" anchor="t" anchorCtr="0" upright="1"/>
                            </wps:wsp>
                            <wps:wsp>
                              <wps:cNvPr id="35" name="直线 56"/>
                              <wps:cNvCnPr/>
                              <wps:spPr>
                                <a:xfrm>
                                  <a:off x="2416176" y="681990"/>
                                  <a:ext cx="628015" cy="0"/>
                                </a:xfrm>
                                <a:prstGeom prst="line">
                                  <a:avLst/>
                                </a:prstGeom>
                                <a:ln w="3175" cap="flat" cmpd="sng">
                                  <a:solidFill>
                                    <a:srgbClr val="000000"/>
                                  </a:solidFill>
                                  <a:prstDash val="solid"/>
                                  <a:headEnd type="none" w="med" len="med"/>
                                  <a:tailEnd type="triangle" w="med" len="med"/>
                                </a:ln>
                              </wps:spPr>
                              <wps:bodyPr upright="1"/>
                            </wps:wsp>
                            <wps:wsp>
                              <wps:cNvPr id="36" name="直线 61"/>
                              <wps:cNvCnPr/>
                              <wps:spPr>
                                <a:xfrm>
                                  <a:off x="233680" y="1301115"/>
                                  <a:ext cx="692785" cy="0"/>
                                </a:xfrm>
                                <a:prstGeom prst="line">
                                  <a:avLst/>
                                </a:prstGeom>
                                <a:ln w="3175" cap="flat" cmpd="sng">
                                  <a:solidFill>
                                    <a:srgbClr val="000000"/>
                                  </a:solidFill>
                                  <a:prstDash val="solid"/>
                                  <a:headEnd type="none" w="med" len="med"/>
                                  <a:tailEnd type="triangle" w="med" len="med"/>
                                </a:ln>
                              </wps:spPr>
                              <wps:bodyPr upright="1"/>
                            </wps:wsp>
                            <wpg:wgp>
                              <wpg:cNvPr id="37" name="组合 66"/>
                              <wpg:cNvGrpSpPr/>
                              <wpg:grpSpPr>
                                <a:xfrm>
                                  <a:off x="1667510" y="134620"/>
                                  <a:ext cx="1240155" cy="379095"/>
                                  <a:chOff x="2626" y="199"/>
                                  <a:chExt cx="1669" cy="597"/>
                                </a:xfrm>
                              </wpg:grpSpPr>
                              <wps:wsp>
                                <wps:cNvPr id="38" name="矩形 69"/>
                                <wps:cNvSpPr/>
                                <wps:spPr>
                                  <a:xfrm>
                                    <a:off x="2967" y="198"/>
                                    <a:ext cx="1328" cy="477"/>
                                  </a:xfrm>
                                  <a:prstGeom prst="rect">
                                    <a:avLst/>
                                  </a:prstGeom>
                                  <a:noFill/>
                                  <a:ln w="15875">
                                    <a:noFill/>
                                  </a:ln>
                                </wps:spPr>
                                <wps:txbx>
                                  <w:txbxContent>
                                    <w:p w14:paraId="5D56BFB4">
                                      <w:pPr>
                                        <w:rPr>
                                          <w:rFonts w:hint="default" w:eastAsia="宋体"/>
                                          <w:lang w:val="en-US" w:eastAsia="zh-CN"/>
                                        </w:rPr>
                                      </w:pPr>
                                      <w:r>
                                        <w:rPr>
                                          <w:rFonts w:hint="eastAsia"/>
                                          <w:lang w:eastAsia="zh-CN"/>
                                        </w:rPr>
                                        <w:t>损耗</w:t>
                                      </w:r>
                                      <w:r>
                                        <w:rPr>
                                          <w:rFonts w:hint="eastAsia" w:ascii="Times New Roman" w:hAnsi="Times New Roman" w:cs="Times New Roman"/>
                                          <w:lang w:val="en-US" w:eastAsia="zh-CN"/>
                                        </w:rPr>
                                        <w:t>2</w:t>
                                      </w:r>
                                      <w:r>
                                        <w:rPr>
                                          <w:rFonts w:hint="eastAsia" w:cs="Times New Roman"/>
                                          <w:lang w:val="en-US" w:eastAsia="zh-CN"/>
                                        </w:rPr>
                                        <w:t>37.25</w:t>
                                      </w:r>
                                    </w:p>
                                  </w:txbxContent>
                                </wps:txbx>
                                <wps:bodyPr vert="horz" wrap="square" anchor="t" anchorCtr="0" upright="1"/>
                              </wps:wsp>
                              <wps:wsp>
                                <wps:cNvPr id="39" name="自选图形 70"/>
                                <wps:cNvCnPr/>
                                <wps:spPr>
                                  <a:xfrm flipV="1">
                                    <a:off x="2626" y="505"/>
                                    <a:ext cx="477" cy="289"/>
                                  </a:xfrm>
                                  <a:prstGeom prst="curvedConnector3">
                                    <a:avLst>
                                      <a:gd name="adj1" fmla="val 50106"/>
                                    </a:avLst>
                                  </a:prstGeom>
                                  <a:ln w="3175" cap="flat" cmpd="sng">
                                    <a:solidFill>
                                      <a:srgbClr val="000000"/>
                                    </a:solidFill>
                                    <a:prstDash val="solid"/>
                                    <a:headEnd type="none" w="med" len="med"/>
                                    <a:tailEnd type="triangle" w="med" len="med"/>
                                  </a:ln>
                                </wps:spPr>
                                <wps:bodyPr/>
                              </wps:wsp>
                            </wpg:wgp>
                            <wps:wsp>
                              <wps:cNvPr id="40" name="矩形 71"/>
                              <wps:cNvSpPr/>
                              <wps:spPr>
                                <a:xfrm>
                                  <a:off x="2365376" y="464820"/>
                                  <a:ext cx="625475" cy="508000"/>
                                </a:xfrm>
                                <a:prstGeom prst="rect">
                                  <a:avLst/>
                                </a:prstGeom>
                                <a:noFill/>
                                <a:ln w="3175">
                                  <a:noFill/>
                                </a:ln>
                              </wps:spPr>
                              <wps:txbx>
                                <w:txbxContent>
                                  <w:p w14:paraId="3302BCE2">
                                    <w:pPr>
                                      <w:jc w:val="center"/>
                                      <w:rPr>
                                        <w:rFonts w:hint="default"/>
                                        <w:sz w:val="21"/>
                                        <w:szCs w:val="21"/>
                                        <w:lang w:val="en-US" w:eastAsia="zh-CN"/>
                                      </w:rPr>
                                    </w:pPr>
                                    <w:r>
                                      <w:rPr>
                                        <w:rFonts w:hint="eastAsia"/>
                                        <w:sz w:val="21"/>
                                        <w:szCs w:val="21"/>
                                        <w:lang w:eastAsia="zh-CN"/>
                                      </w:rPr>
                                      <w:t>排放</w:t>
                                    </w:r>
                                    <w:r>
                                      <w:rPr>
                                        <w:rFonts w:hint="eastAsia" w:ascii="Times New Roman" w:hAnsi="Times New Roman" w:cs="Times New Roman"/>
                                        <w:sz w:val="21"/>
                                        <w:szCs w:val="21"/>
                                        <w:lang w:val="en-US" w:eastAsia="zh-CN"/>
                                      </w:rPr>
                                      <w:t>9</w:t>
                                    </w:r>
                                    <w:r>
                                      <w:rPr>
                                        <w:rFonts w:hint="eastAsia" w:cs="Times New Roman"/>
                                        <w:sz w:val="21"/>
                                        <w:szCs w:val="21"/>
                                        <w:lang w:val="en-US" w:eastAsia="zh-CN"/>
                                      </w:rPr>
                                      <w:t>49</w:t>
                                    </w:r>
                                  </w:p>
                                </w:txbxContent>
                              </wps:txbx>
                              <wps:bodyPr vert="horz" wrap="square" anchor="t" anchorCtr="0" upright="1"/>
                            </wps:wsp>
                            <wps:wsp>
                              <wps:cNvPr id="41" name="矩形 75"/>
                              <wps:cNvSpPr/>
                              <wps:spPr>
                                <a:xfrm>
                                  <a:off x="851535" y="467995"/>
                                  <a:ext cx="736600" cy="507365"/>
                                </a:xfrm>
                                <a:prstGeom prst="rect">
                                  <a:avLst/>
                                </a:prstGeom>
                                <a:noFill/>
                                <a:ln w="3175">
                                  <a:noFill/>
                                </a:ln>
                              </wps:spPr>
                              <wps:txbx>
                                <w:txbxContent>
                                  <w:p w14:paraId="73D50DBD">
                                    <w:pPr>
                                      <w:jc w:val="center"/>
                                      <w:rPr>
                                        <w:rFonts w:hint="default"/>
                                        <w:sz w:val="21"/>
                                        <w:szCs w:val="21"/>
                                        <w:lang w:val="en-US" w:eastAsia="zh-CN"/>
                                      </w:rPr>
                                    </w:pPr>
                                    <w:r>
                                      <w:rPr>
                                        <w:rFonts w:hint="eastAsia"/>
                                        <w:sz w:val="21"/>
                                        <w:szCs w:val="21"/>
                                        <w:lang w:eastAsia="zh-CN"/>
                                      </w:rPr>
                                      <w:t>用水</w:t>
                                    </w:r>
                                    <w:r>
                                      <w:rPr>
                                        <w:rFonts w:hint="eastAsia" w:ascii="Times New Roman" w:hAnsi="Times New Roman" w:cs="Times New Roman"/>
                                        <w:sz w:val="21"/>
                                        <w:szCs w:val="21"/>
                                        <w:lang w:val="en-US" w:eastAsia="zh-CN"/>
                                      </w:rPr>
                                      <w:t>1</w:t>
                                    </w:r>
                                    <w:r>
                                      <w:rPr>
                                        <w:rFonts w:hint="eastAsia" w:cs="Times New Roman"/>
                                        <w:sz w:val="21"/>
                                        <w:szCs w:val="21"/>
                                        <w:lang w:val="en-US" w:eastAsia="zh-CN"/>
                                      </w:rPr>
                                      <w:t>186.25</w:t>
                                    </w:r>
                                  </w:p>
                                </w:txbxContent>
                              </wps:txbx>
                              <wps:bodyPr vert="horz" wrap="square" anchor="t" anchorCtr="0" upright="1"/>
                            </wps:wsp>
                            <wps:wsp>
                              <wps:cNvPr id="43" name="矩形 46"/>
                              <wps:cNvSpPr/>
                              <wps:spPr>
                                <a:xfrm>
                                  <a:off x="1522730" y="1875790"/>
                                  <a:ext cx="1069340" cy="291465"/>
                                </a:xfrm>
                                <a:prstGeom prst="rect">
                                  <a:avLst/>
                                </a:prstGeom>
                                <a:noFill/>
                                <a:ln w="3175" cap="flat" cmpd="sng">
                                  <a:solidFill>
                                    <a:srgbClr val="000000"/>
                                  </a:solidFill>
                                  <a:prstDash val="solid"/>
                                  <a:miter/>
                                  <a:headEnd type="none" w="med" len="med"/>
                                  <a:tailEnd type="none" w="med" len="med"/>
                                </a:ln>
                              </wps:spPr>
                              <wps:txbx>
                                <w:txbxContent>
                                  <w:p w14:paraId="6569629E">
                                    <w:pPr>
                                      <w:jc w:val="center"/>
                                      <w:rPr>
                                        <w:rFonts w:hint="eastAsia" w:eastAsia="宋体"/>
                                        <w:lang w:eastAsia="zh-CN"/>
                                      </w:rPr>
                                    </w:pPr>
                                    <w:r>
                                      <w:rPr>
                                        <w:rFonts w:hint="eastAsia"/>
                                        <w:lang w:val="en-US" w:eastAsia="zh-CN"/>
                                      </w:rPr>
                                      <w:t>洗车</w:t>
                                    </w:r>
                                    <w:r>
                                      <w:rPr>
                                        <w:rFonts w:hint="eastAsia"/>
                                        <w:lang w:eastAsia="zh-CN"/>
                                      </w:rPr>
                                      <w:t>用水</w:t>
                                    </w:r>
                                  </w:p>
                                </w:txbxContent>
                              </wps:txbx>
                              <wps:bodyPr vert="horz" wrap="square" anchor="t" anchorCtr="0" upright="1"/>
                            </wps:wsp>
                            <wpg:wgp>
                              <wpg:cNvPr id="53" name="组合 66"/>
                              <wpg:cNvGrpSpPr/>
                              <wpg:grpSpPr>
                                <a:xfrm>
                                  <a:off x="1545590" y="1494790"/>
                                  <a:ext cx="1103630" cy="378460"/>
                                  <a:chOff x="2626" y="198"/>
                                  <a:chExt cx="1738" cy="596"/>
                                </a:xfrm>
                              </wpg:grpSpPr>
                              <wps:wsp>
                                <wps:cNvPr id="54" name="矩形 69"/>
                                <wps:cNvSpPr/>
                                <wps:spPr>
                                  <a:xfrm>
                                    <a:off x="2967" y="198"/>
                                    <a:ext cx="1397" cy="477"/>
                                  </a:xfrm>
                                  <a:prstGeom prst="rect">
                                    <a:avLst/>
                                  </a:prstGeom>
                                  <a:noFill/>
                                  <a:ln w="15875">
                                    <a:noFill/>
                                  </a:ln>
                                </wps:spPr>
                                <wps:txbx>
                                  <w:txbxContent>
                                    <w:p w14:paraId="4858EE20">
                                      <w:pPr>
                                        <w:rPr>
                                          <w:rFonts w:hint="default" w:eastAsia="宋体"/>
                                          <w:lang w:val="en-US" w:eastAsia="zh-CN"/>
                                        </w:rPr>
                                      </w:pPr>
                                      <w:r>
                                        <w:rPr>
                                          <w:rFonts w:hint="eastAsia"/>
                                          <w:lang w:eastAsia="zh-CN"/>
                                        </w:rPr>
                                        <w:t>损耗</w:t>
                                      </w:r>
                                      <w:r>
                                        <w:rPr>
                                          <w:rFonts w:hint="eastAsia" w:cs="Times New Roman"/>
                                          <w:lang w:val="en-US" w:eastAsia="zh-CN"/>
                                        </w:rPr>
                                        <w:t>39.42</w:t>
                                      </w:r>
                                    </w:p>
                                  </w:txbxContent>
                                </wps:txbx>
                                <wps:bodyPr vert="horz" wrap="square" anchor="t" anchorCtr="0" upright="1"/>
                              </wps:wsp>
                              <wps:wsp>
                                <wps:cNvPr id="55" name="自选图形 70"/>
                                <wps:cNvCnPr/>
                                <wps:spPr>
                                  <a:xfrm flipV="1">
                                    <a:off x="2626" y="505"/>
                                    <a:ext cx="477" cy="289"/>
                                  </a:xfrm>
                                  <a:prstGeom prst="curvedConnector3">
                                    <a:avLst>
                                      <a:gd name="adj1" fmla="val 50106"/>
                                    </a:avLst>
                                  </a:prstGeom>
                                  <a:ln w="3175" cap="flat" cmpd="sng">
                                    <a:solidFill>
                                      <a:srgbClr val="000000"/>
                                    </a:solidFill>
                                    <a:prstDash val="solid"/>
                                    <a:headEnd type="none" w="med" len="med"/>
                                    <a:tailEnd type="triangle" w="med" len="med"/>
                                  </a:ln>
                                </wps:spPr>
                                <wps:bodyPr/>
                              </wps:wsp>
                            </wpg:wgp>
                            <wps:wsp>
                              <wps:cNvPr id="56" name="矩形 76"/>
                              <wps:cNvSpPr/>
                              <wps:spPr>
                                <a:xfrm>
                                  <a:off x="865505" y="1812290"/>
                                  <a:ext cx="622300" cy="441960"/>
                                </a:xfrm>
                                <a:prstGeom prst="rect">
                                  <a:avLst/>
                                </a:prstGeom>
                                <a:noFill/>
                                <a:ln w="3175">
                                  <a:noFill/>
                                </a:ln>
                              </wps:spPr>
                              <wps:txbx>
                                <w:txbxContent>
                                  <w:p w14:paraId="698CBDDD">
                                    <w:pPr>
                                      <w:jc w:val="center"/>
                                      <w:rPr>
                                        <w:rFonts w:hint="default"/>
                                        <w:sz w:val="21"/>
                                        <w:szCs w:val="21"/>
                                        <w:lang w:val="en-US" w:eastAsia="zh-CN"/>
                                      </w:rPr>
                                    </w:pPr>
                                    <w:r>
                                      <w:rPr>
                                        <w:rFonts w:hint="eastAsia"/>
                                        <w:sz w:val="21"/>
                                        <w:szCs w:val="21"/>
                                        <w:lang w:eastAsia="zh-CN"/>
                                      </w:rPr>
                                      <w:t>用水</w:t>
                                    </w:r>
                                    <w:r>
                                      <w:rPr>
                                        <w:rFonts w:hint="eastAsia" w:cs="Times New Roman"/>
                                        <w:sz w:val="21"/>
                                        <w:szCs w:val="21"/>
                                        <w:lang w:val="en-US" w:eastAsia="zh-CN"/>
                                      </w:rPr>
                                      <w:t>197.1</w:t>
                                    </w:r>
                                    <w:r>
                                      <w:rPr>
                                        <w:rFonts w:hint="eastAsia" w:cs="Times New Roman"/>
                                        <w:sz w:val="21"/>
                                        <w:szCs w:val="21"/>
                                        <w:lang w:val="en-US" w:eastAsia="zh-CN"/>
                                      </w:rPr>
                                      <w:tab/>
                                    </w:r>
                                  </w:p>
                                </w:txbxContent>
                              </wps:txbx>
                              <wps:bodyPr vert="horz" wrap="square" anchor="t" anchorCtr="0" upright="1"/>
                            </wps:wsp>
                            <wps:wsp>
                              <wps:cNvPr id="57" name="直线 61"/>
                              <wps:cNvCnPr/>
                              <wps:spPr>
                                <a:xfrm flipV="1">
                                  <a:off x="956310" y="2023110"/>
                                  <a:ext cx="547370" cy="1270"/>
                                </a:xfrm>
                                <a:prstGeom prst="line">
                                  <a:avLst/>
                                </a:prstGeom>
                                <a:ln w="3175" cap="flat" cmpd="sng">
                                  <a:solidFill>
                                    <a:srgbClr val="000000"/>
                                  </a:solidFill>
                                  <a:prstDash val="solid"/>
                                  <a:headEnd type="none" w="med" len="med"/>
                                  <a:tailEnd type="triangle" w="med" len="med"/>
                                </a:ln>
                              </wps:spPr>
                              <wps:bodyPr upright="1"/>
                            </wps:wsp>
                            <wps:wsp>
                              <wps:cNvPr id="58" name="矩形 54"/>
                              <wps:cNvSpPr/>
                              <wps:spPr>
                                <a:xfrm>
                                  <a:off x="3277870" y="1848485"/>
                                  <a:ext cx="1207770" cy="266700"/>
                                </a:xfrm>
                                <a:prstGeom prst="rect">
                                  <a:avLst/>
                                </a:prstGeom>
                                <a:noFill/>
                                <a:ln w="3175" cap="flat" cmpd="sng">
                                  <a:solidFill>
                                    <a:srgbClr val="000000"/>
                                  </a:solidFill>
                                  <a:prstDash val="solid"/>
                                  <a:miter/>
                                  <a:headEnd type="none" w="med" len="med"/>
                                  <a:tailEnd type="none" w="med" len="med"/>
                                </a:ln>
                              </wps:spPr>
                              <wps:txbx>
                                <w:txbxContent>
                                  <w:p w14:paraId="276FC12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snapToGrid w:val="0"/>
                                        <w:color w:val="000000" w:themeColor="text1"/>
                                        <w:sz w:val="21"/>
                                        <w:szCs w:val="21"/>
                                        <w:lang w:val="en-US" w:eastAsia="zh-CN"/>
                                        <w14:textFill>
                                          <w14:solidFill>
                                            <w14:schemeClr w14:val="tx1"/>
                                          </w14:solidFill>
                                        </w14:textFill>
                                      </w:rPr>
                                      <w:t>隔油池</w:t>
                                    </w:r>
                                  </w:p>
                                </w:txbxContent>
                              </wps:txbx>
                              <wps:bodyPr vert="horz" wrap="square" anchor="t" anchorCtr="0" upright="1"/>
                            </wps:wsp>
                            <wps:wsp>
                              <wps:cNvPr id="59" name="矩形 71"/>
                              <wps:cNvSpPr/>
                              <wps:spPr>
                                <a:xfrm>
                                  <a:off x="2592705" y="1789430"/>
                                  <a:ext cx="625475" cy="508000"/>
                                </a:xfrm>
                                <a:prstGeom prst="rect">
                                  <a:avLst/>
                                </a:prstGeom>
                                <a:noFill/>
                                <a:ln w="3175">
                                  <a:noFill/>
                                </a:ln>
                              </wps:spPr>
                              <wps:txbx>
                                <w:txbxContent>
                                  <w:p w14:paraId="0A47D4E8">
                                    <w:pPr>
                                      <w:jc w:val="center"/>
                                      <w:rPr>
                                        <w:rFonts w:hint="default"/>
                                        <w:sz w:val="21"/>
                                        <w:szCs w:val="21"/>
                                        <w:lang w:val="en-US" w:eastAsia="zh-CN"/>
                                      </w:rPr>
                                    </w:pPr>
                                    <w:r>
                                      <w:rPr>
                                        <w:rFonts w:hint="eastAsia"/>
                                        <w:sz w:val="21"/>
                                        <w:szCs w:val="21"/>
                                        <w:lang w:eastAsia="zh-CN"/>
                                      </w:rPr>
                                      <w:t>排放</w:t>
                                    </w:r>
                                    <w:r>
                                      <w:rPr>
                                        <w:rFonts w:hint="eastAsia" w:cs="Times New Roman"/>
                                        <w:sz w:val="21"/>
                                        <w:szCs w:val="21"/>
                                        <w:lang w:val="en-US" w:eastAsia="zh-CN"/>
                                      </w:rPr>
                                      <w:t>157.68</w:t>
                                    </w:r>
                                  </w:p>
                                </w:txbxContent>
                              </wps:txbx>
                              <wps:bodyPr vert="horz" wrap="square" anchor="t" anchorCtr="0" upright="1"/>
                            </wps:wsp>
                            <wps:wsp>
                              <wps:cNvPr id="60" name="直线 61"/>
                              <wps:cNvCnPr/>
                              <wps:spPr>
                                <a:xfrm>
                                  <a:off x="2592070" y="2006600"/>
                                  <a:ext cx="692785" cy="0"/>
                                </a:xfrm>
                                <a:prstGeom prst="line">
                                  <a:avLst/>
                                </a:prstGeom>
                                <a:ln w="3175" cap="flat" cmpd="sng">
                                  <a:solidFill>
                                    <a:srgbClr val="000000"/>
                                  </a:solidFill>
                                  <a:prstDash val="solid"/>
                                  <a:headEnd type="none" w="med" len="med"/>
                                  <a:tailEnd type="triangle" w="med" len="med"/>
                                </a:ln>
                              </wps:spPr>
                              <wps:bodyPr upright="1"/>
                            </wps:wsp>
                            <wps:wsp>
                              <wps:cNvPr id="64" name="肘形连接符 64"/>
                              <wps:cNvCnPr>
                                <a:endCxn id="34" idx="2"/>
                              </wps:cNvCnPr>
                              <wps:spPr>
                                <a:xfrm rot="16200000">
                                  <a:off x="3359150" y="1317625"/>
                                  <a:ext cx="1038860" cy="3175"/>
                                </a:xfrm>
                                <a:prstGeom prst="bentConnector3">
                                  <a:avLst>
                                    <a:gd name="adj1" fmla="val 50000"/>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画布 42" o:spid="_x0000_s1026" o:spt="203" style="height:180.1pt;width:394.5pt;" coordsize="5010150,2287270" editas="canvas" o:gfxdata="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">
                      <o:lock v:ext="edit" aspectratio="f"/>
                      <v:shape id="画布 42" o:spid="_x0000_s1026" style="position:absolute;left:0;top:0;height:2287270;width:5010150;" filled="f" stroked="f" coordsize="21600,21600" o:gfxdata="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">
                        <v:fill on="f" focussize="0,0"/>
                        <v:stroke on="f"/>
                        <v:imagedata o:title=""/>
                        <o:lock v:ext="edit" aspectratio="f"/>
                      </v:shape>
                      <v:rect id="矩形 44" o:spid="_x0000_s1026" o:spt="1" style="position:absolute;left:1461771;top:518160;height:291465;width:942340;" filled="f" stroked="t" coordsize="21600,21600" o:gfxdata="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Pp&#10;oObUAAAABQEAAA8AAAAAAAAAAQAgAAAAIgAAAGRycy9kb3ducmV2LnhtbFBLAQIUABQAAAAIAIdO&#10;4kD15K55JwIAAD8EAAAOAAAAAAAAAAEAIAAAACMBAABkcnMvZTJvRG9jLnhtbFBLBQYAAAAABgAG&#10;AFkBAAC8BQAAAAA=&#10;">
                        <v:fill on="f" focussize="0,0"/>
                        <v:stroke weight="0.25pt" color="#000000" joinstyle="miter"/>
                        <v:imagedata o:title=""/>
                        <o:lock v:ext="edit" aspectratio="f"/>
                        <v:textbox>
                          <w:txbxContent>
                            <w:p w14:paraId="432FB1C3">
                              <w:pPr>
                                <w:jc w:val="center"/>
                                <w:rPr>
                                  <w:rFonts w:hint="eastAsia" w:eastAsia="宋体"/>
                                  <w:lang w:eastAsia="zh-CN"/>
                                </w:rPr>
                              </w:pPr>
                              <w:r>
                                <w:rPr>
                                  <w:rFonts w:hint="eastAsia"/>
                                  <w:lang w:eastAsia="zh-CN"/>
                                </w:rPr>
                                <w:t>生活用水</w:t>
                              </w:r>
                            </w:p>
                          </w:txbxContent>
                        </v:textbox>
                      </v:rect>
                      <v:line id="直线 47" o:spid="_x0000_s1026" o:spt="20" style="position:absolute;left:930910;top:681355;height:1323340;width:9525;" filled="f" stroked="t" coordsize="21600,21600" o:gfxdata="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TwiwXWAAAABQEAAA8AAAAAAAAAAQAgAAAAIgAAAGRycy9kb3ducmV2LnhtbFBL&#10;AQIUABQAAAAIAIdO4kCXJJaA+AEAAOoDAAAOAAAAAAAAAAEAIAAAACUBAABkcnMvZTJvRG9jLnht&#10;bFBLBQYAAAAABgAGAFkBAACPBQAAAAA=&#10;">
                        <v:fill on="f" focussize="0,0"/>
                        <v:stroke weight="0.25pt" color="#000000" joinstyle="round"/>
                        <v:imagedata o:title=""/>
                        <o:lock v:ext="edit" aspectratio="f"/>
                      </v:line>
                      <v:line id="直线 48" o:spid="_x0000_s1026" o:spt="20" style="position:absolute;left:941705;top:692785;height:0;width:497840;" filled="f" stroked="t" coordsize="21600,21600" o:gfxdata="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6C6sNcAAAAFAQAADwAAAAAAAAABACAAAAAiAAAAZHJzL2Rvd25y&#10;ZXYueG1sUEsBAhQAFAAAAAgAh07iQMTeenv/AQAA6gMAAA4AAAAAAAAAAQAgAAAAJgEAAGRycy9l&#10;Mm9Eb2MueG1sUEsFBgAAAAAGAAYAWQEAAJcFAAAAAA==&#10;">
                        <v:fill on="f" focussize="0,0"/>
                        <v:stroke weight="0.25pt" color="#000000" joinstyle="round" endarrow="block"/>
                        <v:imagedata o:title=""/>
                        <o:lock v:ext="edit" aspectratio="f"/>
                      </v:line>
                      <v:rect id="矩形 51" o:spid="_x0000_s1026" o:spt="1" style="position:absolute;left:163830;top:1086485;height:466090;width:769620;" filled="f" stroked="f" coordsize="21600,21600" o:gfxdata="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RCCo0gAAAAUBAAAPAAAAAAAAAAEAIAAAACIA&#10;AABkcnMvZG93bnJldi54bWxQSwECFAAUAAAACACHTuJAcs71uNYBAACJAwAADgAAAAAAAAABACAA&#10;AAAhAQAAZHJzL2Uyb0RvYy54bWxQSwUGAAAAAAYABgBZAQAAaQUAAAAA&#10;">
                        <v:fill on="f" focussize="0,0"/>
                        <v:stroke on="f" weight="0.25pt"/>
                        <v:imagedata o:title=""/>
                        <o:lock v:ext="edit" aspectratio="f"/>
                        <v:textbox>
                          <w:txbxContent>
                            <w:p w14:paraId="6B83A83A">
                              <w:pPr>
                                <w:spacing w:line="240" w:lineRule="auto"/>
                                <w:jc w:val="center"/>
                                <w:rPr>
                                  <w:rFonts w:hint="default" w:ascii="Times New Roman" w:hAnsi="Times New Roman" w:cs="Times New Roman"/>
                                  <w:b w:val="0"/>
                                  <w:bCs w:val="0"/>
                                  <w:sz w:val="21"/>
                                  <w:szCs w:val="21"/>
                                  <w:lang w:val="en-US" w:eastAsia="zh-CN"/>
                                </w:rPr>
                              </w:pPr>
                              <w:r>
                                <w:rPr>
                                  <w:rFonts w:hint="eastAsia"/>
                                  <w:b w:val="0"/>
                                  <w:bCs w:val="0"/>
                                  <w:lang w:eastAsia="zh-CN"/>
                                </w:rPr>
                                <w:t>新鲜水</w:t>
                              </w:r>
                              <w:r>
                                <w:rPr>
                                  <w:rFonts w:hint="eastAsia" w:cs="Times New Roman"/>
                                  <w:b w:val="0"/>
                                  <w:bCs w:val="0"/>
                                  <w:sz w:val="21"/>
                                  <w:szCs w:val="21"/>
                                  <w:lang w:val="en-US" w:eastAsia="zh-CN"/>
                                </w:rPr>
                                <w:t>1366.925</w:t>
                              </w:r>
                            </w:p>
                          </w:txbxContent>
                        </v:textbox>
                      </v:rect>
                      <v:rect id="矩形 54" o:spid="_x0000_s1026" o:spt="1" style="position:absolute;left:2997200;top:532765;height:266700;width:1765300;" filled="f" stroked="t" coordsize="21600,21600" o:gfxdata="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PpoObU&#10;AAAABQEAAA8AAAAAAAAAAQAgAAAAIgAAAGRycy9kb3ducmV2LnhtbFBLAQIUABQAAAAIAIdO4kBU&#10;8dX1JAIAAEAEAAAOAAAAAAAAAAEAIAAAACMBAABkcnMvZTJvRG9jLnhtbFBLBQYAAAAABgAGAFkB&#10;AAC5BQAAAAA=&#10;">
                        <v:fill on="f" focussize="0,0"/>
                        <v:stroke weight="0.25pt" color="#000000" joinstyle="miter"/>
                        <v:imagedata o:title=""/>
                        <o:lock v:ext="edit" aspectratio="f"/>
                        <v:textbox>
                          <w:txbxContent>
                            <w:p w14:paraId="22E58791">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snapToGrid w:val="0"/>
                                  <w:color w:val="000000" w:themeColor="text1"/>
                                  <w:sz w:val="21"/>
                                  <w:szCs w:val="21"/>
                                  <w:lang w:eastAsia="zh-CN"/>
                                  <w14:textFill>
                                    <w14:solidFill>
                                      <w14:schemeClr w14:val="tx1"/>
                                    </w14:solidFill>
                                  </w14:textFill>
                                </w:rPr>
                                <w:t>玛纳斯县城镇污水处理厂</w:t>
                              </w:r>
                            </w:p>
                          </w:txbxContent>
                        </v:textbox>
                      </v:rect>
                      <v:line id="直线 56" o:spid="_x0000_s1026" o:spt="20" style="position:absolute;left:2416176;top:681990;height:0;width:628015;" filled="f" stroked="t" coordsize="21600,21600" o:gfxdata="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OgurDXAAAABQEAAA8AAAAAAAAAAQAgAAAAIgAAAGRycy9kb3ducmV2&#10;LnhtbFBLAQIUABQAAAAIAIdO4kD9isyN/QEAAOsDAAAOAAAAAAAAAAEAIAAAACYBAABkcnMvZTJv&#10;RG9jLnhtbFBLBQYAAAAABgAGAFkBAACVBQAAAAA=&#10;">
                        <v:fill on="f" focussize="0,0"/>
                        <v:stroke weight="0.25pt" color="#000000" joinstyle="round" endarrow="block"/>
                        <v:imagedata o:title=""/>
                        <o:lock v:ext="edit" aspectratio="f"/>
                      </v:line>
                      <v:line id="直线 61" o:spid="_x0000_s1026" o:spt="20" style="position:absolute;left:233680;top:1301115;height:0;width:692785;" filled="f" stroked="t" coordsize="21600,21600" o:gfxdata="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OgurDXAAAABQEAAA8AAAAAAAAAAQAgAAAAIgAAAGRycy9kb3ducmV2&#10;LnhtbFBLAQIUABQAAAAIAIdO4kC+/dMc/QEAAOsDAAAOAAAAAAAAAAEAIAAAACYBAABkcnMvZTJv&#10;RG9jLnhtbFBLBQYAAAAABgAGAFkBAACVBQAAAAA=&#10;">
                        <v:fill on="f" focussize="0,0"/>
                        <v:stroke weight="0.25pt" color="#000000" joinstyle="round" endarrow="block"/>
                        <v:imagedata o:title=""/>
                        <o:lock v:ext="edit" aspectratio="f"/>
                      </v:line>
                      <v:group id="组合 66" o:spid="_x0000_s1026" o:spt="203" style="position:absolute;left:1667510;top:134620;height:379095;width:1240155;" coordorigin="2626,199" coordsize="1669,597" o:gfxdata="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M33eQTWAAAABQEAAA8AAAAAAAAAAQAgAAAAIgAAAGRycy9k&#10;b3ducmV2LnhtbFBLAQIUABQAAAAIAIdO4kBtK6P3IQMAAP0GAAAOAAAAAAAAAAEAIAAAACUBAABk&#10;cnMvZTJvRG9jLnhtbFBLBQYAAAAABgAGAFkBAAC4BgAAAAA=&#10;">
                        <o:lock v:ext="edit" aspectratio="f"/>
                        <v:rect id="矩形 69" o:spid="_x0000_s1026" o:spt="1" style="position:absolute;left:2967;top:198;height:477;width:1328;" filled="f" stroked="f" coordsize="21600,21600" o:gfxdata="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ICFuugAAANsA&#10;AAAPAAAAAAAAAAEAIAAAACIAAABkcnMvZG93bnJldi54bWxQSwECFAAUAAAACACHTuJAMy8FnjsA&#10;AAA5AAAAEAAAAAAAAAABACAAAAAJAQAAZHJzL3NoYXBleG1sLnhtbFBLBQYAAAAABgAGAFsBAACz&#10;AwAAAAA=&#10;">
                          <v:fill on="f" focussize="0,0"/>
                          <v:stroke on="f" weight="1.25pt"/>
                          <v:imagedata o:title=""/>
                          <o:lock v:ext="edit" aspectratio="f"/>
                          <v:textbox>
                            <w:txbxContent>
                              <w:p w14:paraId="5D56BFB4">
                                <w:pPr>
                                  <w:rPr>
                                    <w:rFonts w:hint="default" w:eastAsia="宋体"/>
                                    <w:lang w:val="en-US" w:eastAsia="zh-CN"/>
                                  </w:rPr>
                                </w:pPr>
                                <w:r>
                                  <w:rPr>
                                    <w:rFonts w:hint="eastAsia"/>
                                    <w:lang w:eastAsia="zh-CN"/>
                                  </w:rPr>
                                  <w:t>损耗</w:t>
                                </w:r>
                                <w:r>
                                  <w:rPr>
                                    <w:rFonts w:hint="eastAsia" w:ascii="Times New Roman" w:hAnsi="Times New Roman" w:cs="Times New Roman"/>
                                    <w:lang w:val="en-US" w:eastAsia="zh-CN"/>
                                  </w:rPr>
                                  <w:t>2</w:t>
                                </w:r>
                                <w:r>
                                  <w:rPr>
                                    <w:rFonts w:hint="eastAsia" w:cs="Times New Roman"/>
                                    <w:lang w:val="en-US" w:eastAsia="zh-CN"/>
                                  </w:rPr>
                                  <w:t>37.25</w:t>
                                </w:r>
                              </w:p>
                            </w:txbxContent>
                          </v:textbox>
                        </v:rect>
                        <v:shape id="自选图形 70" o:spid="_x0000_s1026" o:spt="38" type="#_x0000_t38" style="position:absolute;left:2626;top:505;flip:y;height:289;width:477;" filled="f" stroked="t" coordsize="21600,21600" o:gfxdata="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ulYpvQAA&#10;ANsAAAAPAAAAAAAAAAEAIAAAACIAAABkcnMvZG93bnJldi54bWxQSwECFAAUAAAACACHTuJAMy8F&#10;njsAAAA5AAAAEAAAAAAAAAABACAAAAAMAQAAZHJzL3NoYXBleG1sLnhtbFBLBQYAAAAABgAGAFsB&#10;AAC2AwAAAAA=&#10;" adj="10823">
                          <v:fill on="f" focussize="0,0"/>
                          <v:stroke weight="0.25pt" color="#000000" joinstyle="round" endarrow="block"/>
                          <v:imagedata o:title=""/>
                          <o:lock v:ext="edit" aspectratio="f"/>
                        </v:shape>
                      </v:group>
                      <v:rect id="矩形 71" o:spid="_x0000_s1026" o:spt="1" style="position:absolute;left:2365376;top:464820;height:508000;width:625475;" filled="f" stroked="f" coordsize="21600,21600" o:gfxdata="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0QgqNIAAAAFAQAADwAAAAAAAAABACAAAAAiAAAA&#10;ZHJzL2Rvd25yZXYueG1sUEsBAhQAFAAAAAgAh07iQISPY8bUAQAAiQMAAA4AAAAAAAAAAQAgAAAA&#10;IQEAAGRycy9lMm9Eb2MueG1sUEsFBgAAAAAGAAYAWQEAAGcFAAAAAA==&#10;">
                        <v:fill on="f" focussize="0,0"/>
                        <v:stroke on="f" weight="0.25pt"/>
                        <v:imagedata o:title=""/>
                        <o:lock v:ext="edit" aspectratio="f"/>
                        <v:textbox>
                          <w:txbxContent>
                            <w:p w14:paraId="3302BCE2">
                              <w:pPr>
                                <w:jc w:val="center"/>
                                <w:rPr>
                                  <w:rFonts w:hint="default"/>
                                  <w:sz w:val="21"/>
                                  <w:szCs w:val="21"/>
                                  <w:lang w:val="en-US" w:eastAsia="zh-CN"/>
                                </w:rPr>
                              </w:pPr>
                              <w:r>
                                <w:rPr>
                                  <w:rFonts w:hint="eastAsia"/>
                                  <w:sz w:val="21"/>
                                  <w:szCs w:val="21"/>
                                  <w:lang w:eastAsia="zh-CN"/>
                                </w:rPr>
                                <w:t>排放</w:t>
                              </w:r>
                              <w:r>
                                <w:rPr>
                                  <w:rFonts w:hint="eastAsia" w:ascii="Times New Roman" w:hAnsi="Times New Roman" w:cs="Times New Roman"/>
                                  <w:sz w:val="21"/>
                                  <w:szCs w:val="21"/>
                                  <w:lang w:val="en-US" w:eastAsia="zh-CN"/>
                                </w:rPr>
                                <w:t>9</w:t>
                              </w:r>
                              <w:r>
                                <w:rPr>
                                  <w:rFonts w:hint="eastAsia" w:cs="Times New Roman"/>
                                  <w:sz w:val="21"/>
                                  <w:szCs w:val="21"/>
                                  <w:lang w:val="en-US" w:eastAsia="zh-CN"/>
                                </w:rPr>
                                <w:t>49</w:t>
                              </w:r>
                            </w:p>
                          </w:txbxContent>
                        </v:textbox>
                      </v:rect>
                      <v:rect id="矩形 75" o:spid="_x0000_s1026" o:spt="1" style="position:absolute;left:851535;top:467995;height:507365;width:736600;" filled="f" stroked="f" coordsize="21600,21600" o:gfxdata="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0QgqNIAAAAFAQAADwAAAAAAAAABACAAAAAiAAAA&#10;ZHJzL2Rvd25yZXYueG1sUEsBAhQAFAAAAAgAh07iQAsQCwfUAQAAiAMAAA4AAAAAAAAAAQAgAAAA&#10;IQEAAGRycy9lMm9Eb2MueG1sUEsFBgAAAAAGAAYAWQEAAGcFAAAAAA==&#10;">
                        <v:fill on="f" focussize="0,0"/>
                        <v:stroke on="f" weight="0.25pt"/>
                        <v:imagedata o:title=""/>
                        <o:lock v:ext="edit" aspectratio="f"/>
                        <v:textbox>
                          <w:txbxContent>
                            <w:p w14:paraId="73D50DBD">
                              <w:pPr>
                                <w:jc w:val="center"/>
                                <w:rPr>
                                  <w:rFonts w:hint="default"/>
                                  <w:sz w:val="21"/>
                                  <w:szCs w:val="21"/>
                                  <w:lang w:val="en-US" w:eastAsia="zh-CN"/>
                                </w:rPr>
                              </w:pPr>
                              <w:r>
                                <w:rPr>
                                  <w:rFonts w:hint="eastAsia"/>
                                  <w:sz w:val="21"/>
                                  <w:szCs w:val="21"/>
                                  <w:lang w:eastAsia="zh-CN"/>
                                </w:rPr>
                                <w:t>用水</w:t>
                              </w:r>
                              <w:r>
                                <w:rPr>
                                  <w:rFonts w:hint="eastAsia" w:ascii="Times New Roman" w:hAnsi="Times New Roman" w:cs="Times New Roman"/>
                                  <w:sz w:val="21"/>
                                  <w:szCs w:val="21"/>
                                  <w:lang w:val="en-US" w:eastAsia="zh-CN"/>
                                </w:rPr>
                                <w:t>1</w:t>
                              </w:r>
                              <w:r>
                                <w:rPr>
                                  <w:rFonts w:hint="eastAsia" w:cs="Times New Roman"/>
                                  <w:sz w:val="21"/>
                                  <w:szCs w:val="21"/>
                                  <w:lang w:val="en-US" w:eastAsia="zh-CN"/>
                                </w:rPr>
                                <w:t>186.25</w:t>
                              </w:r>
                            </w:p>
                          </w:txbxContent>
                        </v:textbox>
                      </v:rect>
                      <v:rect id="矩形 46" o:spid="_x0000_s1026" o:spt="1" style="position:absolute;left:1522730;top:1875790;height:291465;width:1069340;" filled="f" stroked="t" coordsize="21600,21600" o:gfxdata="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Pp&#10;oObUAAAABQEAAA8AAAAAAAAAAQAgAAAAIgAAAGRycy9kb3ducmV2LnhtbFBLAQIUABQAAAAIAIdO&#10;4kBCPxTtJwIAAEEEAAAOAAAAAAAAAAEAIAAAACMBAABkcnMvZTJvRG9jLnhtbFBLBQYAAAAABgAG&#10;AFkBAAC8BQAAAAA=&#10;">
                        <v:fill on="f" focussize="0,0"/>
                        <v:stroke weight="0.25pt" color="#000000" joinstyle="miter"/>
                        <v:imagedata o:title=""/>
                        <o:lock v:ext="edit" aspectratio="f"/>
                        <v:textbox>
                          <w:txbxContent>
                            <w:p w14:paraId="6569629E">
                              <w:pPr>
                                <w:jc w:val="center"/>
                                <w:rPr>
                                  <w:rFonts w:hint="eastAsia" w:eastAsia="宋体"/>
                                  <w:lang w:eastAsia="zh-CN"/>
                                </w:rPr>
                              </w:pPr>
                              <w:r>
                                <w:rPr>
                                  <w:rFonts w:hint="eastAsia"/>
                                  <w:lang w:val="en-US" w:eastAsia="zh-CN"/>
                                </w:rPr>
                                <w:t>洗车</w:t>
                              </w:r>
                              <w:r>
                                <w:rPr>
                                  <w:rFonts w:hint="eastAsia"/>
                                  <w:lang w:eastAsia="zh-CN"/>
                                </w:rPr>
                                <w:t>用水</w:t>
                              </w:r>
                            </w:p>
                          </w:txbxContent>
                        </v:textbox>
                      </v:rect>
                      <v:group id="组合 66" o:spid="_x0000_s1026" o:spt="203" style="position:absolute;left:1545590;top:1494790;height:378460;width:1103630;" coordorigin="2626,198" coordsize="1738,596" o:gfxdata="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N93kE1gAAAAUBAAAPAAAAAAAAAAEAIAAAACIAAABkcnMvZG93bnJldi54&#10;bWxQSwECFAAUAAAACACHTuJAq5bdDxkDAAD+BgAADgAAAAAAAAABACAAAAAlAQAAZHJzL2Uyb0Rv&#10;Yy54bWxQSwUGAAAAAAYABgBZAQAAsAYAAAAA&#10;">
                        <o:lock v:ext="edit" aspectratio="f"/>
                        <v:rect id="矩形 69" o:spid="_x0000_s1026" o:spt="1" style="position:absolute;left:2967;top:198;height:477;width:1397;" filled="f" stroked="f" coordsize="21600,21600" o:gfxdata="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Oy74A&#10;AADbAAAADwAAAAAAAAABACAAAAAiAAAAZHJzL2Rvd25yZXYueG1sUEsBAhQAFAAAAAgAh07iQDMv&#10;BZ47AAAAOQAAABAAAAAAAAAAAQAgAAAADQEAAGRycy9zaGFwZXhtbC54bWxQSwUGAAAAAAYABgBb&#10;AQAAtwMAAAAA&#10;">
                          <v:fill on="f" focussize="0,0"/>
                          <v:stroke on="f" weight="1.25pt"/>
                          <v:imagedata o:title=""/>
                          <o:lock v:ext="edit" aspectratio="f"/>
                          <v:textbox>
                            <w:txbxContent>
                              <w:p w14:paraId="4858EE20">
                                <w:pPr>
                                  <w:rPr>
                                    <w:rFonts w:hint="default" w:eastAsia="宋体"/>
                                    <w:lang w:val="en-US" w:eastAsia="zh-CN"/>
                                  </w:rPr>
                                </w:pPr>
                                <w:r>
                                  <w:rPr>
                                    <w:rFonts w:hint="eastAsia"/>
                                    <w:lang w:eastAsia="zh-CN"/>
                                  </w:rPr>
                                  <w:t>损耗</w:t>
                                </w:r>
                                <w:r>
                                  <w:rPr>
                                    <w:rFonts w:hint="eastAsia" w:cs="Times New Roman"/>
                                    <w:lang w:val="en-US" w:eastAsia="zh-CN"/>
                                  </w:rPr>
                                  <w:t>39.42</w:t>
                                </w:r>
                              </w:p>
                            </w:txbxContent>
                          </v:textbox>
                        </v:rect>
                        <v:shape id="自选图形 70" o:spid="_x0000_s1026" o:spt="38" type="#_x0000_t38" style="position:absolute;left:2626;top:505;flip:y;height:289;width:477;" filled="f" stroked="t" coordsize="21600,21600" o:gfxdata="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ouYy8AAAA&#10;2wAAAA8AAAAAAAAAAQAgAAAAIgAAAGRycy9kb3ducmV2LnhtbFBLAQIUABQAAAAIAIdO4kAzLwWe&#10;OwAAADkAAAAQAAAAAAAAAAEAIAAAAAsBAABkcnMvc2hhcGV4bWwueG1sUEsFBgAAAAAGAAYAWwEA&#10;ALUDAAAAAA==&#10;" adj="10823">
                          <v:fill on="f" focussize="0,0"/>
                          <v:stroke weight="0.25pt" color="#000000" joinstyle="round" endarrow="block"/>
                          <v:imagedata o:title=""/>
                          <o:lock v:ext="edit" aspectratio="f"/>
                        </v:shape>
                      </v:group>
                      <v:rect id="矩形 76" o:spid="_x0000_s1026" o:spt="1" style="position:absolute;left:865505;top:1812290;height:441960;width:622300;" filled="f" stroked="f" coordsize="21600,21600" o:gfxdata="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0QgqNIAAAAFAQAADwAAAAAAAAABACAAAAAi&#10;AAAAZHJzL2Rvd25yZXYueG1sUEsBAhQAFAAAAAgAh07iQGihS6TXAQAAiQMAAA4AAAAAAAAAAQAg&#10;AAAAIQEAAGRycy9lMm9Eb2MueG1sUEsFBgAAAAAGAAYAWQEAAGoFAAAAAA==&#10;">
                        <v:fill on="f" focussize="0,0"/>
                        <v:stroke on="f" weight="0.25pt"/>
                        <v:imagedata o:title=""/>
                        <o:lock v:ext="edit" aspectratio="f"/>
                        <v:textbox>
                          <w:txbxContent>
                            <w:p w14:paraId="698CBDDD">
                              <w:pPr>
                                <w:jc w:val="center"/>
                                <w:rPr>
                                  <w:rFonts w:hint="default"/>
                                  <w:sz w:val="21"/>
                                  <w:szCs w:val="21"/>
                                  <w:lang w:val="en-US" w:eastAsia="zh-CN"/>
                                </w:rPr>
                              </w:pPr>
                              <w:r>
                                <w:rPr>
                                  <w:rFonts w:hint="eastAsia"/>
                                  <w:sz w:val="21"/>
                                  <w:szCs w:val="21"/>
                                  <w:lang w:eastAsia="zh-CN"/>
                                </w:rPr>
                                <w:t>用水</w:t>
                              </w:r>
                              <w:r>
                                <w:rPr>
                                  <w:rFonts w:hint="eastAsia" w:cs="Times New Roman"/>
                                  <w:sz w:val="21"/>
                                  <w:szCs w:val="21"/>
                                  <w:lang w:val="en-US" w:eastAsia="zh-CN"/>
                                </w:rPr>
                                <w:t>197.1</w:t>
                              </w:r>
                              <w:r>
                                <w:rPr>
                                  <w:rFonts w:hint="eastAsia" w:cs="Times New Roman"/>
                                  <w:sz w:val="21"/>
                                  <w:szCs w:val="21"/>
                                  <w:lang w:val="en-US" w:eastAsia="zh-CN"/>
                                </w:rPr>
                                <w:tab/>
                              </w:r>
                            </w:p>
                          </w:txbxContent>
                        </v:textbox>
                      </v:rect>
                      <v:line id="直线 61" o:spid="_x0000_s1026" o:spt="20" style="position:absolute;left:956310;top:2023110;flip:y;height:1270;width:547370;" filled="f" stroked="t" coordsize="21600,21600" o:gfxdata="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nef73UAAAABQEAAA8AAAAAAAAAAQAgAAAAIgAAAGRycy9kb3du&#10;cmV2LnhtbFBLAQIUABQAAAAIAIdO4kAD0TPpAwIAAPgDAAAOAAAAAAAAAAEAIAAAACMBAABkcnMv&#10;ZTJvRG9jLnhtbFBLBQYAAAAABgAGAFkBAACYBQAAAAA=&#10;">
                        <v:fill on="f" focussize="0,0"/>
                        <v:stroke weight="0.25pt" color="#000000" joinstyle="round" endarrow="block"/>
                        <v:imagedata o:title=""/>
                        <o:lock v:ext="edit" aspectratio="f"/>
                      </v:line>
                      <v:rect id="矩形 54" o:spid="_x0000_s1026" o:spt="1" style="position:absolute;left:3277870;top:1848485;height:266700;width:1207770;" filled="f" stroked="t" coordsize="21600,21600" o:gfxdata="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Pp&#10;oObUAAAABQEAAA8AAAAAAAAAAQAgAAAAIgAAAGRycy9kb3ducmV2LnhtbFBLAQIUABQAAAAIAIdO&#10;4kAVnlRCJwIAAEEEAAAOAAAAAAAAAAEAIAAAACMBAABkcnMvZTJvRG9jLnhtbFBLBQYAAAAABgAG&#10;AFkBAAC8BQAAAAA=&#10;">
                        <v:fill on="f" focussize="0,0"/>
                        <v:stroke weight="0.25pt" color="#000000" joinstyle="miter"/>
                        <v:imagedata o:title=""/>
                        <o:lock v:ext="edit" aspectratio="f"/>
                        <v:textbox>
                          <w:txbxContent>
                            <w:p w14:paraId="276FC12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snapToGrid w:val="0"/>
                                  <w:color w:val="000000" w:themeColor="text1"/>
                                  <w:sz w:val="21"/>
                                  <w:szCs w:val="21"/>
                                  <w:lang w:val="en-US" w:eastAsia="zh-CN"/>
                                  <w14:textFill>
                                    <w14:solidFill>
                                      <w14:schemeClr w14:val="tx1"/>
                                    </w14:solidFill>
                                  </w14:textFill>
                                </w:rPr>
                                <w:t>隔油池</w:t>
                              </w:r>
                            </w:p>
                          </w:txbxContent>
                        </v:textbox>
                      </v:rect>
                      <v:rect id="矩形 71" o:spid="_x0000_s1026" o:spt="1" style="position:absolute;left:2592705;top:1789430;height:508000;width:625475;" filled="f" stroked="f" coordsize="21600,21600" o:gfxdata="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RCCo0gAAAAUBAAAPAAAAAAAAAAEAIAAAACIA&#10;AABkcnMvZG93bnJldi54bWxQSwECFAAUAAAACACHTuJArBdwi9YBAACKAwAADgAAAAAAAAABACAA&#10;AAAhAQAAZHJzL2Uyb0RvYy54bWxQSwUGAAAAAAYABgBZAQAAaQUAAAAA&#10;">
                        <v:fill on="f" focussize="0,0"/>
                        <v:stroke on="f" weight="0.25pt"/>
                        <v:imagedata o:title=""/>
                        <o:lock v:ext="edit" aspectratio="f"/>
                        <v:textbox>
                          <w:txbxContent>
                            <w:p w14:paraId="0A47D4E8">
                              <w:pPr>
                                <w:jc w:val="center"/>
                                <w:rPr>
                                  <w:rFonts w:hint="default"/>
                                  <w:sz w:val="21"/>
                                  <w:szCs w:val="21"/>
                                  <w:lang w:val="en-US" w:eastAsia="zh-CN"/>
                                </w:rPr>
                              </w:pPr>
                              <w:r>
                                <w:rPr>
                                  <w:rFonts w:hint="eastAsia"/>
                                  <w:sz w:val="21"/>
                                  <w:szCs w:val="21"/>
                                  <w:lang w:eastAsia="zh-CN"/>
                                </w:rPr>
                                <w:t>排放</w:t>
                              </w:r>
                              <w:r>
                                <w:rPr>
                                  <w:rFonts w:hint="eastAsia" w:cs="Times New Roman"/>
                                  <w:sz w:val="21"/>
                                  <w:szCs w:val="21"/>
                                  <w:lang w:val="en-US" w:eastAsia="zh-CN"/>
                                </w:rPr>
                                <w:t>157.68</w:t>
                              </w:r>
                            </w:p>
                          </w:txbxContent>
                        </v:textbox>
                      </v:rect>
                      <v:line id="直线 61" o:spid="_x0000_s1026" o:spt="20" style="position:absolute;left:2592070;top:2006600;height:0;width:692785;" filled="f" stroked="t" coordsize="21600,21600" o:gfxdata="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6C6sNcAAAAFAQAADwAAAAAAAAABACAAAAAiAAAAZHJzL2Rvd25yZXYu&#10;eG1sUEsBAhQAFAAAAAgAh07iQF5LNjP8AQAA7AMAAA4AAAAAAAAAAQAgAAAAJgEAAGRycy9lMm9E&#10;b2MueG1sUEsFBgAAAAAGAAYAWQEAAJQFAAAAAA==&#10;">
                        <v:fill on="f" focussize="0,0"/>
                        <v:stroke weight="0.25pt" color="#000000" joinstyle="round" endarrow="block"/>
                        <v:imagedata o:title=""/>
                        <o:lock v:ext="edit" aspectratio="f"/>
                      </v:line>
                      <v:shape id="_x0000_s1026" o:spid="_x0000_s1026" o:spt="34" type="#_x0000_t34" style="position:absolute;left:3359150;top:1317625;height:3175;width:1038860;rotation:-5898240f;" filled="f" stroked="t" coordsize="21600,21600" o:gfxdata="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uB9/tIAAAAFAQAADwAAAAAAAAABACAAAAAiAAAAZHJzL2Rvd25yZXYueG1s&#10;UEsBAhQAFAAAAAgAh07iQC2ZFxc3AgAANQQAAA4AAAAAAAAAAQAgAAAAIQEAAGRycy9lMm9Eb2Mu&#10;eG1sUEsFBgAAAAAGAAYAWQEAAMoFAAAAAA==&#10;" adj="10800">
                        <v:fill on="f" focussize="0,0"/>
                        <v:stroke color="#000000 [3213]" joinstyle="round" endarrow="block"/>
                        <v:imagedata o:title=""/>
                        <o:lock v:ext="edit" aspectratio="f"/>
                      </v:shape>
                      <w10:wrap type="none"/>
                      <w10:anchorlock/>
                    </v:group>
                  </w:pict>
                </mc:Fallback>
              </mc:AlternateContent>
            </w:r>
          </w:p>
          <w:p w14:paraId="05898AEE">
            <w:pPr>
              <w:pStyle w:val="3"/>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图</w:t>
            </w:r>
            <w:r>
              <w:rPr>
                <w:rFonts w:hint="eastAsia" w:cs="Times New Roman"/>
                <w:b/>
                <w:bCs/>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项目水平衡图</w:t>
            </w:r>
          </w:p>
          <w:p w14:paraId="1B547867">
            <w:pPr>
              <w:pStyle w:val="3"/>
              <w:keepNext w:val="0"/>
              <w:keepLines w:val="0"/>
              <w:pageBreakBefore w:val="0"/>
              <w:widowControl w:val="0"/>
              <w:kinsoku/>
              <w:wordWrap/>
              <w:overflowPunct/>
              <w:topLinePunct w:val="0"/>
              <w:autoSpaceDE/>
              <w:autoSpaceDN/>
              <w:bidi w:val="0"/>
              <w:adjustRightInd w:val="0"/>
              <w:snapToGrid w:val="0"/>
              <w:spacing w:after="0" w:line="480" w:lineRule="exact"/>
              <w:ind w:left="0"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供电</w:t>
            </w:r>
          </w:p>
          <w:p w14:paraId="0683379E">
            <w:pPr>
              <w:pStyle w:val="23"/>
              <w:keepNext w:val="0"/>
              <w:keepLines w:val="0"/>
              <w:pageBreakBefore w:val="0"/>
              <w:widowControl w:val="0"/>
              <w:wordWrap/>
              <w:bidi w:val="0"/>
              <w:adjustRightInd w:val="0"/>
              <w:snapToGrid w:val="0"/>
              <w:ind w:firstLine="480"/>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项目用电由国家电网供给，经变压器变配电后使用，可满足项目用电负荷的需要及对供电可靠性的要求。</w:t>
            </w:r>
          </w:p>
          <w:p w14:paraId="0839A8A3">
            <w:pPr>
              <w:pStyle w:val="3"/>
              <w:keepNext w:val="0"/>
              <w:keepLines w:val="0"/>
              <w:pageBreakBefore w:val="0"/>
              <w:widowControl w:val="0"/>
              <w:kinsoku/>
              <w:wordWrap/>
              <w:overflowPunct/>
              <w:topLinePunct w:val="0"/>
              <w:autoSpaceDE/>
              <w:autoSpaceDN/>
              <w:bidi w:val="0"/>
              <w:adjustRightInd w:val="0"/>
              <w:snapToGrid w:val="0"/>
              <w:spacing w:after="0" w:line="480" w:lineRule="exact"/>
              <w:ind w:left="0"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供暖</w:t>
            </w:r>
          </w:p>
          <w:p w14:paraId="7AD575F9">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宋体" w:hAnsi="宋体" w:eastAsia="宋体" w:cs="宋体"/>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eastAsia="zh-CN"/>
                <w14:textFill>
                  <w14:solidFill>
                    <w14:schemeClr w14:val="tx1"/>
                  </w14:solidFill>
                </w14:textFill>
              </w:rPr>
              <w:t>生产无供热</w:t>
            </w:r>
            <w:r>
              <w:rPr>
                <w:rFonts w:hint="eastAsia" w:cs="Times New Roman"/>
                <w:color w:val="000000" w:themeColor="text1"/>
                <w:sz w:val="24"/>
                <w:szCs w:val="24"/>
                <w:lang w:eastAsia="zh-CN"/>
                <w14:textFill>
                  <w14:solidFill>
                    <w14:schemeClr w14:val="tx1"/>
                  </w14:solidFill>
                </w14:textFill>
              </w:rPr>
              <w:t>需求</w:t>
            </w:r>
            <w:r>
              <w:rPr>
                <w:rFonts w:hint="eastAsia" w:ascii="Times New Roman" w:hAnsi="Times New Roman" w:eastAsia="宋体" w:cs="Times New Roman"/>
                <w:color w:val="000000" w:themeColor="text1"/>
                <w:sz w:val="24"/>
                <w:szCs w:val="24"/>
                <w:lang w:eastAsia="zh-CN"/>
                <w14:textFill>
                  <w14:solidFill>
                    <w14:schemeClr w14:val="tx1"/>
                  </w14:solidFill>
                </w14:textFill>
              </w:rPr>
              <w:t>，生活采用</w:t>
            </w:r>
            <w:r>
              <w:rPr>
                <w:rFonts w:hint="eastAsia" w:cs="Times New Roman"/>
                <w:color w:val="000000" w:themeColor="text1"/>
                <w:sz w:val="24"/>
                <w:szCs w:val="24"/>
                <w:lang w:val="en-US" w:eastAsia="zh-CN"/>
                <w14:textFill>
                  <w14:solidFill>
                    <w14:schemeClr w14:val="tx1"/>
                  </w14:solidFill>
                </w14:textFill>
              </w:rPr>
              <w:t>电锅炉供暖</w:t>
            </w:r>
            <w:r>
              <w:rPr>
                <w:rFonts w:hint="default" w:ascii="Times New Roman" w:hAnsi="Times New Roman" w:eastAsia="宋体" w:cs="Times New Roman"/>
                <w:color w:val="000000" w:themeColor="text1"/>
                <w:sz w:val="24"/>
                <w:szCs w:val="24"/>
                <w14:textFill>
                  <w14:solidFill>
                    <w14:schemeClr w14:val="tx1"/>
                  </w14:solidFill>
                </w14:textFill>
              </w:rPr>
              <w:t>。</w:t>
            </w:r>
          </w:p>
        </w:tc>
      </w:tr>
      <w:tr w14:paraId="1844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455" w:type="dxa"/>
            <w:noWrap w:val="0"/>
            <w:vAlign w:val="center"/>
          </w:tcPr>
          <w:p w14:paraId="6824F165">
            <w:pPr>
              <w:pStyle w:val="26"/>
              <w:keepNext w:val="0"/>
              <w:keepLines w:val="0"/>
              <w:pageBreakBefore w:val="0"/>
              <w:widowControl w:val="0"/>
              <w:wordWrap/>
              <w:bidi w:val="0"/>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color w:val="000000" w:themeColor="text1"/>
                <w:sz w:val="24"/>
                <w:szCs w:val="24"/>
                <w14:textFill>
                  <w14:solidFill>
                    <w14:schemeClr w14:val="tx1"/>
                  </w14:solidFill>
                </w14:textFill>
              </w:rPr>
              <w:t>工艺流程和产排污环节</w:t>
            </w:r>
          </w:p>
        </w:tc>
        <w:tc>
          <w:tcPr>
            <w:tcW w:w="8605" w:type="dxa"/>
            <w:noWrap w:val="0"/>
            <w:vAlign w:val="top"/>
          </w:tcPr>
          <w:p w14:paraId="2082C277">
            <w:pPr>
              <w:keepNext w:val="0"/>
              <w:keepLines w:val="0"/>
              <w:pageBreakBefore w:val="0"/>
              <w:widowControl w:val="0"/>
              <w:tabs>
                <w:tab w:val="left" w:pos="6990"/>
              </w:tabs>
              <w:kinsoku/>
              <w:wordWrap/>
              <w:overflowPunct/>
              <w:topLinePunct/>
              <w:autoSpaceDE/>
              <w:autoSpaceDN/>
              <w:bidi w:val="0"/>
              <w:adjustRightInd w:val="0"/>
              <w:snapToGrid w:val="0"/>
              <w:spacing w:before="157" w:beforeLines="50" w:line="360" w:lineRule="auto"/>
              <w:ind w:left="0" w:leftChars="0" w:right="0" w:rightChars="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eastAsia" w:cs="Times New Roman"/>
                <w:b/>
                <w:bCs/>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施工期工艺流程</w:t>
            </w:r>
          </w:p>
          <w:p w14:paraId="758732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righ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mc:AlternateContent>
                <mc:Choice Requires="wpc">
                  <w:drawing>
                    <wp:anchor distT="0" distB="0" distL="114300" distR="114300" simplePos="0" relativeHeight="251662336" behindDoc="0" locked="0" layoutInCell="1" allowOverlap="1">
                      <wp:simplePos x="0" y="0"/>
                      <wp:positionH relativeFrom="column">
                        <wp:posOffset>-46355</wp:posOffset>
                      </wp:positionH>
                      <wp:positionV relativeFrom="paragraph">
                        <wp:posOffset>76200</wp:posOffset>
                      </wp:positionV>
                      <wp:extent cx="5419090" cy="1620520"/>
                      <wp:effectExtent l="0" t="4445" r="10160" b="0"/>
                      <wp:wrapTopAndBottom/>
                      <wp:docPr id="49" name="画布 33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 name="组合 8"/>
                              <wpg:cNvGrpSpPr/>
                              <wpg:grpSpPr>
                                <a:xfrm>
                                  <a:off x="876300" y="0"/>
                                  <a:ext cx="4533265" cy="1499235"/>
                                  <a:chOff x="0" y="0"/>
                                  <a:chExt cx="7139" cy="2361"/>
                                </a:xfrm>
                              </wpg:grpSpPr>
                              <wps:wsp>
                                <wps:cNvPr id="78" name="矩形 3350"/>
                                <wps:cNvSpPr/>
                                <wps:spPr>
                                  <a:xfrm>
                                    <a:off x="4605" y="0"/>
                                    <a:ext cx="735" cy="432"/>
                                  </a:xfrm>
                                  <a:prstGeom prst="rect">
                                    <a:avLst/>
                                  </a:prstGeom>
                                  <a:solidFill>
                                    <a:srgbClr val="FFFFFF"/>
                                  </a:solidFill>
                                  <a:ln w="9525" cap="flat" cmpd="sng">
                                    <a:solidFill>
                                      <a:srgbClr val="000000"/>
                                    </a:solidFill>
                                    <a:prstDash val="dashDot"/>
                                    <a:miter/>
                                    <a:headEnd type="none" w="med" len="med"/>
                                    <a:tailEnd type="none" w="med" len="med"/>
                                  </a:ln>
                                  <a:effectLst/>
                                </wps:spPr>
                                <wps:txbx>
                                  <w:txbxContent>
                                    <w:p w14:paraId="6C0C6202">
                                      <w:pPr>
                                        <w:jc w:val="center"/>
                                        <w:rPr>
                                          <w:rFonts w:hint="eastAsia"/>
                                          <w:szCs w:val="21"/>
                                        </w:rPr>
                                      </w:pPr>
                                      <w:r>
                                        <w:rPr>
                                          <w:rFonts w:hint="eastAsia"/>
                                          <w:szCs w:val="21"/>
                                        </w:rPr>
                                        <w:t>噪声</w:t>
                                      </w:r>
                                    </w:p>
                                  </w:txbxContent>
                                </wps:txbx>
                                <wps:bodyPr vert="horz" wrap="square" anchor="t" anchorCtr="0" upright="1"/>
                              </wps:wsp>
                              <wps:wsp>
                                <wps:cNvPr id="79" name="矩形 3351"/>
                                <wps:cNvSpPr/>
                                <wps:spPr>
                                  <a:xfrm>
                                    <a:off x="1380" y="12"/>
                                    <a:ext cx="1461" cy="432"/>
                                  </a:xfrm>
                                  <a:prstGeom prst="rect">
                                    <a:avLst/>
                                  </a:prstGeom>
                                  <a:solidFill>
                                    <a:srgbClr val="FFFFFF"/>
                                  </a:solidFill>
                                  <a:ln w="9525" cap="flat" cmpd="sng">
                                    <a:solidFill>
                                      <a:srgbClr val="000000"/>
                                    </a:solidFill>
                                    <a:prstDash val="dashDot"/>
                                    <a:miter/>
                                    <a:headEnd type="none" w="med" len="med"/>
                                    <a:tailEnd type="none" w="med" len="med"/>
                                  </a:ln>
                                  <a:effectLst/>
                                </wps:spPr>
                                <wps:txbx>
                                  <w:txbxContent>
                                    <w:p w14:paraId="4B245715">
                                      <w:pPr>
                                        <w:jc w:val="center"/>
                                        <w:rPr>
                                          <w:rFonts w:hint="eastAsia"/>
                                          <w:szCs w:val="21"/>
                                        </w:rPr>
                                      </w:pPr>
                                      <w:r>
                                        <w:rPr>
                                          <w:rFonts w:hint="eastAsia"/>
                                          <w:szCs w:val="21"/>
                                        </w:rPr>
                                        <w:t>扬尘、噪声</w:t>
                                      </w:r>
                                    </w:p>
                                  </w:txbxContent>
                                </wps:txbx>
                                <wps:bodyPr vert="horz" wrap="square" anchor="t" anchorCtr="0" upright="1"/>
                              </wps:wsp>
                              <wps:wsp>
                                <wps:cNvPr id="80" name="矩形 3352"/>
                                <wps:cNvSpPr/>
                                <wps:spPr>
                                  <a:xfrm>
                                    <a:off x="0" y="1023"/>
                                    <a:ext cx="1199"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7BA3B08">
                                      <w:pPr>
                                        <w:jc w:val="center"/>
                                        <w:rPr>
                                          <w:rFonts w:hint="eastAsia"/>
                                          <w:szCs w:val="21"/>
                                        </w:rPr>
                                      </w:pPr>
                                      <w:r>
                                        <w:rPr>
                                          <w:rFonts w:hint="eastAsia"/>
                                          <w:szCs w:val="21"/>
                                        </w:rPr>
                                        <w:t>基础工程</w:t>
                                      </w:r>
                                    </w:p>
                                  </w:txbxContent>
                                </wps:txbx>
                                <wps:bodyPr vert="horz" wrap="square" anchor="t" anchorCtr="0" upright="1"/>
                              </wps:wsp>
                              <wps:wsp>
                                <wps:cNvPr id="81" name="矩形 3353"/>
                                <wps:cNvSpPr/>
                                <wps:spPr>
                                  <a:xfrm>
                                    <a:off x="1424" y="1002"/>
                                    <a:ext cx="12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6762DD">
                                      <w:pPr>
                                        <w:jc w:val="center"/>
                                        <w:rPr>
                                          <w:rFonts w:hint="eastAsia"/>
                                          <w:szCs w:val="21"/>
                                        </w:rPr>
                                      </w:pPr>
                                      <w:r>
                                        <w:rPr>
                                          <w:rFonts w:hint="eastAsia"/>
                                          <w:szCs w:val="21"/>
                                        </w:rPr>
                                        <w:t>主体工程</w:t>
                                      </w:r>
                                    </w:p>
                                  </w:txbxContent>
                                </wps:txbx>
                                <wps:bodyPr vert="horz" wrap="square" anchor="t" anchorCtr="0" upright="1"/>
                              </wps:wsp>
                              <wps:wsp>
                                <wps:cNvPr id="82" name="矩形 3354"/>
                                <wps:cNvSpPr/>
                                <wps:spPr>
                                  <a:xfrm>
                                    <a:off x="2864" y="993"/>
                                    <a:ext cx="1276"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5A46A1">
                                      <w:pPr>
                                        <w:jc w:val="center"/>
                                        <w:rPr>
                                          <w:rFonts w:hint="eastAsia"/>
                                          <w:szCs w:val="21"/>
                                        </w:rPr>
                                      </w:pPr>
                                      <w:r>
                                        <w:rPr>
                                          <w:rFonts w:hint="eastAsia"/>
                                          <w:szCs w:val="21"/>
                                        </w:rPr>
                                        <w:t>装饰工程</w:t>
                                      </w:r>
                                    </w:p>
                                  </w:txbxContent>
                                </wps:txbx>
                                <wps:bodyPr vert="horz" wrap="square" anchor="t" anchorCtr="0" upright="1"/>
                              </wps:wsp>
                              <wps:wsp>
                                <wps:cNvPr id="83" name="矩形 3355"/>
                                <wps:cNvSpPr/>
                                <wps:spPr>
                                  <a:xfrm>
                                    <a:off x="4306" y="993"/>
                                    <a:ext cx="1259"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836F2B">
                                      <w:pPr>
                                        <w:jc w:val="center"/>
                                        <w:rPr>
                                          <w:rFonts w:hint="eastAsia"/>
                                          <w:szCs w:val="21"/>
                                        </w:rPr>
                                      </w:pPr>
                                      <w:r>
                                        <w:rPr>
                                          <w:rFonts w:hint="eastAsia"/>
                                          <w:szCs w:val="21"/>
                                        </w:rPr>
                                        <w:t>设备安装</w:t>
                                      </w:r>
                                    </w:p>
                                  </w:txbxContent>
                                </wps:txbx>
                                <wps:bodyPr vert="horz" wrap="square" anchor="t" anchorCtr="0" upright="1"/>
                              </wps:wsp>
                              <wps:wsp>
                                <wps:cNvPr id="84" name="矩形 3356"/>
                                <wps:cNvSpPr/>
                                <wps:spPr>
                                  <a:xfrm>
                                    <a:off x="5760" y="972"/>
                                    <a:ext cx="1259"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9595EB8">
                                      <w:pPr>
                                        <w:jc w:val="center"/>
                                        <w:rPr>
                                          <w:rFonts w:hint="eastAsia"/>
                                          <w:szCs w:val="21"/>
                                        </w:rPr>
                                      </w:pPr>
                                      <w:r>
                                        <w:rPr>
                                          <w:rFonts w:hint="eastAsia"/>
                                          <w:szCs w:val="21"/>
                                        </w:rPr>
                                        <w:t>工程验收</w:t>
                                      </w:r>
                                    </w:p>
                                  </w:txbxContent>
                                </wps:txbx>
                                <wps:bodyPr vert="horz" wrap="square" anchor="t" anchorCtr="0" upright="1"/>
                              </wps:wsp>
                              <wps:wsp>
                                <wps:cNvPr id="85" name="矩形 3357"/>
                                <wps:cNvSpPr/>
                                <wps:spPr>
                                  <a:xfrm>
                                    <a:off x="6240" y="1812"/>
                                    <a:ext cx="899"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6BCC48">
                                      <w:pPr>
                                        <w:jc w:val="center"/>
                                        <w:rPr>
                                          <w:rFonts w:hint="eastAsia"/>
                                          <w:szCs w:val="21"/>
                                        </w:rPr>
                                      </w:pPr>
                                      <w:r>
                                        <w:rPr>
                                          <w:rFonts w:hint="eastAsia"/>
                                          <w:szCs w:val="21"/>
                                        </w:rPr>
                                        <w:t>运行</w:t>
                                      </w:r>
                                    </w:p>
                                  </w:txbxContent>
                                </wps:txbx>
                                <wps:bodyPr vert="horz" wrap="square" anchor="t" anchorCtr="0" upright="1"/>
                              </wps:wsp>
                              <wps:wsp>
                                <wps:cNvPr id="86" name="直线 3358"/>
                                <wps:cNvCnPr/>
                                <wps:spPr>
                                  <a:xfrm>
                                    <a:off x="1260" y="1239"/>
                                    <a:ext cx="180" cy="1"/>
                                  </a:xfrm>
                                  <a:prstGeom prst="line">
                                    <a:avLst/>
                                  </a:prstGeom>
                                  <a:ln w="9525" cap="flat" cmpd="sng">
                                    <a:solidFill>
                                      <a:srgbClr val="000000"/>
                                    </a:solidFill>
                                    <a:prstDash val="solid"/>
                                    <a:headEnd type="none" w="med" len="med"/>
                                    <a:tailEnd type="triangle" w="med" len="med"/>
                                  </a:ln>
                                  <a:effectLst/>
                                </wps:spPr>
                                <wps:bodyPr upright="1"/>
                              </wps:wsp>
                              <wps:wsp>
                                <wps:cNvPr id="87" name="直线 3359"/>
                                <wps:cNvCnPr/>
                                <wps:spPr>
                                  <a:xfrm>
                                    <a:off x="5580" y="1209"/>
                                    <a:ext cx="180" cy="1"/>
                                  </a:xfrm>
                                  <a:prstGeom prst="line">
                                    <a:avLst/>
                                  </a:prstGeom>
                                  <a:ln w="9525" cap="flat" cmpd="sng">
                                    <a:solidFill>
                                      <a:srgbClr val="000000"/>
                                    </a:solidFill>
                                    <a:prstDash val="solid"/>
                                    <a:headEnd type="none" w="med" len="med"/>
                                    <a:tailEnd type="triangle" w="med" len="med"/>
                                  </a:ln>
                                  <a:effectLst/>
                                </wps:spPr>
                                <wps:bodyPr upright="1"/>
                              </wps:wsp>
                              <wps:wsp>
                                <wps:cNvPr id="88" name="直线 3360"/>
                                <wps:cNvCnPr/>
                                <wps:spPr>
                                  <a:xfrm>
                                    <a:off x="6705" y="1434"/>
                                    <a:ext cx="16" cy="362"/>
                                  </a:xfrm>
                                  <a:prstGeom prst="line">
                                    <a:avLst/>
                                  </a:prstGeom>
                                  <a:ln w="9525" cap="flat" cmpd="sng">
                                    <a:solidFill>
                                      <a:srgbClr val="000000"/>
                                    </a:solidFill>
                                    <a:prstDash val="solid"/>
                                    <a:headEnd type="none" w="med" len="med"/>
                                    <a:tailEnd type="triangle" w="med" len="med"/>
                                  </a:ln>
                                  <a:effectLst/>
                                </wps:spPr>
                                <wps:bodyPr upright="1"/>
                              </wps:wsp>
                              <wps:wsp>
                                <wps:cNvPr id="89" name="直线 3361"/>
                                <wps:cNvCnPr/>
                                <wps:spPr>
                                  <a:xfrm>
                                    <a:off x="4140" y="1224"/>
                                    <a:ext cx="180" cy="1"/>
                                  </a:xfrm>
                                  <a:prstGeom prst="line">
                                    <a:avLst/>
                                  </a:prstGeom>
                                  <a:ln w="9525" cap="flat" cmpd="sng">
                                    <a:solidFill>
                                      <a:srgbClr val="000000"/>
                                    </a:solidFill>
                                    <a:prstDash val="solid"/>
                                    <a:headEnd type="none" w="med" len="med"/>
                                    <a:tailEnd type="triangle" w="med" len="med"/>
                                  </a:ln>
                                  <a:effectLst/>
                                </wps:spPr>
                                <wps:bodyPr upright="1"/>
                              </wps:wsp>
                              <wps:wsp>
                                <wps:cNvPr id="90" name="直线 3362"/>
                                <wps:cNvCnPr/>
                                <wps:spPr>
                                  <a:xfrm>
                                    <a:off x="2700" y="1230"/>
                                    <a:ext cx="180" cy="1"/>
                                  </a:xfrm>
                                  <a:prstGeom prst="line">
                                    <a:avLst/>
                                  </a:prstGeom>
                                  <a:ln w="9525" cap="flat" cmpd="sng">
                                    <a:solidFill>
                                      <a:srgbClr val="000000"/>
                                    </a:solidFill>
                                    <a:prstDash val="solid"/>
                                    <a:headEnd type="none" w="med" len="med"/>
                                    <a:tailEnd type="triangle" w="med" len="med"/>
                                  </a:ln>
                                  <a:effectLst/>
                                </wps:spPr>
                                <wps:bodyPr upright="1"/>
                              </wps:wsp>
                              <wps:wsp>
                                <wps:cNvPr id="91" name="直线 3363"/>
                                <wps:cNvCnPr/>
                                <wps:spPr>
                                  <a:xfrm flipV="1">
                                    <a:off x="540" y="696"/>
                                    <a:ext cx="1" cy="312"/>
                                  </a:xfrm>
                                  <a:prstGeom prst="line">
                                    <a:avLst/>
                                  </a:prstGeom>
                                  <a:ln w="9525" cap="flat" cmpd="sng">
                                    <a:solidFill>
                                      <a:srgbClr val="000000"/>
                                    </a:solidFill>
                                    <a:prstDash val="dashDot"/>
                                    <a:headEnd type="none" w="med" len="med"/>
                                    <a:tailEnd type="triangle" w="med" len="med"/>
                                  </a:ln>
                                  <a:effectLst/>
                                </wps:spPr>
                                <wps:bodyPr upright="1"/>
                              </wps:wsp>
                              <wps:wsp>
                                <wps:cNvPr id="103" name="直线 3364"/>
                                <wps:cNvCnPr/>
                                <wps:spPr>
                                  <a:xfrm flipV="1">
                                    <a:off x="4965" y="591"/>
                                    <a:ext cx="1" cy="312"/>
                                  </a:xfrm>
                                  <a:prstGeom prst="line">
                                    <a:avLst/>
                                  </a:prstGeom>
                                  <a:ln w="9525" cap="flat" cmpd="sng">
                                    <a:solidFill>
                                      <a:srgbClr val="000000"/>
                                    </a:solidFill>
                                    <a:prstDash val="dashDot"/>
                                    <a:headEnd type="none" w="med" len="med"/>
                                    <a:tailEnd type="triangle" w="med" len="med"/>
                                  </a:ln>
                                  <a:effectLst/>
                                </wps:spPr>
                                <wps:bodyPr upright="1"/>
                              </wps:wsp>
                              <wps:wsp>
                                <wps:cNvPr id="118" name="直线 3365"/>
                                <wps:cNvCnPr/>
                                <wps:spPr>
                                  <a:xfrm flipV="1">
                                    <a:off x="3495" y="681"/>
                                    <a:ext cx="1" cy="312"/>
                                  </a:xfrm>
                                  <a:prstGeom prst="line">
                                    <a:avLst/>
                                  </a:prstGeom>
                                  <a:ln w="9525" cap="flat" cmpd="sng">
                                    <a:solidFill>
                                      <a:srgbClr val="000000"/>
                                    </a:solidFill>
                                    <a:prstDash val="dashDot"/>
                                    <a:headEnd type="none" w="med" len="med"/>
                                    <a:tailEnd type="triangle" w="med" len="med"/>
                                  </a:ln>
                                  <a:effectLst/>
                                </wps:spPr>
                                <wps:bodyPr upright="1"/>
                              </wps:wsp>
                              <wps:wsp>
                                <wps:cNvPr id="120" name="直线 3366"/>
                                <wps:cNvCnPr/>
                                <wps:spPr>
                                  <a:xfrm>
                                    <a:off x="506" y="696"/>
                                    <a:ext cx="2974" cy="1"/>
                                  </a:xfrm>
                                  <a:prstGeom prst="line">
                                    <a:avLst/>
                                  </a:prstGeom>
                                  <a:ln w="9525" cap="flat" cmpd="sng">
                                    <a:solidFill>
                                      <a:srgbClr val="000000"/>
                                    </a:solidFill>
                                    <a:prstDash val="solid"/>
                                    <a:headEnd type="none" w="med" len="med"/>
                                    <a:tailEnd type="none" w="med" len="med"/>
                                  </a:ln>
                                  <a:effectLst/>
                                </wps:spPr>
                                <wps:bodyPr upright="1"/>
                              </wps:wsp>
                              <wps:wsp>
                                <wps:cNvPr id="121" name="直线 3367"/>
                                <wps:cNvCnPr/>
                                <wps:spPr>
                                  <a:xfrm flipV="1">
                                    <a:off x="2040" y="495"/>
                                    <a:ext cx="1" cy="468"/>
                                  </a:xfrm>
                                  <a:prstGeom prst="line">
                                    <a:avLst/>
                                  </a:prstGeom>
                                  <a:ln w="9525" cap="flat" cmpd="sng">
                                    <a:solidFill>
                                      <a:srgbClr val="000000"/>
                                    </a:solidFill>
                                    <a:prstDash val="dashDot"/>
                                    <a:headEnd type="none" w="med" len="med"/>
                                    <a:tailEnd type="triangle" w="med" len="med"/>
                                  </a:ln>
                                  <a:effectLst/>
                                </wps:spPr>
                                <wps:bodyPr upright="1"/>
                              </wps:wsp>
                              <wps:wsp>
                                <wps:cNvPr id="122" name="直线 3368"/>
                                <wps:cNvCnPr/>
                                <wps:spPr>
                                  <a:xfrm>
                                    <a:off x="540" y="1491"/>
                                    <a:ext cx="1" cy="312"/>
                                  </a:xfrm>
                                  <a:prstGeom prst="line">
                                    <a:avLst/>
                                  </a:prstGeom>
                                  <a:ln w="9525" cap="flat" cmpd="sng">
                                    <a:solidFill>
                                      <a:srgbClr val="000000"/>
                                    </a:solidFill>
                                    <a:prstDash val="dashDot"/>
                                    <a:headEnd type="none" w="med" len="med"/>
                                    <a:tailEnd type="triangle" w="med" len="med"/>
                                  </a:ln>
                                  <a:effectLst/>
                                </wps:spPr>
                                <wps:bodyPr upright="1"/>
                              </wps:wsp>
                              <wps:wsp>
                                <wps:cNvPr id="123" name="直线 3369"/>
                                <wps:cNvCnPr/>
                                <wps:spPr>
                                  <a:xfrm>
                                    <a:off x="4965" y="1461"/>
                                    <a:ext cx="1" cy="312"/>
                                  </a:xfrm>
                                  <a:prstGeom prst="line">
                                    <a:avLst/>
                                  </a:prstGeom>
                                  <a:ln w="9525" cap="flat" cmpd="sng">
                                    <a:solidFill>
                                      <a:srgbClr val="000000"/>
                                    </a:solidFill>
                                    <a:prstDash val="dashDot"/>
                                    <a:headEnd type="none" w="med" len="med"/>
                                    <a:tailEnd type="triangle" w="med" len="med"/>
                                  </a:ln>
                                  <a:effectLst/>
                                </wps:spPr>
                                <wps:bodyPr upright="1"/>
                              </wps:wsp>
                              <wps:wsp>
                                <wps:cNvPr id="124" name="直线 3370"/>
                                <wps:cNvCnPr/>
                                <wps:spPr>
                                  <a:xfrm>
                                    <a:off x="6420" y="1446"/>
                                    <a:ext cx="1" cy="312"/>
                                  </a:xfrm>
                                  <a:prstGeom prst="line">
                                    <a:avLst/>
                                  </a:prstGeom>
                                  <a:ln w="9525" cap="flat" cmpd="sng">
                                    <a:solidFill>
                                      <a:srgbClr val="000000"/>
                                    </a:solidFill>
                                    <a:prstDash val="dashDot"/>
                                    <a:headEnd type="none" w="med" len="med"/>
                                    <a:tailEnd type="triangle" w="med" len="med"/>
                                  </a:ln>
                                  <a:effectLst/>
                                </wps:spPr>
                                <wps:bodyPr upright="1"/>
                              </wps:wsp>
                              <wps:wsp>
                                <wps:cNvPr id="125" name="直线 3371"/>
                                <wps:cNvCnPr/>
                                <wps:spPr>
                                  <a:xfrm>
                                    <a:off x="2040" y="1461"/>
                                    <a:ext cx="1" cy="312"/>
                                  </a:xfrm>
                                  <a:prstGeom prst="line">
                                    <a:avLst/>
                                  </a:prstGeom>
                                  <a:ln w="9525" cap="flat" cmpd="sng">
                                    <a:solidFill>
                                      <a:srgbClr val="000000"/>
                                    </a:solidFill>
                                    <a:prstDash val="dashDot"/>
                                    <a:headEnd type="none" w="med" len="med"/>
                                    <a:tailEnd type="triangle" w="med" len="med"/>
                                  </a:ln>
                                  <a:effectLst/>
                                </wps:spPr>
                                <wps:bodyPr upright="1"/>
                              </wps:wsp>
                              <wps:wsp>
                                <wps:cNvPr id="126" name="直线 3372"/>
                                <wps:cNvCnPr/>
                                <wps:spPr>
                                  <a:xfrm>
                                    <a:off x="499" y="1806"/>
                                    <a:ext cx="5940" cy="1"/>
                                  </a:xfrm>
                                  <a:prstGeom prst="line">
                                    <a:avLst/>
                                  </a:prstGeom>
                                  <a:ln w="9525" cap="flat" cmpd="sng">
                                    <a:solidFill>
                                      <a:srgbClr val="000000"/>
                                    </a:solidFill>
                                    <a:prstDash val="solid"/>
                                    <a:headEnd type="none" w="med" len="med"/>
                                    <a:tailEnd type="none" w="med" len="med"/>
                                  </a:ln>
                                  <a:effectLst/>
                                </wps:spPr>
                                <wps:bodyPr upright="1"/>
                              </wps:wsp>
                              <wps:wsp>
                                <wps:cNvPr id="127" name="直线 3373"/>
                                <wps:cNvCnPr/>
                                <wps:spPr>
                                  <a:xfrm>
                                    <a:off x="3495" y="1461"/>
                                    <a:ext cx="1" cy="468"/>
                                  </a:xfrm>
                                  <a:prstGeom prst="line">
                                    <a:avLst/>
                                  </a:prstGeom>
                                  <a:ln w="9525" cap="flat" cmpd="sng">
                                    <a:solidFill>
                                      <a:srgbClr val="000000"/>
                                    </a:solidFill>
                                    <a:prstDash val="dashDot"/>
                                    <a:headEnd type="none" w="med" len="med"/>
                                    <a:tailEnd type="triangle" w="med" len="med"/>
                                  </a:ln>
                                  <a:effectLst/>
                                </wps:spPr>
                                <wps:bodyPr upright="1"/>
                              </wps:wsp>
                              <wps:wsp>
                                <wps:cNvPr id="128" name="矩形 3374"/>
                                <wps:cNvSpPr/>
                                <wps:spPr>
                                  <a:xfrm>
                                    <a:off x="2880" y="1929"/>
                                    <a:ext cx="1537" cy="432"/>
                                  </a:xfrm>
                                  <a:prstGeom prst="rect">
                                    <a:avLst/>
                                  </a:prstGeom>
                                  <a:solidFill>
                                    <a:srgbClr val="FFFFFF"/>
                                  </a:solidFill>
                                  <a:ln w="9525" cap="flat" cmpd="sng">
                                    <a:solidFill>
                                      <a:srgbClr val="000000"/>
                                    </a:solidFill>
                                    <a:prstDash val="dashDot"/>
                                    <a:miter/>
                                    <a:headEnd type="none" w="med" len="med"/>
                                    <a:tailEnd type="none" w="med" len="med"/>
                                  </a:ln>
                                  <a:effectLst/>
                                </wps:spPr>
                                <wps:txbx>
                                  <w:txbxContent>
                                    <w:p w14:paraId="354EE7E4">
                                      <w:pPr>
                                        <w:jc w:val="center"/>
                                        <w:rPr>
                                          <w:rFonts w:hint="eastAsia"/>
                                          <w:szCs w:val="21"/>
                                        </w:rPr>
                                      </w:pPr>
                                      <w:r>
                                        <w:rPr>
                                          <w:rFonts w:hint="eastAsia"/>
                                          <w:szCs w:val="21"/>
                                        </w:rPr>
                                        <w:t>废水、固废</w:t>
                                      </w:r>
                                    </w:p>
                                  </w:txbxContent>
                                </wps:txbx>
                                <wps:bodyPr vert="horz" wrap="square" anchor="t" anchorCtr="0" upright="1"/>
                              </wps:wsp>
                            </wpg:wgp>
                            <wps:wsp>
                              <wps:cNvPr id="9" name="矩形 3352"/>
                              <wps:cNvSpPr/>
                              <wps:spPr>
                                <a:xfrm>
                                  <a:off x="38100" y="561340"/>
                                  <a:ext cx="607695" cy="477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354F5B">
                                    <w:pPr>
                                      <w:jc w:val="center"/>
                                      <w:rPr>
                                        <w:rFonts w:hint="eastAsia" w:eastAsia="宋体"/>
                                        <w:szCs w:val="21"/>
                                        <w:lang w:eastAsia="zh-CN"/>
                                      </w:rPr>
                                    </w:pPr>
                                    <w:r>
                                      <w:rPr>
                                        <w:rFonts w:hint="eastAsia"/>
                                        <w:szCs w:val="21"/>
                                        <w:lang w:eastAsia="zh-CN"/>
                                      </w:rPr>
                                      <w:t>建筑物拆除</w:t>
                                    </w:r>
                                  </w:p>
                                </w:txbxContent>
                              </wps:txbx>
                              <wps:bodyPr vert="horz" wrap="square" anchor="t" anchorCtr="0" upright="1"/>
                            </wps:wsp>
                            <wps:wsp>
                              <wps:cNvPr id="10" name="直线 3358"/>
                              <wps:cNvCnPr>
                                <a:stCxn id="9" idx="3"/>
                                <a:endCxn id="80" idx="1"/>
                              </wps:cNvCnPr>
                              <wps:spPr>
                                <a:xfrm flipV="1">
                                  <a:off x="645795" y="798195"/>
                                  <a:ext cx="230505" cy="1905"/>
                                </a:xfrm>
                                <a:prstGeom prst="line">
                                  <a:avLst/>
                                </a:prstGeom>
                                <a:ln w="9525" cap="flat" cmpd="sng">
                                  <a:solidFill>
                                    <a:srgbClr val="000000"/>
                                  </a:solidFill>
                                  <a:prstDash val="solid"/>
                                  <a:headEnd type="none" w="med" len="med"/>
                                  <a:tailEnd type="triangle" w="med" len="med"/>
                                </a:ln>
                                <a:effectLst/>
                              </wps:spPr>
                              <wps:bodyPr upright="1"/>
                            </wps:wsp>
                            <wps:wsp>
                              <wps:cNvPr id="11" name="直线 3367"/>
                              <wps:cNvCnPr/>
                              <wps:spPr>
                                <a:xfrm flipV="1">
                                  <a:off x="322580" y="274955"/>
                                  <a:ext cx="635" cy="297180"/>
                                </a:xfrm>
                                <a:prstGeom prst="line">
                                  <a:avLst/>
                                </a:prstGeom>
                                <a:ln w="9525" cap="flat" cmpd="sng">
                                  <a:solidFill>
                                    <a:srgbClr val="000000"/>
                                  </a:solidFill>
                                  <a:prstDash val="dashDot"/>
                                  <a:headEnd type="none" w="med" len="med"/>
                                  <a:tailEnd type="triangle" w="med" len="med"/>
                                </a:ln>
                                <a:effectLst/>
                              </wps:spPr>
                              <wps:bodyPr upright="1"/>
                            </wps:wsp>
                            <wps:wsp>
                              <wps:cNvPr id="14" name="矩形 3351"/>
                              <wps:cNvSpPr/>
                              <wps:spPr>
                                <a:xfrm>
                                  <a:off x="74930" y="0"/>
                                  <a:ext cx="927735" cy="274320"/>
                                </a:xfrm>
                                <a:prstGeom prst="rect">
                                  <a:avLst/>
                                </a:prstGeom>
                                <a:solidFill>
                                  <a:srgbClr val="FFFFFF"/>
                                </a:solidFill>
                                <a:ln w="9525" cap="flat" cmpd="sng">
                                  <a:solidFill>
                                    <a:srgbClr val="000000"/>
                                  </a:solidFill>
                                  <a:prstDash val="dashDot"/>
                                  <a:miter/>
                                  <a:headEnd type="none" w="med" len="med"/>
                                  <a:tailEnd type="none" w="med" len="med"/>
                                </a:ln>
                                <a:effectLst/>
                              </wps:spPr>
                              <wps:txbx>
                                <w:txbxContent>
                                  <w:p w14:paraId="4E2760E9">
                                    <w:pPr>
                                      <w:jc w:val="center"/>
                                      <w:rPr>
                                        <w:rFonts w:hint="eastAsia"/>
                                        <w:szCs w:val="21"/>
                                      </w:rPr>
                                    </w:pPr>
                                    <w:r>
                                      <w:rPr>
                                        <w:rFonts w:hint="eastAsia"/>
                                        <w:szCs w:val="21"/>
                                        <w:lang w:eastAsia="zh-CN"/>
                                      </w:rPr>
                                      <w:t>固废</w:t>
                                    </w:r>
                                    <w:r>
                                      <w:rPr>
                                        <w:rFonts w:hint="eastAsia"/>
                                        <w:szCs w:val="21"/>
                                      </w:rPr>
                                      <w:t>、噪声</w:t>
                                    </w:r>
                                  </w:p>
                                </w:txbxContent>
                              </wps:txbx>
                              <wps:bodyPr vert="horz" wrap="square" anchor="t" anchorCtr="0" upright="1"/>
                            </wps:wsp>
                          </wpc:wpc>
                        </a:graphicData>
                      </a:graphic>
                    </wp:anchor>
                  </w:drawing>
                </mc:Choice>
                <mc:Fallback>
                  <w:pict>
                    <v:group id="画布 3348" o:spid="_x0000_s1026" o:spt="203" style="position:absolute;left:0pt;margin-left:-3.65pt;margin-top:6pt;height:127.6pt;width:426.7pt;mso-wrap-distance-bottom:0pt;mso-wrap-distance-top:0pt;z-index:251662336;mso-width-relative:page;mso-height-relative:page;" coordsize="5419090,1620520" editas="canvas" o:gfxdata="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">
                      <o:lock v:ext="edit" aspectratio="f"/>
                      <v:shape id="画布 3348" o:spid="_x0000_s1026" style="position:absolute;left:0;top:0;height:1620520;width:5419090;" filled="f" stroked="f" coordsize="21600,21600" o:gfxdata="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H+mUadoAAAAJAQAADwAAAAAA&#10;AAABACAAAAAiAAAAZHJzL2Rvd25yZXYueG1sUEsBAhQAFAAAAAgAh07iQJT3PJe+BgAADEYAAA4A&#10;AAAAAAAAAQAgAAAAKQEAAGRycy9lMm9Eb2MueG1sUEsFBgAAAAAGAAYAWQEAAFkKAAAAAA==&#10;">
                        <v:fill on="f" focussize="0,0"/>
                        <v:stroke on="f"/>
                        <v:imagedata o:title=""/>
                        <o:lock v:ext="edit" aspectratio="t"/>
                      </v:shape>
                      <v:group id="_x0000_s1026" o:spid="_x0000_s1026" o:spt="203" style="position:absolute;left:876300;top:0;height:1499235;width:4533265;" coordsize="7139,2361" o:gfxdata="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">
                        <o:lock v:ext="edit" aspectratio="f"/>
                        <v:rect id="矩形 3350" o:spid="_x0000_s1026" o:spt="1" style="position:absolute;left:4605;top:0;height:432;width:735;" fillcolor="#FFFFFF" filled="t" stroked="t" coordsize="21600,21600" o:gfxdata="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FHr7sAAADb&#10;AAAADwAAAAAAAAABACAAAAAiAAAAZHJzL2Rvd25yZXYueG1sUEsBAhQAFAAAAAgAh07iQDMvBZ47&#10;AAAAOQAAABAAAAAAAAAAAQAgAAAACgEAAGRycy9zaGFwZXhtbC54bWxQSwUGAAAAAAYABgBbAQAA&#10;tAMAAAAA&#10;">
                          <v:fill on="t" focussize="0,0"/>
                          <v:stroke color="#000000" joinstyle="miter" dashstyle="dashDot"/>
                          <v:imagedata o:title=""/>
                          <o:lock v:ext="edit" aspectratio="f"/>
                          <v:textbox>
                            <w:txbxContent>
                              <w:p w14:paraId="6C0C6202">
                                <w:pPr>
                                  <w:jc w:val="center"/>
                                  <w:rPr>
                                    <w:rFonts w:hint="eastAsia"/>
                                    <w:szCs w:val="21"/>
                                  </w:rPr>
                                </w:pPr>
                                <w:r>
                                  <w:rPr>
                                    <w:rFonts w:hint="eastAsia"/>
                                    <w:szCs w:val="21"/>
                                  </w:rPr>
                                  <w:t>噪声</w:t>
                                </w:r>
                              </w:p>
                            </w:txbxContent>
                          </v:textbox>
                        </v:rect>
                        <v:rect id="矩形 3351" o:spid="_x0000_s1026" o:spt="1" style="position:absolute;left:1380;top:12;height:432;width:1461;" fillcolor="#FFFFFF" filled="t" stroked="t" coordsize="21600,21600" o:gfxdata="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eI0vQAA&#10;ANsAAAAPAAAAAAAAAAEAIAAAACIAAABkcnMvZG93bnJldi54bWxQSwECFAAUAAAACACHTuJAMy8F&#10;njsAAAA5AAAAEAAAAAAAAAABACAAAAAMAQAAZHJzL3NoYXBleG1sLnhtbFBLBQYAAAAABgAGAFsB&#10;AAC2AwAAAAA=&#10;">
                          <v:fill on="t" focussize="0,0"/>
                          <v:stroke color="#000000" joinstyle="miter" dashstyle="dashDot"/>
                          <v:imagedata o:title=""/>
                          <o:lock v:ext="edit" aspectratio="f"/>
                          <v:textbox>
                            <w:txbxContent>
                              <w:p w14:paraId="4B245715">
                                <w:pPr>
                                  <w:jc w:val="center"/>
                                  <w:rPr>
                                    <w:rFonts w:hint="eastAsia"/>
                                    <w:szCs w:val="21"/>
                                  </w:rPr>
                                </w:pPr>
                                <w:r>
                                  <w:rPr>
                                    <w:rFonts w:hint="eastAsia"/>
                                    <w:szCs w:val="21"/>
                                  </w:rPr>
                                  <w:t>扬尘、噪声</w:t>
                                </w:r>
                              </w:p>
                            </w:txbxContent>
                          </v:textbox>
                        </v:rect>
                        <v:rect id="矩形 3352" o:spid="_x0000_s1026" o:spt="1" style="position:absolute;left:0;top:1023;height:468;width:1199;" fillcolor="#FFFFFF" filled="t" stroked="t" coordsize="21600,21600" o:gfxdata="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aLF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27BA3B08">
                                <w:pPr>
                                  <w:jc w:val="center"/>
                                  <w:rPr>
                                    <w:rFonts w:hint="eastAsia"/>
                                    <w:szCs w:val="21"/>
                                  </w:rPr>
                                </w:pPr>
                                <w:r>
                                  <w:rPr>
                                    <w:rFonts w:hint="eastAsia"/>
                                    <w:szCs w:val="21"/>
                                  </w:rPr>
                                  <w:t>基础工程</w:t>
                                </w:r>
                              </w:p>
                            </w:txbxContent>
                          </v:textbox>
                        </v:rect>
                        <v:rect id="矩形 3353" o:spid="_x0000_s1026" o:spt="1" style="position:absolute;left:1424;top:1002;height:468;width:1260;" fillcolor="#FFFFFF" filled="t" stroked="t" coordsize="21600,21600" o:gfxdata="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uj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B6762DD">
                                <w:pPr>
                                  <w:jc w:val="center"/>
                                  <w:rPr>
                                    <w:rFonts w:hint="eastAsia"/>
                                    <w:szCs w:val="21"/>
                                  </w:rPr>
                                </w:pPr>
                                <w:r>
                                  <w:rPr>
                                    <w:rFonts w:hint="eastAsia"/>
                                    <w:szCs w:val="21"/>
                                  </w:rPr>
                                  <w:t>主体工程</w:t>
                                </w:r>
                              </w:p>
                            </w:txbxContent>
                          </v:textbox>
                        </v:rect>
                        <v:rect id="矩形 3354" o:spid="_x0000_s1026" o:spt="1" style="position:absolute;left:2864;top:993;height:468;width:1276;" fillcolor="#FFFFFF" filled="t" stroked="t" coordsize="21600,21600" o:gfxdata="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IsP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25A46A1">
                                <w:pPr>
                                  <w:jc w:val="center"/>
                                  <w:rPr>
                                    <w:rFonts w:hint="eastAsia"/>
                                    <w:szCs w:val="21"/>
                                  </w:rPr>
                                </w:pPr>
                                <w:r>
                                  <w:rPr>
                                    <w:rFonts w:hint="eastAsia"/>
                                    <w:szCs w:val="21"/>
                                  </w:rPr>
                                  <w:t>装饰工程</w:t>
                                </w:r>
                              </w:p>
                            </w:txbxContent>
                          </v:textbox>
                        </v:rect>
                        <v:rect id="矩形 3355" o:spid="_x0000_s1026" o:spt="1" style="position:absolute;left:4306;top:993;height:468;width:1259;" fillcolor="#FFFFFF" filled="t" stroked="t" coordsize="21600,21600" o:gfxdata="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BV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1836F2B">
                                <w:pPr>
                                  <w:jc w:val="center"/>
                                  <w:rPr>
                                    <w:rFonts w:hint="eastAsia"/>
                                    <w:szCs w:val="21"/>
                                  </w:rPr>
                                </w:pPr>
                                <w:r>
                                  <w:rPr>
                                    <w:rFonts w:hint="eastAsia"/>
                                    <w:szCs w:val="21"/>
                                  </w:rPr>
                                  <w:t>设备安装</w:t>
                                </w:r>
                              </w:p>
                            </w:txbxContent>
                          </v:textbox>
                        </v:rect>
                        <v:rect id="矩形 3356" o:spid="_x0000_s1026" o:spt="1" style="position:absolute;left:5760;top:972;height:468;width:1259;" fillcolor="#FFFFFF" filled="t" stroked="t" coordsize="21600,21600" o:gfxdata="UEsDBAoAAAAAAIdO4kAAAAAAAAAAAAAAAAAEAAAAZHJzL1BLAwQUAAAACACHTuJAEq2NFb4AAADb&#10;AAAADwAAAGRycy9kb3ducmV2LnhtbEWPzW7CMBCE70h9B2sr9QY2tKp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2NF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9595EB8">
                                <w:pPr>
                                  <w:jc w:val="center"/>
                                  <w:rPr>
                                    <w:rFonts w:hint="eastAsia"/>
                                    <w:szCs w:val="21"/>
                                  </w:rPr>
                                </w:pPr>
                                <w:r>
                                  <w:rPr>
                                    <w:rFonts w:hint="eastAsia"/>
                                    <w:szCs w:val="21"/>
                                  </w:rPr>
                                  <w:t>工程验收</w:t>
                                </w:r>
                              </w:p>
                            </w:txbxContent>
                          </v:textbox>
                        </v:rect>
                        <v:rect id="矩形 3357" o:spid="_x0000_s1026" o:spt="1" style="position:absolute;left:6240;top:1812;height:468;width:899;" fillcolor="#FFFFFF" filled="t" stroked="t" coordsize="21600,21600"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B6BCC48">
                                <w:pPr>
                                  <w:jc w:val="center"/>
                                  <w:rPr>
                                    <w:rFonts w:hint="eastAsia"/>
                                    <w:szCs w:val="21"/>
                                  </w:rPr>
                                </w:pPr>
                                <w:r>
                                  <w:rPr>
                                    <w:rFonts w:hint="eastAsia"/>
                                    <w:szCs w:val="21"/>
                                  </w:rPr>
                                  <w:t>运行</w:t>
                                </w:r>
                              </w:p>
                            </w:txbxContent>
                          </v:textbox>
                        </v:rect>
                        <v:line id="直线 3358" o:spid="_x0000_s1026" o:spt="20" style="position:absolute;left:1260;top:1239;height:1;width:180;" filled="f" stroked="t" coordsize="21600,21600" o:gfxdata="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GV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359" o:spid="_x0000_s1026" o:spt="20" style="position:absolute;left:5580;top:1209;height:1;width:180;" filled="f" stroked="t" coordsize="21600,21600" o:gfxdata="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K8V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360" o:spid="_x0000_s1026" o:spt="20" style="position:absolute;left:6705;top:1434;height:362;width:16;" filled="f" stroked="t" coordsize="21600,21600" o:gfxdata="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Vl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3361" o:spid="_x0000_s1026" o:spt="20" style="position:absolute;left:4140;top:1224;height:1;width:180;" filled="f" stroked="t" coordsize="21600,21600" o:gfxdata="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As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362" o:spid="_x0000_s1026" o:spt="20" style="position:absolute;left:2700;top:1230;height:1;width:180;"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3363" o:spid="_x0000_s1026" o:spt="20" style="position:absolute;left:540;top:696;flip:y;height:312;width:1;" filled="f" stroked="t" coordsize="21600,21600" o:gfxdata="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0Bae8AAAA&#10;2wAAAA8AAAAAAAAAAQAgAAAAIgAAAGRycy9kb3ducmV2LnhtbFBLAQIUABQAAAAIAIdO4kAzLwWe&#10;OwAAADkAAAAQAAAAAAAAAAEAIAAAAAsBAABkcnMvc2hhcGV4bWwueG1sUEsFBgAAAAAGAAYAWwEA&#10;ALUDAAAAAA==&#10;">
                          <v:fill on="f" focussize="0,0"/>
                          <v:stroke color="#000000" joinstyle="round" dashstyle="dashDot" endarrow="block"/>
                          <v:imagedata o:title=""/>
                          <o:lock v:ext="edit" aspectratio="f"/>
                        </v:line>
                        <v:line id="直线 3364" o:spid="_x0000_s1026" o:spt="20" style="position:absolute;left:4965;top:591;flip:y;height:312;width:1;" filled="f" stroked="t" coordsize="21600,21600" o:gfxdata="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By/vQAA&#10;ANwAAAAPAAAAAAAAAAEAIAAAACIAAABkcnMvZG93bnJldi54bWxQSwECFAAUAAAACACHTuJAMy8F&#10;njsAAAA5AAAAEAAAAAAAAAABACAAAAAMAQAAZHJzL3NoYXBleG1sLnhtbFBLBQYAAAAABgAGAFsB&#10;AAC2AwAAAAA=&#10;">
                          <v:fill on="f" focussize="0,0"/>
                          <v:stroke color="#000000" joinstyle="round" dashstyle="dashDot" endarrow="block"/>
                          <v:imagedata o:title=""/>
                          <o:lock v:ext="edit" aspectratio="f"/>
                        </v:line>
                        <v:line id="直线 3365" o:spid="_x0000_s1026" o:spt="20" style="position:absolute;left:3495;top:681;flip:y;height:312;width:1;" filled="f" stroked="t" coordsize="21600,21600" o:gfxdata="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MRgTvQAA&#10;ANwAAAAPAAAAAAAAAAEAIAAAACIAAABkcnMvZG93bnJldi54bWxQSwECFAAUAAAACACHTuJAMy8F&#10;njsAAAA5AAAAEAAAAAAAAAABACAAAAAMAQAAZHJzL3NoYXBleG1sLnhtbFBLBQYAAAAABgAGAFsB&#10;AAC2AwAAAAA=&#10;">
                          <v:fill on="f" focussize="0,0"/>
                          <v:stroke color="#000000" joinstyle="round" dashstyle="dashDot" endarrow="block"/>
                          <v:imagedata o:title=""/>
                          <o:lock v:ext="edit" aspectratio="f"/>
                        </v:line>
                        <v:line id="直线 3366" o:spid="_x0000_s1026" o:spt="20" style="position:absolute;left:506;top:696;height:1;width:2974;" filled="f" stroked="t" coordsize="21600,21600" o:gfxdata="UEsDBAoAAAAAAIdO4kAAAAAAAAAAAAAAAAAEAAAAZHJzL1BLAwQUAAAACACHTuJAr0jFR7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IxU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367" o:spid="_x0000_s1026" o:spt="20" style="position:absolute;left:2040;top:495;flip:y;height:468;width:1;" filled="f" stroked="t" coordsize="21600,21600" o:gfxdata="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d7M74A&#10;AADc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line>
                        <v:line id="直线 3368" o:spid="_x0000_s1026" o:spt="20" style="position:absolute;left:540;top:1491;height:312;width:1;" filled="f" stroked="t" coordsize="21600,21600" o:gfxdata="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CTO8AAAA&#10;3AAAAA8AAAAAAAAAAQAgAAAAIgAAAGRycy9kb3ducmV2LnhtbFBLAQIUABQAAAAIAIdO4kAzLwWe&#10;OwAAADkAAAAQAAAAAAAAAAEAIAAAAAsBAABkcnMvc2hhcGV4bWwueG1sUEsFBgAAAAAGAAYAWwEA&#10;ALUDAAAAAA==&#10;">
                          <v:fill on="f" focussize="0,0"/>
                          <v:stroke color="#000000" joinstyle="round" dashstyle="dashDot" endarrow="block"/>
                          <v:imagedata o:title=""/>
                          <o:lock v:ext="edit" aspectratio="f"/>
                        </v:line>
                        <v:line id="直线 3369" o:spid="_x0000_s1026" o:spt="20" style="position:absolute;left:4965;top:1461;height:312;width:1;" filled="f" stroked="t" coordsize="21600,21600" o:gfxdata="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zrKi8AAAA&#10;3AAAAA8AAAAAAAAAAQAgAAAAIgAAAGRycy9kb3ducmV2LnhtbFBLAQIUABQAAAAIAIdO4kAzLwWe&#10;OwAAADkAAAAQAAAAAAAAAAEAIAAAAAsBAABkcnMvc2hhcGV4bWwueG1sUEsFBgAAAAAGAAYAWwEA&#10;ALUDAAAAAA==&#10;">
                          <v:fill on="f" focussize="0,0"/>
                          <v:stroke color="#000000" joinstyle="round" dashstyle="dashDot" endarrow="block"/>
                          <v:imagedata o:title=""/>
                          <o:lock v:ext="edit" aspectratio="f"/>
                        </v:line>
                        <v:line id="直线 3370" o:spid="_x0000_s1026" o:spt="20" style="position:absolute;left:6420;top:1446;height:312;width:1;" filled="f" stroked="t" coordsize="21600,21600" o:gfxdata="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aNNy8AAAA&#10;3AAAAA8AAAAAAAAAAQAgAAAAIgAAAGRycy9kb3ducmV2LnhtbFBLAQIUABQAAAAIAIdO4kAzLwWe&#10;OwAAADkAAAAQAAAAAAAAAAEAIAAAAAsBAABkcnMvc2hhcGV4bWwueG1sUEsFBgAAAAAGAAYAWwEA&#10;ALUDAAAAAA==&#10;">
                          <v:fill on="f" focussize="0,0"/>
                          <v:stroke color="#000000" joinstyle="round" dashstyle="dashDot" endarrow="block"/>
                          <v:imagedata o:title=""/>
                          <o:lock v:ext="edit" aspectratio="f"/>
                        </v:line>
                        <v:line id="直线 3371" o:spid="_x0000_s1026" o:spt="20" style="position:absolute;left:2040;top:1461;height:312;width:1;" filled="f" stroked="t" coordsize="21600,21600" o:gfxdata="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kUe8AAAA&#10;3AAAAA8AAAAAAAAAAQAgAAAAIgAAAGRycy9kb3ducmV2LnhtbFBLAQIUABQAAAAIAIdO4kAzLwWe&#10;OwAAADkAAAAQAAAAAAAAAAEAIAAAAAsBAABkcnMvc2hhcGV4bWwueG1sUEsFBgAAAAAGAAYAWwEA&#10;ALUDAAAAAA==&#10;">
                          <v:fill on="f" focussize="0,0"/>
                          <v:stroke color="#000000" joinstyle="round" dashstyle="dashDot" endarrow="block"/>
                          <v:imagedata o:title=""/>
                          <o:lock v:ext="edit" aspectratio="f"/>
                        </v:line>
                        <v:line id="直线 3372" o:spid="_x0000_s1026" o:spt="20" style="position:absolute;left:499;top:1806;height:1;width:5940;" filled="f" stroked="t" coordsize="21600,21600" o:gfxdata="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7fi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373" o:spid="_x0000_s1026" o:spt="20" style="position:absolute;left:3495;top:1461;height:468;width:1;" filled="f" stroked="t" coordsize="21600,21600" o:gfxdata="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Iqqu8AAAA&#10;3AAAAA8AAAAAAAAAAQAgAAAAIgAAAGRycy9kb3ducmV2LnhtbFBLAQIUABQAAAAIAIdO4kAzLwWe&#10;OwAAADkAAAAQAAAAAAAAAAEAIAAAAAsBAABkcnMvc2hhcGV4bWwueG1sUEsFBgAAAAAGAAYAWwEA&#10;ALUDAAAAAA==&#10;">
                          <v:fill on="f" focussize="0,0"/>
                          <v:stroke color="#000000" joinstyle="round" dashstyle="dashDot" endarrow="block"/>
                          <v:imagedata o:title=""/>
                          <o:lock v:ext="edit" aspectratio="f"/>
                        </v:line>
                        <v:rect id="矩形 3374" o:spid="_x0000_s1026" o:spt="1" style="position:absolute;left:2880;top:1929;height:432;width:1537;" fillcolor="#FFFFFF" filled="t" stroked="t" coordsize="21600,21600" o:gfxdata="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Rv4m/&#10;AAAA3AAAAA8AAAAAAAAAAQAgAAAAIgAAAGRycy9kb3ducmV2LnhtbFBLAQIUABQAAAAIAIdO4kAz&#10;LwWeOwAAADkAAAAQAAAAAAAAAAEAIAAAAA4BAABkcnMvc2hhcGV4bWwueG1sUEsFBgAAAAAGAAYA&#10;WwEAALgDAAAAAA==&#10;">
                          <v:fill on="t" focussize="0,0"/>
                          <v:stroke color="#000000" joinstyle="miter" dashstyle="dashDot"/>
                          <v:imagedata o:title=""/>
                          <o:lock v:ext="edit" aspectratio="f"/>
                          <v:textbox>
                            <w:txbxContent>
                              <w:p w14:paraId="354EE7E4">
                                <w:pPr>
                                  <w:jc w:val="center"/>
                                  <w:rPr>
                                    <w:rFonts w:hint="eastAsia"/>
                                    <w:szCs w:val="21"/>
                                  </w:rPr>
                                </w:pPr>
                                <w:r>
                                  <w:rPr>
                                    <w:rFonts w:hint="eastAsia"/>
                                    <w:szCs w:val="21"/>
                                  </w:rPr>
                                  <w:t>废水、固废</w:t>
                                </w:r>
                              </w:p>
                            </w:txbxContent>
                          </v:textbox>
                        </v:rect>
                      </v:group>
                      <v:rect id="矩形 3352" o:spid="_x0000_s1026" o:spt="1" style="position:absolute;left:38100;top:561340;height:477520;width:607695;" fillcolor="#FFFFFF" filled="t" stroked="t" coordsize="21600,21600" o:gfxdata="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L4EQm2AAAAAkBAAAPAAAAAAAAAAEAIAAAACIAAABkcnMvZG93bnJldi54&#10;bWxQSwECFAAUAAAACACHTuJAapHblzMCAAB1BAAADgAAAAAAAAABACAAAAAnAQAAZHJzL2Uyb0Rv&#10;Yy54bWxQSwUGAAAAAAYABgBZAQAAzAUAAAAA&#10;">
                        <v:fill on="t" focussize="0,0"/>
                        <v:stroke color="#000000" joinstyle="miter"/>
                        <v:imagedata o:title=""/>
                        <o:lock v:ext="edit" aspectratio="f"/>
                        <v:textbox>
                          <w:txbxContent>
                            <w:p w14:paraId="32354F5B">
                              <w:pPr>
                                <w:jc w:val="center"/>
                                <w:rPr>
                                  <w:rFonts w:hint="eastAsia" w:eastAsia="宋体"/>
                                  <w:szCs w:val="21"/>
                                  <w:lang w:eastAsia="zh-CN"/>
                                </w:rPr>
                              </w:pPr>
                              <w:r>
                                <w:rPr>
                                  <w:rFonts w:hint="eastAsia"/>
                                  <w:szCs w:val="21"/>
                                  <w:lang w:eastAsia="zh-CN"/>
                                </w:rPr>
                                <w:t>建筑物拆除</w:t>
                              </w:r>
                            </w:p>
                          </w:txbxContent>
                        </v:textbox>
                      </v:rect>
                      <v:line id="直线 3358" o:spid="_x0000_s1026" o:spt="20" style="position:absolute;left:645795;top:798195;flip:y;height:1905;width:230505;" filled="f" stroked="t" coordsize="21600,21600" o:gfxdata="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r&#10;NNhg2gAAAAkBAAAPAAAAAAAAAAEAIAAAACIAAABkcnMvZG93bnJldi54bWxQSwECFAAUAAAACACH&#10;TuJAh0jOAiICAABIBAAADgAAAAAAAAABACAAAAApAQAAZHJzL2Uyb0RvYy54bWxQSwUGAAAAAAYA&#10;BgBZAQAAvQUAAAAA&#10;">
                        <v:fill on="f" focussize="0,0"/>
                        <v:stroke color="#000000" joinstyle="round" endarrow="block"/>
                        <v:imagedata o:title=""/>
                        <o:lock v:ext="edit" aspectratio="f"/>
                      </v:line>
                      <v:line id="直线 3367" o:spid="_x0000_s1026" o:spt="20" style="position:absolute;left:322580;top:274955;flip:y;height:297180;width:635;" filled="f" stroked="t" coordsize="21600,21600" o:gfxdata="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m+lP1wAAAAkBAAAPAAAAAAAAAAEAIAAA&#10;ACIAAABkcnMvZG93bnJldi54bWxQSwECFAAUAAAACACHTuJATNyrSw0CAAAIBAAADgAAAAAAAAAB&#10;ACAAAAAmAQAAZHJzL2Uyb0RvYy54bWxQSwUGAAAAAAYABgBZAQAApQUAAAAA&#10;">
                        <v:fill on="f" focussize="0,0"/>
                        <v:stroke color="#000000" joinstyle="round" dashstyle="dashDot" endarrow="block"/>
                        <v:imagedata o:title=""/>
                        <o:lock v:ext="edit" aspectratio="f"/>
                      </v:line>
                      <v:rect id="矩形 3351" o:spid="_x0000_s1026" o:spt="1" style="position:absolute;left:74930;top:0;height:274320;width:927735;" fillcolor="#FFFFFF" filled="t" stroked="t" coordsize="21600,21600" o:gfxdata="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si3X2AAAAAkBAAAPAAAAAAAAAAEAIAAAACIAAABkcnMvZG93bnJldi54bWxQ&#10;SwECFAAUAAAACACHTuJAkmkF6DACAABzBAAADgAAAAAAAAABACAAAAAnAQAAZHJzL2Uyb0RvYy54&#10;bWxQSwUGAAAAAAYABgBZAQAAyQUAAAAA&#10;">
                        <v:fill on="t" focussize="0,0"/>
                        <v:stroke color="#000000" joinstyle="miter" dashstyle="dashDot"/>
                        <v:imagedata o:title=""/>
                        <o:lock v:ext="edit" aspectratio="f"/>
                        <v:textbox>
                          <w:txbxContent>
                            <w:p w14:paraId="4E2760E9">
                              <w:pPr>
                                <w:jc w:val="center"/>
                                <w:rPr>
                                  <w:rFonts w:hint="eastAsia"/>
                                  <w:szCs w:val="21"/>
                                </w:rPr>
                              </w:pPr>
                              <w:r>
                                <w:rPr>
                                  <w:rFonts w:hint="eastAsia"/>
                                  <w:szCs w:val="21"/>
                                  <w:lang w:eastAsia="zh-CN"/>
                                </w:rPr>
                                <w:t>固废</w:t>
                              </w:r>
                              <w:r>
                                <w:rPr>
                                  <w:rFonts w:hint="eastAsia"/>
                                  <w:szCs w:val="21"/>
                                </w:rPr>
                                <w:t>、噪声</w:t>
                              </w:r>
                            </w:p>
                          </w:txbxContent>
                        </v:textbox>
                      </v:rect>
                      <w10:wrap type="topAndBottom"/>
                    </v:group>
                  </w:pict>
                </mc:Fallback>
              </mc:AlternateContent>
            </w:r>
            <w:r>
              <w:rPr>
                <w:rFonts w:hint="default" w:ascii="Times New Roman" w:hAnsi="Times New Roman" w:eastAsia="宋体" w:cs="Times New Roman"/>
                <w:b/>
                <w:bCs/>
                <w:color w:val="000000" w:themeColor="text1"/>
                <w:sz w:val="21"/>
                <w:szCs w:val="21"/>
                <w14:textFill>
                  <w14:solidFill>
                    <w14:schemeClr w14:val="tx1"/>
                  </w14:solidFill>
                </w14:textFill>
              </w:rPr>
              <w:t>图2</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施工期工艺流程及产污环节图</w:t>
            </w:r>
          </w:p>
          <w:p w14:paraId="1B1141E8">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施工流程简述</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p>
          <w:p w14:paraId="4C6E1681">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本项目的施工工艺主要为建筑施工工艺，项目建设内容主要为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站房</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罩棚</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等。</w:t>
            </w:r>
          </w:p>
          <w:p w14:paraId="6AA98B97">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）基础工程</w:t>
            </w:r>
          </w:p>
          <w:p w14:paraId="54EC96F1">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此工艺主要包括地基处理，基础施工，地基土石方的开挖和回填，土石方开挖主要为厂房和办公楼的地基开挖。基础施工过程中推土机、挖掘机、装载机等运行时会产生噪声，并产生扬尘及弃土石方等。</w:t>
            </w:r>
          </w:p>
          <w:p w14:paraId="32F36B0E">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）主体工程</w:t>
            </w:r>
          </w:p>
          <w:p w14:paraId="4D40056A">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主体及配套工程主要是对项目区内相关的辅助配套设施的建设，其中项目厂房为钢架结构的建筑物；办公生活区等为砖混结构的建筑物，在项目工程建设过程及建筑材料的堆放遇风等易形成扬尘，施工工具的清洗会产生施工废水，施工过程中还会产生施工噪声、施工废气和建筑垃圾。</w:t>
            </w:r>
          </w:p>
          <w:p w14:paraId="3F735F0A">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）设备安装</w:t>
            </w:r>
          </w:p>
          <w:p w14:paraId="53250C9B">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项目设备安装调试阶段主要是对项目设备设施的安装及调试，设备安装过程中使用电焊机等设备，期间会产生扬尘、焊接废气及噪声。</w:t>
            </w:r>
          </w:p>
          <w:p w14:paraId="2263B6B8">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从上述施工工艺流程简述可知，项目施工期环境污染问题主要是：扬尘、噪声、废水及固体废弃物等。这些污染几乎发生于整个施工过程，但不同的污染因子在不同的施工阶段产生的污染强度不同。</w:t>
            </w:r>
          </w:p>
          <w:p w14:paraId="62B58B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2.10 运营期工艺流程</w:t>
            </w:r>
          </w:p>
          <w:p w14:paraId="1B1BED3B">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jc w:val="both"/>
              <w:textAlignment w:val="auto"/>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1.卸油工艺简述</w:t>
            </w:r>
          </w:p>
          <w:p w14:paraId="6AAA998B">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卸油采用成熟的密闭卸油工艺，卸油口采用快速接头连接，能达到密闭卸油的要求。在卸油口处，设置了静电接地断接卡子和人体静电释放柱，槽车在卸油前将油罐与断接卡子连接上，操作人员在操作前触摸人体静电释放柱，可以将卸油过程中产生的静电和人体所带静电导入接地系统，保证卸油安全。</w:t>
            </w:r>
          </w:p>
          <w:p w14:paraId="472F5E2F">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jc w:val="both"/>
              <w:textAlignment w:val="auto"/>
              <w:rPr>
                <w:rFonts w:hint="eastAsia" w:ascii="Times New Roman" w:hAnsi="Times New Roman" w:eastAsia="宋体" w:cs="Times New Roman"/>
                <w:b/>
                <w:bCs w:val="0"/>
                <w:color w:val="000000" w:themeColor="text1"/>
                <w:sz w:val="24"/>
                <w:szCs w:val="24"/>
                <w:lang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bCs w:val="0"/>
                <w:color w:val="000000" w:themeColor="text1"/>
                <w:sz w:val="24"/>
                <w:szCs w:val="24"/>
                <w:lang w:eastAsia="zh-CN"/>
                <w14:textFill>
                  <w14:solidFill>
                    <w14:schemeClr w14:val="tx1"/>
                  </w14:solidFill>
                </w14:textFill>
              </w:rPr>
              <w:t>加油工艺流程</w:t>
            </w:r>
          </w:p>
          <w:p w14:paraId="3A142DC1">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eastAsia="宋体" w:cs="Times New Roman"/>
                <w:b w:val="0"/>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加油采用当前成熟的潜泵式正压加油工艺，每个储罐设置1台潜油泵。IC卡加油机提枪信号反馈给潜泵控制系统，启动相应加油枪连接的潜油泵，油品经潜油泵—油品加注管道—加油机—流量计计量（容积/金额定量加装）—加油枪—汽车油箱，达到设定加注量后自动停泵停止加注。</w:t>
            </w:r>
          </w:p>
          <w:p w14:paraId="2E26D8CA">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jc w:val="both"/>
              <w:textAlignment w:val="auto"/>
              <w:rPr>
                <w:rFonts w:hint="eastAsia"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加卸汽油工艺流程简图：</w:t>
            </w:r>
          </w:p>
          <w:p w14:paraId="08880FC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s="Times New Roman"/>
                <w:b/>
                <w:bCs w:val="0"/>
                <w:color w:val="000000" w:themeColor="text1"/>
                <w:sz w:val="24"/>
                <w:szCs w:val="24"/>
                <w:lang w:val="en-US" w:eastAsia="zh-CN"/>
                <w14:textFill>
                  <w14:solidFill>
                    <w14:schemeClr w14:val="tx1"/>
                  </w14:solidFill>
                </w14:textFill>
              </w:rPr>
            </w:pPr>
            <w:r>
              <w:drawing>
                <wp:inline distT="0" distB="0" distL="114300" distR="114300">
                  <wp:extent cx="5328285" cy="3344545"/>
                  <wp:effectExtent l="9525" t="9525" r="15240" b="1778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2"/>
                          <a:stretch>
                            <a:fillRect/>
                          </a:stretch>
                        </pic:blipFill>
                        <pic:spPr>
                          <a:xfrm>
                            <a:off x="0" y="0"/>
                            <a:ext cx="5328285" cy="3344545"/>
                          </a:xfrm>
                          <a:prstGeom prst="rect">
                            <a:avLst/>
                          </a:prstGeom>
                          <a:noFill/>
                          <a:ln>
                            <a:solidFill>
                              <a:schemeClr val="tx1"/>
                            </a:solidFill>
                          </a:ln>
                        </pic:spPr>
                      </pic:pic>
                    </a:graphicData>
                  </a:graphic>
                </wp:inline>
              </w:drawing>
            </w:r>
          </w:p>
          <w:p w14:paraId="02D49F79">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jc w:val="both"/>
              <w:textAlignment w:val="auto"/>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3.油气回收工艺简介</w:t>
            </w:r>
          </w:p>
          <w:p w14:paraId="587FA337">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jc w:val="both"/>
              <w:textAlignment w:val="auto"/>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① 卸油油气回收（一次油气回收）</w:t>
            </w:r>
          </w:p>
          <w:p w14:paraId="3908BA69">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cs="Times New Roman"/>
                <w:b/>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在汽油罐人孔盖上设置一根油气回收管道，从地面下引到集中卸油口箱内的油气回收管口处，在油气回收管道口安装快速接头。罐车需要加装油气回收管道，引至罐车出油口位置附近，通过油气回收软管与卸油口油气回收管道口连接。卸油时，卸油软管连接罐车出油口和罐区卸油口，油气回收软管连接罐车油气回收口和卸油口的油气回收管道接口。当罐车内汽油流入加油站汽油罐时，汽油罐内油气通过油气回收连通管进入到低标号汽油罐内，再通过油气回收管道流入到罐车内，即用相同体积的汽油将汽油罐内相同体积的油气置换到罐车内，整个过程中无油气排放。</w:t>
            </w:r>
          </w:p>
          <w:p w14:paraId="4FEF1085">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jc w:val="both"/>
              <w:textAlignment w:val="auto"/>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② 加油油气回收（二次油气回收）</w:t>
            </w:r>
          </w:p>
          <w:p w14:paraId="585774DA">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eastAsia="宋体" w:cs="Times New Roman"/>
                <w:b w:val="0"/>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在站内每台加油机内部安装油气回收泵及相应的管道（为了防止油气倒流或泄漏，必须限制油气单向流动，因此在主管路与分支管路之间或者分支管路与油气收集接口之间安装有止回阀），加油机加油时回收的油气，经过加油油气回收管道进入站内低品号汽油罐内。汽油罐设并联 2 根通气管，一根管上装阻火呼吸阀与球阀，另一管上装设阻火器与球阀。</w:t>
            </w:r>
          </w:p>
          <w:p w14:paraId="47D99DD2">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jc w:val="both"/>
              <w:textAlignment w:val="auto"/>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③ 三次油气回收</w:t>
            </w:r>
          </w:p>
          <w:p w14:paraId="749607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eastAsia="宋体" w:cs="Times New Roman"/>
                <w:b w:val="0"/>
                <w:bCs/>
                <w:color w:val="000000" w:themeColor="text1"/>
                <w:sz w:val="24"/>
                <w:szCs w:val="24"/>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三次油气回收系统是指在汽油油品储存过程中，对汽油储油罐内呼出的油气进行处理。也就是利用冷凝、活性炭吸附及膜分离技术，对加油站地下储罐密闭封存的油气以及通过放空管排放的油气进行回收处理，将高浓度油气和液态汽油返回地下储罐，将达标气体排放出去。实现提高油气回收效率并控制地下储罐压力的功效。</w:t>
            </w:r>
          </w:p>
          <w:p w14:paraId="7F5CE7F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both"/>
              <w:textAlignment w:val="auto"/>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油气回收工艺流程简图</w:t>
            </w:r>
            <w:r>
              <w:rPr>
                <w:rFonts w:hint="eastAsia" w:cs="Times New Roman"/>
                <w:b/>
                <w:bCs w:val="0"/>
                <w:color w:val="000000" w:themeColor="text1"/>
                <w:sz w:val="24"/>
                <w:szCs w:val="24"/>
                <w:lang w:val="en-US" w:eastAsia="zh-CN"/>
                <w14:textFill>
                  <w14:solidFill>
                    <w14:schemeClr w14:val="tx1"/>
                  </w14:solidFill>
                </w14:textFill>
              </w:rPr>
              <w:t>：</w:t>
            </w:r>
          </w:p>
          <w:p w14:paraId="49F604C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drawing>
                <wp:inline distT="0" distB="0" distL="114300" distR="114300">
                  <wp:extent cx="5380355" cy="3669030"/>
                  <wp:effectExtent l="9525" t="9525" r="20320" b="1714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3"/>
                          <a:stretch>
                            <a:fillRect/>
                          </a:stretch>
                        </pic:blipFill>
                        <pic:spPr>
                          <a:xfrm>
                            <a:off x="0" y="0"/>
                            <a:ext cx="5380355" cy="3669030"/>
                          </a:xfrm>
                          <a:prstGeom prst="rect">
                            <a:avLst/>
                          </a:prstGeom>
                          <a:noFill/>
                          <a:ln>
                            <a:solidFill>
                              <a:schemeClr val="tx1"/>
                            </a:solidFill>
                          </a:ln>
                        </pic:spPr>
                      </pic:pic>
                    </a:graphicData>
                  </a:graphic>
                </wp:inline>
              </w:drawing>
            </w:r>
          </w:p>
          <w:p w14:paraId="7B861C02">
            <w:pPr>
              <w:bidi w:val="0"/>
              <w:jc w:val="center"/>
              <w:rPr>
                <w:rFonts w:hint="default"/>
                <w:b/>
                <w:bCs/>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表</w:t>
            </w:r>
            <w:r>
              <w:rPr>
                <w:rFonts w:hint="eastAsia"/>
                <w:b/>
                <w:bCs/>
                <w:color w:val="000000" w:themeColor="text1"/>
                <w:lang w:val="en-US" w:eastAsia="zh-CN"/>
                <w14:textFill>
                  <w14:solidFill>
                    <w14:schemeClr w14:val="tx1"/>
                  </w14:solidFill>
                </w14:textFill>
              </w:rPr>
              <w:t>2-9  本项目主要污染源、污染物汇总</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230"/>
              <w:gridCol w:w="1318"/>
              <w:gridCol w:w="1554"/>
              <w:gridCol w:w="1405"/>
              <w:gridCol w:w="2066"/>
            </w:tblGrid>
            <w:tr w14:paraId="21918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tcBorders>
                    <w:tl2br w:val="nil"/>
                    <w:tr2bl w:val="nil"/>
                  </w:tcBorders>
                  <w:noWrap w:val="0"/>
                  <w:vAlign w:val="center"/>
                </w:tcPr>
                <w:p w14:paraId="75E4258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污染物类型</w:t>
                  </w:r>
                </w:p>
              </w:tc>
              <w:tc>
                <w:tcPr>
                  <w:tcW w:w="733" w:type="pct"/>
                  <w:tcBorders>
                    <w:tl2br w:val="nil"/>
                    <w:tr2bl w:val="nil"/>
                  </w:tcBorders>
                  <w:noWrap w:val="0"/>
                  <w:vAlign w:val="center"/>
                </w:tcPr>
                <w:p w14:paraId="39D46E2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编号</w:t>
                  </w:r>
                </w:p>
              </w:tc>
              <w:tc>
                <w:tcPr>
                  <w:tcW w:w="785" w:type="pct"/>
                  <w:tcBorders>
                    <w:tl2br w:val="nil"/>
                    <w:tr2bl w:val="nil"/>
                  </w:tcBorders>
                  <w:noWrap w:val="0"/>
                  <w:vAlign w:val="center"/>
                </w:tcPr>
                <w:p w14:paraId="379FA9F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产污环节</w:t>
                  </w:r>
                </w:p>
              </w:tc>
              <w:tc>
                <w:tcPr>
                  <w:tcW w:w="926" w:type="pct"/>
                  <w:tcBorders>
                    <w:tl2br w:val="nil"/>
                    <w:tr2bl w:val="nil"/>
                  </w:tcBorders>
                  <w:noWrap w:val="0"/>
                  <w:vAlign w:val="center"/>
                </w:tcPr>
                <w:p w14:paraId="136DF59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主要污染物</w:t>
                  </w:r>
                </w:p>
              </w:tc>
              <w:tc>
                <w:tcPr>
                  <w:tcW w:w="837" w:type="pct"/>
                  <w:tcBorders>
                    <w:tl2br w:val="nil"/>
                    <w:tr2bl w:val="nil"/>
                  </w:tcBorders>
                  <w:noWrap w:val="0"/>
                  <w:vAlign w:val="center"/>
                </w:tcPr>
                <w:p w14:paraId="074F6F4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产生和排放特征</w:t>
                  </w:r>
                </w:p>
              </w:tc>
              <w:tc>
                <w:tcPr>
                  <w:tcW w:w="1231" w:type="pct"/>
                  <w:tcBorders>
                    <w:tl2br w:val="nil"/>
                    <w:tr2bl w:val="nil"/>
                  </w:tcBorders>
                  <w:noWrap w:val="0"/>
                  <w:vAlign w:val="center"/>
                </w:tcPr>
                <w:p w14:paraId="7CB626E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环保措施及去向</w:t>
                  </w:r>
                </w:p>
              </w:tc>
            </w:tr>
            <w:tr w14:paraId="0027C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restart"/>
                  <w:tcBorders>
                    <w:tl2br w:val="nil"/>
                    <w:tr2bl w:val="nil"/>
                  </w:tcBorders>
                  <w:noWrap w:val="0"/>
                  <w:vAlign w:val="center"/>
                </w:tcPr>
                <w:p w14:paraId="669A22E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废气</w:t>
                  </w:r>
                </w:p>
              </w:tc>
              <w:tc>
                <w:tcPr>
                  <w:tcW w:w="733" w:type="pct"/>
                  <w:tcBorders>
                    <w:tl2br w:val="nil"/>
                    <w:tr2bl w:val="nil"/>
                  </w:tcBorders>
                  <w:noWrap w:val="0"/>
                  <w:vAlign w:val="center"/>
                </w:tcPr>
                <w:p w14:paraId="0DF8AFA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G1</w:t>
                  </w:r>
                </w:p>
              </w:tc>
              <w:tc>
                <w:tcPr>
                  <w:tcW w:w="785" w:type="pct"/>
                  <w:tcBorders>
                    <w:tl2br w:val="nil"/>
                    <w:tr2bl w:val="nil"/>
                  </w:tcBorders>
                  <w:noWrap w:val="0"/>
                  <w:vAlign w:val="center"/>
                </w:tcPr>
                <w:p w14:paraId="41CABF8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卸油</w:t>
                  </w:r>
                </w:p>
              </w:tc>
              <w:tc>
                <w:tcPr>
                  <w:tcW w:w="926" w:type="pct"/>
                  <w:tcBorders>
                    <w:tl2br w:val="nil"/>
                    <w:tr2bl w:val="nil"/>
                  </w:tcBorders>
                  <w:noWrap w:val="0"/>
                  <w:vAlign w:val="center"/>
                </w:tcPr>
                <w:p w14:paraId="2D53F77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非甲烷总烃</w:t>
                  </w:r>
                </w:p>
              </w:tc>
              <w:tc>
                <w:tcPr>
                  <w:tcW w:w="837" w:type="pct"/>
                  <w:tcBorders>
                    <w:tl2br w:val="nil"/>
                    <w:tr2bl w:val="nil"/>
                  </w:tcBorders>
                  <w:noWrap w:val="0"/>
                  <w:vAlign w:val="center"/>
                </w:tcPr>
                <w:p w14:paraId="76FFA51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间断无组织</w:t>
                  </w:r>
                </w:p>
              </w:tc>
              <w:tc>
                <w:tcPr>
                  <w:tcW w:w="1231" w:type="pct"/>
                  <w:tcBorders>
                    <w:tl2br w:val="nil"/>
                    <w:tr2bl w:val="nil"/>
                  </w:tcBorders>
                  <w:noWrap w:val="0"/>
                  <w:vAlign w:val="center"/>
                </w:tcPr>
                <w:p w14:paraId="7F19C67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设置油气回收</w:t>
                  </w:r>
                </w:p>
                <w:p w14:paraId="7558103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装置</w:t>
                  </w:r>
                </w:p>
              </w:tc>
            </w:tr>
            <w:tr w14:paraId="5CE86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continue"/>
                  <w:tcBorders>
                    <w:tl2br w:val="nil"/>
                    <w:tr2bl w:val="nil"/>
                  </w:tcBorders>
                  <w:noWrap w:val="0"/>
                  <w:vAlign w:val="center"/>
                </w:tcPr>
                <w:p w14:paraId="095BC46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3" w:type="pct"/>
                  <w:tcBorders>
                    <w:tl2br w:val="nil"/>
                    <w:tr2bl w:val="nil"/>
                  </w:tcBorders>
                  <w:noWrap w:val="0"/>
                  <w:vAlign w:val="center"/>
                </w:tcPr>
                <w:p w14:paraId="1F8E2F3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G2</w:t>
                  </w:r>
                </w:p>
              </w:tc>
              <w:tc>
                <w:tcPr>
                  <w:tcW w:w="785" w:type="pct"/>
                  <w:tcBorders>
                    <w:tl2br w:val="nil"/>
                    <w:tr2bl w:val="nil"/>
                  </w:tcBorders>
                  <w:noWrap w:val="0"/>
                  <w:vAlign w:val="center"/>
                </w:tcPr>
                <w:p w14:paraId="0C9DFA3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储存呼吸阀</w:t>
                  </w:r>
                </w:p>
              </w:tc>
              <w:tc>
                <w:tcPr>
                  <w:tcW w:w="926" w:type="pct"/>
                  <w:tcBorders>
                    <w:tl2br w:val="nil"/>
                    <w:tr2bl w:val="nil"/>
                  </w:tcBorders>
                  <w:noWrap w:val="0"/>
                  <w:vAlign w:val="center"/>
                </w:tcPr>
                <w:p w14:paraId="76BC993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非甲烷总烃</w:t>
                  </w:r>
                </w:p>
              </w:tc>
              <w:tc>
                <w:tcPr>
                  <w:tcW w:w="837" w:type="pct"/>
                  <w:tcBorders>
                    <w:tl2br w:val="nil"/>
                    <w:tr2bl w:val="nil"/>
                  </w:tcBorders>
                  <w:noWrap w:val="0"/>
                  <w:vAlign w:val="center"/>
                </w:tcPr>
                <w:p w14:paraId="5BFD347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间断无组织</w:t>
                  </w:r>
                </w:p>
              </w:tc>
              <w:tc>
                <w:tcPr>
                  <w:tcW w:w="1231" w:type="pct"/>
                  <w:tcBorders>
                    <w:tl2br w:val="nil"/>
                    <w:tr2bl w:val="nil"/>
                  </w:tcBorders>
                  <w:noWrap w:val="0"/>
                  <w:vAlign w:val="center"/>
                </w:tcPr>
                <w:p w14:paraId="258F92F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无组织排放</w:t>
                  </w:r>
                </w:p>
              </w:tc>
            </w:tr>
            <w:tr w14:paraId="2C507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continue"/>
                  <w:tcBorders>
                    <w:tl2br w:val="nil"/>
                    <w:tr2bl w:val="nil"/>
                  </w:tcBorders>
                  <w:noWrap w:val="0"/>
                  <w:vAlign w:val="center"/>
                </w:tcPr>
                <w:p w14:paraId="7853B8F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3" w:type="pct"/>
                  <w:tcBorders>
                    <w:tl2br w:val="nil"/>
                    <w:tr2bl w:val="nil"/>
                  </w:tcBorders>
                  <w:noWrap w:val="0"/>
                  <w:vAlign w:val="center"/>
                </w:tcPr>
                <w:p w14:paraId="6151DC4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G3</w:t>
                  </w:r>
                </w:p>
              </w:tc>
              <w:tc>
                <w:tcPr>
                  <w:tcW w:w="785" w:type="pct"/>
                  <w:tcBorders>
                    <w:tl2br w:val="nil"/>
                    <w:tr2bl w:val="nil"/>
                  </w:tcBorders>
                  <w:noWrap w:val="0"/>
                  <w:vAlign w:val="center"/>
                </w:tcPr>
                <w:p w14:paraId="353BF3A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加油</w:t>
                  </w:r>
                </w:p>
              </w:tc>
              <w:tc>
                <w:tcPr>
                  <w:tcW w:w="926" w:type="pct"/>
                  <w:tcBorders>
                    <w:tl2br w:val="nil"/>
                    <w:tr2bl w:val="nil"/>
                  </w:tcBorders>
                  <w:noWrap w:val="0"/>
                  <w:vAlign w:val="center"/>
                </w:tcPr>
                <w:p w14:paraId="7F4D4C1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非甲烷总烃</w:t>
                  </w:r>
                </w:p>
              </w:tc>
              <w:tc>
                <w:tcPr>
                  <w:tcW w:w="837" w:type="pct"/>
                  <w:tcBorders>
                    <w:tl2br w:val="nil"/>
                    <w:tr2bl w:val="nil"/>
                  </w:tcBorders>
                  <w:noWrap w:val="0"/>
                  <w:vAlign w:val="center"/>
                </w:tcPr>
                <w:p w14:paraId="18483FE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间断无组织</w:t>
                  </w:r>
                </w:p>
              </w:tc>
              <w:tc>
                <w:tcPr>
                  <w:tcW w:w="1231" w:type="pct"/>
                  <w:tcBorders>
                    <w:tl2br w:val="nil"/>
                    <w:tr2bl w:val="nil"/>
                  </w:tcBorders>
                  <w:noWrap w:val="0"/>
                  <w:vAlign w:val="center"/>
                </w:tcPr>
                <w:p w14:paraId="0B3F45E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设置油气回收</w:t>
                  </w:r>
                </w:p>
                <w:p w14:paraId="3990027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装置</w:t>
                  </w:r>
                </w:p>
              </w:tc>
            </w:tr>
            <w:tr w14:paraId="1DB10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continue"/>
                  <w:tcBorders>
                    <w:tl2br w:val="nil"/>
                    <w:tr2bl w:val="nil"/>
                  </w:tcBorders>
                  <w:noWrap w:val="0"/>
                  <w:vAlign w:val="center"/>
                </w:tcPr>
                <w:p w14:paraId="635C3C1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3" w:type="pct"/>
                  <w:tcBorders>
                    <w:tl2br w:val="nil"/>
                    <w:tr2bl w:val="nil"/>
                  </w:tcBorders>
                  <w:noWrap w:val="0"/>
                  <w:vAlign w:val="center"/>
                </w:tcPr>
                <w:p w14:paraId="4DE8DC8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G4</w:t>
                  </w:r>
                </w:p>
              </w:tc>
              <w:tc>
                <w:tcPr>
                  <w:tcW w:w="785" w:type="pct"/>
                  <w:tcBorders>
                    <w:tl2br w:val="nil"/>
                    <w:tr2bl w:val="nil"/>
                  </w:tcBorders>
                  <w:noWrap w:val="0"/>
                  <w:vAlign w:val="center"/>
                </w:tcPr>
                <w:p w14:paraId="0A7DAA9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车辆尾气</w:t>
                  </w:r>
                </w:p>
              </w:tc>
              <w:tc>
                <w:tcPr>
                  <w:tcW w:w="926" w:type="pct"/>
                  <w:tcBorders>
                    <w:tl2br w:val="nil"/>
                    <w:tr2bl w:val="nil"/>
                  </w:tcBorders>
                  <w:noWrap w:val="0"/>
                  <w:vAlign w:val="center"/>
                </w:tcPr>
                <w:p w14:paraId="34B00B8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NOx、CO、HC</w:t>
                  </w:r>
                </w:p>
              </w:tc>
              <w:tc>
                <w:tcPr>
                  <w:tcW w:w="837" w:type="pct"/>
                  <w:tcBorders>
                    <w:tl2br w:val="nil"/>
                    <w:tr2bl w:val="nil"/>
                  </w:tcBorders>
                  <w:noWrap w:val="0"/>
                  <w:vAlign w:val="center"/>
                </w:tcPr>
                <w:p w14:paraId="78EA24A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间断无组织</w:t>
                  </w:r>
                </w:p>
              </w:tc>
              <w:tc>
                <w:tcPr>
                  <w:tcW w:w="1231" w:type="pct"/>
                  <w:tcBorders>
                    <w:tl2br w:val="nil"/>
                    <w:tr2bl w:val="nil"/>
                  </w:tcBorders>
                  <w:noWrap w:val="0"/>
                  <w:vAlign w:val="center"/>
                </w:tcPr>
                <w:p w14:paraId="5A2BD66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305FD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restart"/>
                  <w:tcBorders>
                    <w:tl2br w:val="nil"/>
                    <w:tr2bl w:val="nil"/>
                  </w:tcBorders>
                  <w:noWrap w:val="0"/>
                  <w:vAlign w:val="center"/>
                </w:tcPr>
                <w:p w14:paraId="59598F6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废水</w:t>
                  </w:r>
                </w:p>
              </w:tc>
              <w:tc>
                <w:tcPr>
                  <w:tcW w:w="733" w:type="pct"/>
                  <w:tcBorders>
                    <w:tl2br w:val="nil"/>
                    <w:tr2bl w:val="nil"/>
                  </w:tcBorders>
                  <w:noWrap w:val="0"/>
                  <w:vAlign w:val="center"/>
                </w:tcPr>
                <w:p w14:paraId="22D98FA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W1</w:t>
                  </w:r>
                </w:p>
              </w:tc>
              <w:tc>
                <w:tcPr>
                  <w:tcW w:w="785" w:type="pct"/>
                  <w:tcBorders>
                    <w:tl2br w:val="nil"/>
                    <w:tr2bl w:val="nil"/>
                  </w:tcBorders>
                  <w:noWrap w:val="0"/>
                  <w:vAlign w:val="center"/>
                </w:tcPr>
                <w:p w14:paraId="5B0CC6B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生活污水</w:t>
                  </w:r>
                </w:p>
              </w:tc>
              <w:tc>
                <w:tcPr>
                  <w:tcW w:w="926" w:type="pct"/>
                  <w:tcBorders>
                    <w:tl2br w:val="nil"/>
                    <w:tr2bl w:val="nil"/>
                  </w:tcBorders>
                  <w:noWrap w:val="0"/>
                  <w:vAlign w:val="center"/>
                </w:tcPr>
                <w:p w14:paraId="6165568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COD、BOD</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-N、SS</w:t>
                  </w:r>
                </w:p>
              </w:tc>
              <w:tc>
                <w:tcPr>
                  <w:tcW w:w="837" w:type="pct"/>
                  <w:tcBorders>
                    <w:tl2br w:val="nil"/>
                    <w:tr2bl w:val="nil"/>
                  </w:tcBorders>
                  <w:noWrap w:val="0"/>
                  <w:vAlign w:val="center"/>
                </w:tcPr>
                <w:p w14:paraId="153ABED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连续</w:t>
                  </w:r>
                </w:p>
              </w:tc>
              <w:tc>
                <w:tcPr>
                  <w:tcW w:w="1231" w:type="pct"/>
                  <w:tcBorders>
                    <w:tl2br w:val="nil"/>
                    <w:tr2bl w:val="nil"/>
                  </w:tcBorders>
                  <w:noWrap w:val="0"/>
                  <w:vAlign w:val="center"/>
                </w:tcPr>
                <w:p w14:paraId="5AC7953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排入污水管网，纳入玛纳斯县城镇污水处理厂处理</w:t>
                  </w:r>
                </w:p>
              </w:tc>
            </w:tr>
            <w:tr w14:paraId="35C3E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continue"/>
                  <w:tcBorders>
                    <w:tl2br w:val="nil"/>
                    <w:tr2bl w:val="nil"/>
                  </w:tcBorders>
                  <w:noWrap w:val="0"/>
                  <w:vAlign w:val="center"/>
                </w:tcPr>
                <w:p w14:paraId="5F053B3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3" w:type="pct"/>
                  <w:tcBorders>
                    <w:tl2br w:val="nil"/>
                    <w:tr2bl w:val="nil"/>
                  </w:tcBorders>
                  <w:noWrap w:val="0"/>
                  <w:vAlign w:val="center"/>
                </w:tcPr>
                <w:p w14:paraId="7B6F0CC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W2</w:t>
                  </w:r>
                </w:p>
              </w:tc>
              <w:tc>
                <w:tcPr>
                  <w:tcW w:w="785" w:type="pct"/>
                  <w:tcBorders>
                    <w:tl2br w:val="nil"/>
                    <w:tr2bl w:val="nil"/>
                  </w:tcBorders>
                  <w:noWrap w:val="0"/>
                  <w:vAlign w:val="center"/>
                </w:tcPr>
                <w:p w14:paraId="5EACFAF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洗车废水</w:t>
                  </w:r>
                </w:p>
              </w:tc>
              <w:tc>
                <w:tcPr>
                  <w:tcW w:w="926" w:type="pct"/>
                  <w:tcBorders>
                    <w:tl2br w:val="nil"/>
                    <w:tr2bl w:val="nil"/>
                  </w:tcBorders>
                  <w:noWrap w:val="0"/>
                  <w:vAlign w:val="center"/>
                </w:tcPr>
                <w:p w14:paraId="0BCF81D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SS、石油类</w:t>
                  </w:r>
                </w:p>
              </w:tc>
              <w:tc>
                <w:tcPr>
                  <w:tcW w:w="837" w:type="pct"/>
                  <w:tcBorders>
                    <w:tl2br w:val="nil"/>
                    <w:tr2bl w:val="nil"/>
                  </w:tcBorders>
                  <w:noWrap w:val="0"/>
                  <w:vAlign w:val="center"/>
                </w:tcPr>
                <w:p w14:paraId="1E952AF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不外排</w:t>
                  </w:r>
                </w:p>
              </w:tc>
              <w:tc>
                <w:tcPr>
                  <w:tcW w:w="1231" w:type="pct"/>
                  <w:tcBorders>
                    <w:tl2br w:val="nil"/>
                    <w:tr2bl w:val="nil"/>
                  </w:tcBorders>
                  <w:noWrap w:val="0"/>
                  <w:vAlign w:val="center"/>
                </w:tcPr>
                <w:p w14:paraId="459A042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隔油沉淀池，排入污水管网，纳入玛纳斯县城镇污水处理厂</w:t>
                  </w:r>
                </w:p>
              </w:tc>
            </w:tr>
            <w:tr w14:paraId="77AF0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86" w:type="pct"/>
                  <w:tcBorders>
                    <w:tl2br w:val="nil"/>
                    <w:tr2bl w:val="nil"/>
                  </w:tcBorders>
                  <w:noWrap w:val="0"/>
                  <w:vAlign w:val="center"/>
                </w:tcPr>
                <w:p w14:paraId="001D3DF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噪声</w:t>
                  </w:r>
                </w:p>
              </w:tc>
              <w:tc>
                <w:tcPr>
                  <w:tcW w:w="733" w:type="pct"/>
                  <w:tcBorders>
                    <w:tl2br w:val="nil"/>
                    <w:tr2bl w:val="nil"/>
                  </w:tcBorders>
                  <w:noWrap w:val="0"/>
                  <w:vAlign w:val="center"/>
                </w:tcPr>
                <w:p w14:paraId="1F200EE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N1、N2</w:t>
                  </w:r>
                </w:p>
              </w:tc>
              <w:tc>
                <w:tcPr>
                  <w:tcW w:w="785" w:type="pct"/>
                  <w:tcBorders>
                    <w:tl2br w:val="nil"/>
                    <w:tr2bl w:val="nil"/>
                  </w:tcBorders>
                  <w:noWrap w:val="0"/>
                  <w:vAlign w:val="center"/>
                </w:tcPr>
                <w:p w14:paraId="53A3002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设备</w:t>
                  </w:r>
                </w:p>
              </w:tc>
              <w:tc>
                <w:tcPr>
                  <w:tcW w:w="926" w:type="pct"/>
                  <w:tcBorders>
                    <w:tl2br w:val="nil"/>
                    <w:tr2bl w:val="nil"/>
                  </w:tcBorders>
                  <w:noWrap w:val="0"/>
                  <w:vAlign w:val="center"/>
                </w:tcPr>
                <w:p w14:paraId="160DE86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噪声</w:t>
                  </w:r>
                </w:p>
              </w:tc>
              <w:tc>
                <w:tcPr>
                  <w:tcW w:w="837" w:type="pct"/>
                  <w:tcBorders>
                    <w:tl2br w:val="nil"/>
                    <w:tr2bl w:val="nil"/>
                  </w:tcBorders>
                  <w:noWrap w:val="0"/>
                  <w:vAlign w:val="center"/>
                </w:tcPr>
                <w:p w14:paraId="666D0D9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间断</w:t>
                  </w:r>
                </w:p>
              </w:tc>
              <w:tc>
                <w:tcPr>
                  <w:tcW w:w="1231" w:type="pct"/>
                  <w:tcBorders>
                    <w:tl2br w:val="nil"/>
                    <w:tr2bl w:val="nil"/>
                  </w:tcBorders>
                  <w:noWrap w:val="0"/>
                  <w:vAlign w:val="center"/>
                </w:tcPr>
                <w:p w14:paraId="7E2793E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选用低噪设备</w:t>
                  </w:r>
                </w:p>
              </w:tc>
            </w:tr>
            <w:tr w14:paraId="7D1F3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restart"/>
                  <w:tcBorders>
                    <w:tl2br w:val="nil"/>
                    <w:tr2bl w:val="nil"/>
                  </w:tcBorders>
                  <w:noWrap w:val="0"/>
                  <w:vAlign w:val="center"/>
                </w:tcPr>
                <w:p w14:paraId="7A963E3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固废</w:t>
                  </w:r>
                </w:p>
              </w:tc>
              <w:tc>
                <w:tcPr>
                  <w:tcW w:w="733" w:type="pct"/>
                  <w:tcBorders>
                    <w:tl2br w:val="nil"/>
                    <w:tr2bl w:val="nil"/>
                  </w:tcBorders>
                  <w:noWrap w:val="0"/>
                  <w:vAlign w:val="center"/>
                </w:tcPr>
                <w:p w14:paraId="5D54ADA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S1</w:t>
                  </w:r>
                </w:p>
              </w:tc>
              <w:tc>
                <w:tcPr>
                  <w:tcW w:w="785" w:type="pct"/>
                  <w:tcBorders>
                    <w:tl2br w:val="nil"/>
                    <w:tr2bl w:val="nil"/>
                  </w:tcBorders>
                  <w:noWrap w:val="0"/>
                  <w:vAlign w:val="center"/>
                </w:tcPr>
                <w:p w14:paraId="0E0CE41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储油罐</w:t>
                  </w:r>
                </w:p>
              </w:tc>
              <w:tc>
                <w:tcPr>
                  <w:tcW w:w="926" w:type="pct"/>
                  <w:tcBorders>
                    <w:tl2br w:val="nil"/>
                    <w:tr2bl w:val="nil"/>
                  </w:tcBorders>
                  <w:noWrap w:val="0"/>
                  <w:vAlign w:val="center"/>
                </w:tcPr>
                <w:p w14:paraId="2874634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清罐油泥</w:t>
                  </w:r>
                </w:p>
              </w:tc>
              <w:tc>
                <w:tcPr>
                  <w:tcW w:w="837" w:type="pct"/>
                  <w:tcBorders>
                    <w:tl2br w:val="nil"/>
                    <w:tr2bl w:val="nil"/>
                  </w:tcBorders>
                  <w:noWrap w:val="0"/>
                  <w:vAlign w:val="center"/>
                </w:tcPr>
                <w:p w14:paraId="3AA5D06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间断</w:t>
                  </w:r>
                </w:p>
              </w:tc>
              <w:tc>
                <w:tcPr>
                  <w:tcW w:w="1231" w:type="pct"/>
                  <w:tcBorders>
                    <w:tl2br w:val="nil"/>
                    <w:tr2bl w:val="nil"/>
                  </w:tcBorders>
                  <w:noWrap w:val="0"/>
                  <w:vAlign w:val="center"/>
                </w:tcPr>
                <w:p w14:paraId="091C64E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清罐时交有资质单位直接运走，不在厂区暂存</w:t>
                  </w:r>
                </w:p>
              </w:tc>
            </w:tr>
            <w:tr w14:paraId="7BC49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continue"/>
                  <w:tcBorders>
                    <w:tl2br w:val="nil"/>
                    <w:tr2bl w:val="nil"/>
                  </w:tcBorders>
                  <w:noWrap w:val="0"/>
                  <w:vAlign w:val="center"/>
                </w:tcPr>
                <w:p w14:paraId="00204F5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3" w:type="pct"/>
                  <w:tcBorders>
                    <w:tl2br w:val="nil"/>
                    <w:tr2bl w:val="nil"/>
                  </w:tcBorders>
                  <w:noWrap w:val="0"/>
                  <w:vAlign w:val="center"/>
                </w:tcPr>
                <w:p w14:paraId="6074F41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S2</w:t>
                  </w:r>
                </w:p>
              </w:tc>
              <w:tc>
                <w:tcPr>
                  <w:tcW w:w="785" w:type="pct"/>
                  <w:tcBorders>
                    <w:tl2br w:val="nil"/>
                    <w:tr2bl w:val="nil"/>
                  </w:tcBorders>
                  <w:noWrap w:val="0"/>
                  <w:vAlign w:val="center"/>
                </w:tcPr>
                <w:p w14:paraId="0B64E89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隔油池</w:t>
                  </w:r>
                </w:p>
              </w:tc>
              <w:tc>
                <w:tcPr>
                  <w:tcW w:w="926" w:type="pct"/>
                  <w:tcBorders>
                    <w:tl2br w:val="nil"/>
                    <w:tr2bl w:val="nil"/>
                  </w:tcBorders>
                  <w:noWrap w:val="0"/>
                  <w:vAlign w:val="center"/>
                </w:tcPr>
                <w:p w14:paraId="3D0A9F5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隔油池废油</w:t>
                  </w:r>
                </w:p>
              </w:tc>
              <w:tc>
                <w:tcPr>
                  <w:tcW w:w="837" w:type="pct"/>
                  <w:tcBorders>
                    <w:tl2br w:val="nil"/>
                    <w:tr2bl w:val="nil"/>
                  </w:tcBorders>
                  <w:noWrap w:val="0"/>
                  <w:vAlign w:val="center"/>
                </w:tcPr>
                <w:p w14:paraId="78F48D2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间断</w:t>
                  </w:r>
                </w:p>
              </w:tc>
              <w:tc>
                <w:tcPr>
                  <w:tcW w:w="1231" w:type="pct"/>
                  <w:tcBorders>
                    <w:tl2br w:val="nil"/>
                    <w:tr2bl w:val="nil"/>
                  </w:tcBorders>
                  <w:noWrap w:val="0"/>
                  <w:vAlign w:val="center"/>
                </w:tcPr>
                <w:p w14:paraId="11D37F3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交有资质单位直接运走，不在厂区暂存</w:t>
                  </w:r>
                </w:p>
              </w:tc>
            </w:tr>
            <w:tr w14:paraId="1B84E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continue"/>
                  <w:tcBorders>
                    <w:tl2br w:val="nil"/>
                    <w:tr2bl w:val="nil"/>
                  </w:tcBorders>
                  <w:noWrap w:val="0"/>
                  <w:vAlign w:val="center"/>
                </w:tcPr>
                <w:p w14:paraId="7794862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3" w:type="pct"/>
                  <w:tcBorders>
                    <w:tl2br w:val="nil"/>
                    <w:tr2bl w:val="nil"/>
                  </w:tcBorders>
                  <w:noWrap w:val="0"/>
                  <w:vAlign w:val="center"/>
                </w:tcPr>
                <w:p w14:paraId="4422A06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S3</w:t>
                  </w:r>
                </w:p>
              </w:tc>
              <w:tc>
                <w:tcPr>
                  <w:tcW w:w="785" w:type="pct"/>
                  <w:tcBorders>
                    <w:tl2br w:val="nil"/>
                    <w:tr2bl w:val="nil"/>
                  </w:tcBorders>
                  <w:noWrap w:val="0"/>
                  <w:vAlign w:val="center"/>
                </w:tcPr>
                <w:p w14:paraId="38BBA37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含油废弃手套、抹布</w:t>
                  </w:r>
                </w:p>
              </w:tc>
              <w:tc>
                <w:tcPr>
                  <w:tcW w:w="926" w:type="pct"/>
                  <w:tcBorders>
                    <w:tl2br w:val="nil"/>
                    <w:tr2bl w:val="nil"/>
                  </w:tcBorders>
                  <w:noWrap w:val="0"/>
                  <w:vAlign w:val="center"/>
                </w:tcPr>
                <w:p w14:paraId="2825B64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废手套、废抹布</w:t>
                  </w:r>
                </w:p>
              </w:tc>
              <w:tc>
                <w:tcPr>
                  <w:tcW w:w="837" w:type="pct"/>
                  <w:tcBorders>
                    <w:tl2br w:val="nil"/>
                    <w:tr2bl w:val="nil"/>
                  </w:tcBorders>
                  <w:noWrap w:val="0"/>
                  <w:vAlign w:val="center"/>
                </w:tcPr>
                <w:p w14:paraId="10F29C4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间断</w:t>
                  </w:r>
                </w:p>
              </w:tc>
              <w:tc>
                <w:tcPr>
                  <w:tcW w:w="1231" w:type="pct"/>
                  <w:tcBorders>
                    <w:tl2br w:val="nil"/>
                    <w:tr2bl w:val="nil"/>
                  </w:tcBorders>
                  <w:noWrap w:val="0"/>
                  <w:vAlign w:val="center"/>
                </w:tcPr>
                <w:p w14:paraId="677EC1F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随生活垃圾一起处理</w:t>
                  </w:r>
                </w:p>
              </w:tc>
            </w:tr>
            <w:tr w14:paraId="7C96B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continue"/>
                  <w:tcBorders>
                    <w:tl2br w:val="nil"/>
                    <w:tr2bl w:val="nil"/>
                  </w:tcBorders>
                  <w:noWrap w:val="0"/>
                  <w:vAlign w:val="center"/>
                </w:tcPr>
                <w:p w14:paraId="585BEC7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733" w:type="pct"/>
                  <w:tcBorders>
                    <w:tl2br w:val="nil"/>
                    <w:tr2bl w:val="nil"/>
                  </w:tcBorders>
                  <w:noWrap w:val="0"/>
                  <w:vAlign w:val="center"/>
                </w:tcPr>
                <w:p w14:paraId="6C4E32C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S4</w:t>
                  </w:r>
                </w:p>
              </w:tc>
              <w:tc>
                <w:tcPr>
                  <w:tcW w:w="785" w:type="pct"/>
                  <w:tcBorders>
                    <w:tl2br w:val="nil"/>
                    <w:tr2bl w:val="nil"/>
                  </w:tcBorders>
                  <w:noWrap w:val="0"/>
                  <w:vAlign w:val="center"/>
                </w:tcPr>
                <w:p w14:paraId="7B1C706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生活垃圾</w:t>
                  </w:r>
                </w:p>
              </w:tc>
              <w:tc>
                <w:tcPr>
                  <w:tcW w:w="926" w:type="pct"/>
                  <w:tcBorders>
                    <w:tl2br w:val="nil"/>
                    <w:tr2bl w:val="nil"/>
                  </w:tcBorders>
                  <w:noWrap w:val="0"/>
                  <w:vAlign w:val="center"/>
                </w:tcPr>
                <w:p w14:paraId="3B7B2C0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生活垃圾</w:t>
                  </w:r>
                </w:p>
              </w:tc>
              <w:tc>
                <w:tcPr>
                  <w:tcW w:w="837" w:type="pct"/>
                  <w:tcBorders>
                    <w:tl2br w:val="nil"/>
                    <w:tr2bl w:val="nil"/>
                  </w:tcBorders>
                  <w:noWrap w:val="0"/>
                  <w:vAlign w:val="center"/>
                </w:tcPr>
                <w:p w14:paraId="791933D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间断</w:t>
                  </w:r>
                </w:p>
              </w:tc>
              <w:tc>
                <w:tcPr>
                  <w:tcW w:w="1231" w:type="pct"/>
                  <w:tcBorders>
                    <w:tl2br w:val="nil"/>
                    <w:tr2bl w:val="nil"/>
                  </w:tcBorders>
                  <w:noWrap w:val="0"/>
                  <w:vAlign w:val="center"/>
                </w:tcPr>
                <w:p w14:paraId="0655D53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集中收集于垃圾箱，由环卫运走</w:t>
                  </w:r>
                </w:p>
              </w:tc>
            </w:tr>
          </w:tbl>
          <w:p w14:paraId="3E1BAF05">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default" w:ascii="宋体" w:hAnsi="宋体"/>
                <w:bCs/>
                <w:color w:val="000000" w:themeColor="text1"/>
                <w:szCs w:val="21"/>
                <w:lang w:val="en-US"/>
                <w14:textFill>
                  <w14:solidFill>
                    <w14:schemeClr w14:val="tx1"/>
                  </w14:solidFill>
                </w14:textFill>
              </w:rPr>
            </w:pPr>
          </w:p>
        </w:tc>
      </w:tr>
      <w:tr w14:paraId="263A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8" w:hRule="atLeast"/>
          <w:jc w:val="center"/>
        </w:trPr>
        <w:tc>
          <w:tcPr>
            <w:tcW w:w="455" w:type="dxa"/>
            <w:noWrap w:val="0"/>
            <w:vAlign w:val="center"/>
          </w:tcPr>
          <w:p w14:paraId="420E1A66">
            <w:pPr>
              <w:pStyle w:val="26"/>
              <w:keepNext w:val="0"/>
              <w:keepLines w:val="0"/>
              <w:pageBreakBefore w:val="0"/>
              <w:widowControl w:val="0"/>
              <w:wordWrap/>
              <w:bidi w:val="0"/>
              <w:adjustRightInd w:val="0"/>
              <w:snapToGrid w:val="0"/>
              <w:spacing w:before="0" w:beforeAutospacing="0" w:after="0" w:afterAutospacing="0"/>
              <w:jc w:val="center"/>
              <w:rPr>
                <w:rFonts w:cs="宋体"/>
                <w:color w:val="000000" w:themeColor="text1"/>
                <w:sz w:val="24"/>
                <w:szCs w:val="24"/>
                <w14:textFill>
                  <w14:solidFill>
                    <w14:schemeClr w14:val="tx1"/>
                  </w14:solidFill>
                </w14:textFill>
              </w:rPr>
            </w:pPr>
            <w:r>
              <w:rPr>
                <w:rFonts w:hint="eastAsia" w:cs="宋体"/>
                <w:bCs/>
                <w:color w:val="000000" w:themeColor="text1"/>
                <w:kern w:val="2"/>
                <w:sz w:val="24"/>
                <w:szCs w:val="24"/>
                <w14:textFill>
                  <w14:solidFill>
                    <w14:schemeClr w14:val="tx1"/>
                  </w14:solidFill>
                </w14:textFill>
              </w:rPr>
              <w:t>与项目有关的原有环境污染问题</w:t>
            </w:r>
          </w:p>
        </w:tc>
        <w:tc>
          <w:tcPr>
            <w:tcW w:w="8605" w:type="dxa"/>
            <w:noWrap w:val="0"/>
            <w:vAlign w:val="center"/>
          </w:tcPr>
          <w:p w14:paraId="743A8C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bCs/>
                <w:color w:val="000000" w:themeColor="text1"/>
                <w:sz w:val="24"/>
                <w:szCs w:val="24"/>
                <w:lang w:eastAsia="zh-CN"/>
                <w14:textFill>
                  <w14:solidFill>
                    <w14:schemeClr w14:val="tx1"/>
                  </w14:solidFill>
                </w14:textFill>
              </w:rPr>
            </w:pPr>
            <w:r>
              <w:rPr>
                <w:rFonts w:hint="eastAsia" w:ascii="宋体" w:hAnsi="宋体" w:eastAsia="宋体"/>
                <w:bCs/>
                <w:color w:val="0000FF"/>
                <w:sz w:val="24"/>
                <w:szCs w:val="24"/>
                <w:lang w:eastAsia="zh-CN"/>
              </w:rPr>
              <w:t>本项目位于</w:t>
            </w:r>
            <w:r>
              <w:rPr>
                <w:rFonts w:hint="eastAsia" w:ascii="Times New Roman" w:hAnsi="Times New Roman" w:cs="Times New Roman"/>
                <w:color w:val="0000FF"/>
                <w:sz w:val="24"/>
                <w:szCs w:val="24"/>
                <w:u w:val="none"/>
                <w:lang w:eastAsia="zh-CN"/>
              </w:rPr>
              <w:t>新疆维吾尔自治区昌吉回族自治州玛纳斯县玛纳斯镇乌伊西路242号</w:t>
            </w:r>
            <w:r>
              <w:rPr>
                <w:rFonts w:hint="eastAsia" w:ascii="宋体" w:hAnsi="宋体" w:eastAsia="宋体"/>
                <w:bCs/>
                <w:color w:val="0000FF"/>
                <w:sz w:val="24"/>
                <w:szCs w:val="24"/>
                <w:lang w:eastAsia="zh-CN"/>
              </w:rPr>
              <w:t>，</w:t>
            </w:r>
            <w:r>
              <w:rPr>
                <w:rFonts w:hint="default" w:ascii="Times New Roman" w:hAnsi="Times New Roman" w:eastAsia="宋体" w:cs="Times New Roman"/>
                <w:b w:val="0"/>
                <w:bCs w:val="0"/>
                <w:color w:val="0000FF"/>
                <w:sz w:val="24"/>
                <w:szCs w:val="24"/>
                <w:lang w:val="en-US" w:eastAsia="zh-CN"/>
              </w:rPr>
              <w:t>项目东侧、</w:t>
            </w:r>
            <w:r>
              <w:rPr>
                <w:rFonts w:hint="eastAsia" w:cs="Times New Roman"/>
                <w:b w:val="0"/>
                <w:bCs w:val="0"/>
                <w:color w:val="0000FF"/>
                <w:sz w:val="24"/>
                <w:szCs w:val="24"/>
                <w:lang w:val="en-US" w:eastAsia="zh-CN"/>
              </w:rPr>
              <w:t>西</w:t>
            </w:r>
            <w:r>
              <w:rPr>
                <w:rFonts w:hint="default" w:ascii="Times New Roman" w:hAnsi="Times New Roman" w:eastAsia="宋体" w:cs="Times New Roman"/>
                <w:b w:val="0"/>
                <w:bCs w:val="0"/>
                <w:color w:val="0000FF"/>
                <w:sz w:val="24"/>
                <w:szCs w:val="24"/>
                <w:lang w:val="en-US" w:eastAsia="zh-CN"/>
              </w:rPr>
              <w:t>侧均</w:t>
            </w:r>
            <w:r>
              <w:rPr>
                <w:rFonts w:hint="eastAsia" w:cs="Times New Roman"/>
                <w:b w:val="0"/>
                <w:bCs w:val="0"/>
                <w:color w:val="0000FF"/>
                <w:sz w:val="24"/>
                <w:szCs w:val="24"/>
                <w:lang w:val="en-US" w:eastAsia="zh-CN"/>
              </w:rPr>
              <w:t>为绿化带，北侧为</w:t>
            </w:r>
            <w:r>
              <w:rPr>
                <w:rFonts w:hint="eastAsia" w:cs="Times New Roman"/>
                <w:color w:val="0000FF"/>
                <w:sz w:val="24"/>
                <w:szCs w:val="24"/>
                <w:lang w:eastAsia="zh-CN"/>
              </w:rPr>
              <w:t>凤城</w:t>
            </w:r>
            <w:r>
              <w:rPr>
                <w:rFonts w:hint="eastAsia" w:cs="Times New Roman"/>
                <w:color w:val="0000FF"/>
                <w:sz w:val="24"/>
                <w:szCs w:val="24"/>
                <w:lang w:val="en-US" w:eastAsia="zh-CN"/>
              </w:rPr>
              <w:t>小区，</w:t>
            </w:r>
            <w:r>
              <w:rPr>
                <w:rFonts w:hint="default" w:ascii="Times New Roman" w:hAnsi="Times New Roman" w:eastAsia="宋体" w:cs="Times New Roman"/>
                <w:b w:val="0"/>
                <w:bCs w:val="0"/>
                <w:color w:val="0000FF"/>
                <w:sz w:val="24"/>
                <w:szCs w:val="24"/>
                <w:lang w:val="en-US" w:eastAsia="zh-CN"/>
              </w:rPr>
              <w:t>南侧</w:t>
            </w:r>
            <w:r>
              <w:rPr>
                <w:rFonts w:hint="eastAsia" w:cs="Times New Roman"/>
                <w:b w:val="0"/>
                <w:bCs w:val="0"/>
                <w:color w:val="0000FF"/>
                <w:sz w:val="24"/>
                <w:szCs w:val="24"/>
                <w:lang w:val="en-US" w:eastAsia="zh-CN"/>
              </w:rPr>
              <w:t>为中华路</w:t>
            </w:r>
            <w:r>
              <w:rPr>
                <w:rFonts w:hint="eastAsia" w:ascii="宋体" w:hAnsi="宋体" w:eastAsia="宋体"/>
                <w:bCs/>
                <w:color w:val="0000FF"/>
                <w:sz w:val="24"/>
                <w:szCs w:val="24"/>
                <w:lang w:eastAsia="zh-CN"/>
              </w:rPr>
              <w:t>，本项目</w:t>
            </w:r>
            <w:r>
              <w:rPr>
                <w:rFonts w:hint="eastAsia" w:ascii="宋体" w:hAnsi="宋体"/>
                <w:bCs/>
                <w:color w:val="0000FF"/>
                <w:sz w:val="24"/>
                <w:szCs w:val="24"/>
                <w:lang w:eastAsia="zh-CN"/>
              </w:rPr>
              <w:t>需拆除旧建筑物后</w:t>
            </w:r>
            <w:r>
              <w:rPr>
                <w:rFonts w:hint="eastAsia" w:ascii="宋体" w:hAnsi="宋体" w:eastAsia="宋体"/>
                <w:bCs/>
                <w:color w:val="0000FF"/>
                <w:sz w:val="24"/>
                <w:szCs w:val="24"/>
                <w:lang w:eastAsia="zh-CN"/>
              </w:rPr>
              <w:t>新建项目，根据现场勘查，</w:t>
            </w:r>
            <w:r>
              <w:rPr>
                <w:rFonts w:hint="eastAsia" w:ascii="宋体" w:hAnsi="宋体"/>
                <w:bCs/>
                <w:color w:val="0000FF"/>
                <w:sz w:val="24"/>
                <w:szCs w:val="24"/>
                <w:lang w:eastAsia="zh-CN"/>
              </w:rPr>
              <w:t>与项目相关问题主要为现场旧建筑物未拆除，本次环评要求，拆除旧建筑物产生的建筑垃圾</w:t>
            </w:r>
            <w:r>
              <w:rPr>
                <w:rFonts w:hint="default" w:ascii="Times New Roman" w:hAnsi="Times New Roman" w:eastAsia="宋体" w:cs="Times New Roman"/>
                <w:color w:val="0000FF"/>
                <w:kern w:val="0"/>
                <w:sz w:val="24"/>
                <w:szCs w:val="24"/>
              </w:rPr>
              <w:t>运至市政部门指定的建筑</w:t>
            </w:r>
            <w:r>
              <w:rPr>
                <w:rFonts w:hint="eastAsia" w:ascii="Times New Roman" w:hAnsi="Times New Roman" w:eastAsia="宋体" w:cs="Times New Roman"/>
                <w:color w:val="0000FF"/>
                <w:kern w:val="0"/>
                <w:sz w:val="24"/>
                <w:szCs w:val="24"/>
                <w:lang w:eastAsia="zh-CN"/>
              </w:rPr>
              <w:t>垃圾</w:t>
            </w:r>
            <w:r>
              <w:rPr>
                <w:rFonts w:hint="default" w:ascii="Times New Roman" w:hAnsi="Times New Roman" w:eastAsia="宋体" w:cs="Times New Roman"/>
                <w:color w:val="0000FF"/>
                <w:kern w:val="0"/>
                <w:sz w:val="24"/>
                <w:szCs w:val="24"/>
                <w:lang w:val="en-US" w:eastAsia="zh-CN"/>
              </w:rPr>
              <w:t>填埋场处理</w:t>
            </w:r>
            <w:r>
              <w:rPr>
                <w:rFonts w:hint="eastAsia" w:cs="Times New Roman"/>
                <w:color w:val="0000FF"/>
                <w:kern w:val="0"/>
                <w:sz w:val="24"/>
                <w:szCs w:val="24"/>
                <w:lang w:val="en-US" w:eastAsia="zh-CN"/>
              </w:rPr>
              <w:t>；油罐和加油管拆站前委托第三方清罐机构清理油污后出售物资回收单位处置，油污由克拉玛依沃森环保科技有限公司委托清理处置，</w:t>
            </w:r>
            <w:bookmarkStart w:id="11" w:name="_GoBack"/>
            <w:r>
              <w:rPr>
                <w:rFonts w:hint="eastAsia" w:cs="Times New Roman"/>
                <w:color w:val="0000FF"/>
                <w:kern w:val="0"/>
                <w:sz w:val="24"/>
                <w:szCs w:val="24"/>
                <w:lang w:val="en-US" w:eastAsia="zh-CN"/>
              </w:rPr>
              <w:t>加油机交由中石油新疆销售有限公司石河子分公司作为备用件</w:t>
            </w:r>
            <w:bookmarkEnd w:id="11"/>
            <w:r>
              <w:rPr>
                <w:rFonts w:hint="eastAsia" w:cs="Times New Roman"/>
                <w:color w:val="0000FF"/>
                <w:kern w:val="0"/>
                <w:sz w:val="24"/>
                <w:szCs w:val="24"/>
                <w:lang w:val="en-US" w:eastAsia="zh-CN"/>
              </w:rPr>
              <w:t>。</w:t>
            </w:r>
          </w:p>
        </w:tc>
      </w:tr>
    </w:tbl>
    <w:p w14:paraId="335A4444">
      <w:pPr>
        <w:pStyle w:val="26"/>
        <w:keepNext w:val="0"/>
        <w:keepLines w:val="0"/>
        <w:pageBreakBefore w:val="0"/>
        <w:widowControl w:val="0"/>
        <w:wordWrap/>
        <w:bidi w:val="0"/>
        <w:adjustRightInd w:val="0"/>
        <w:snapToGrid w:val="0"/>
        <w:jc w:val="center"/>
        <w:rPr>
          <w:rFonts w:ascii="黑体" w:hAnsi="黑体" w:eastAsia="黑体"/>
          <w:snapToGrid w:val="0"/>
          <w:color w:val="000000" w:themeColor="text1"/>
          <w:sz w:val="36"/>
          <w:szCs w:val="36"/>
          <w14:textFill>
            <w14:solidFill>
              <w14:schemeClr w14:val="tx1"/>
            </w14:solidFill>
          </w14:textFill>
        </w:rPr>
        <w:sectPr>
          <w:pgSz w:w="11906" w:h="16838"/>
          <w:pgMar w:top="1531" w:right="1531" w:bottom="153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7023C6FE">
      <w:pPr>
        <w:pStyle w:val="26"/>
        <w:keepNext w:val="0"/>
        <w:keepLines w:val="0"/>
        <w:pageBreakBefore w:val="0"/>
        <w:widowControl w:val="0"/>
        <w:wordWrap/>
        <w:bidi w:val="0"/>
        <w:adjustRightInd w:val="0"/>
        <w:snapToGrid w:val="0"/>
        <w:spacing w:before="0" w:beforeAutospacing="0" w:after="0" w:afterAutospacing="0" w:line="14" w:lineRule="auto"/>
        <w:jc w:val="center"/>
        <w:outlineLvl w:val="0"/>
        <w:rPr>
          <w:rFonts w:hint="eastAsia" w:ascii="黑体" w:hAnsi="黑体" w:eastAsia="黑体"/>
          <w:snapToGrid w:val="0"/>
          <w:color w:val="000000" w:themeColor="text1"/>
          <w:sz w:val="30"/>
          <w:szCs w:val="30"/>
          <w14:textFill>
            <w14:solidFill>
              <w14:schemeClr w14:val="tx1"/>
            </w14:solidFill>
          </w14:textFill>
        </w:rPr>
      </w:pPr>
    </w:p>
    <w:p w14:paraId="577D6486">
      <w:pPr>
        <w:pStyle w:val="26"/>
        <w:keepNext w:val="0"/>
        <w:keepLines w:val="0"/>
        <w:pageBreakBefore w:val="0"/>
        <w:widowControl w:val="0"/>
        <w:wordWrap/>
        <w:bidi w:val="0"/>
        <w:adjustRightInd w:val="0"/>
        <w:snapToGrid w:val="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14:paraId="76D531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49" w:type="dxa"/>
            <w:noWrap w:val="0"/>
            <w:vAlign w:val="center"/>
          </w:tcPr>
          <w:p w14:paraId="3C60308E">
            <w:pPr>
              <w:keepNext w:val="0"/>
              <w:keepLines w:val="0"/>
              <w:pageBreakBefore w:val="0"/>
              <w:widowControl w:val="0"/>
              <w:wordWrap/>
              <w:bidi w:val="0"/>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区域环境质量现状</w:t>
            </w:r>
          </w:p>
        </w:tc>
        <w:tc>
          <w:tcPr>
            <w:tcW w:w="8612" w:type="dxa"/>
            <w:noWrap w:val="0"/>
            <w:vAlign w:val="center"/>
          </w:tcPr>
          <w:p w14:paraId="7B7BFBA4">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3.1</w:t>
            </w:r>
            <w:r>
              <w:rPr>
                <w:rFonts w:hint="default" w:ascii="Times New Roman" w:hAnsi="Times New Roman" w:eastAsia="宋体" w:cs="Times New Roman"/>
                <w:b/>
                <w:color w:val="000000" w:themeColor="text1"/>
                <w:sz w:val="24"/>
                <w:szCs w:val="24"/>
                <w14:textFill>
                  <w14:solidFill>
                    <w14:schemeClr w14:val="tx1"/>
                  </w14:solidFill>
                </w14:textFill>
              </w:rPr>
              <w:t>环境空气质量现状调查及评价</w:t>
            </w:r>
          </w:p>
          <w:p w14:paraId="0B78D5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bookmarkStart w:id="2" w:name="OLE_LINK2"/>
            <w:bookmarkStart w:id="3" w:name="OLE_LINK1"/>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sz w:val="24"/>
                <w:szCs w:val="24"/>
                <w:lang w:eastAsia="zh-CN"/>
                <w14:textFill>
                  <w14:solidFill>
                    <w14:schemeClr w14:val="tx1"/>
                  </w14:solidFill>
                </w14:textFill>
              </w:rPr>
              <w:t>数据来源</w:t>
            </w:r>
          </w:p>
          <w:p w14:paraId="6791F208">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根据</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《环境影响评价技术导则</w:t>
            </w:r>
            <w:r>
              <w:rPr>
                <w:rFonts w:hint="eastAsia" w:cs="Times New Roman"/>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大气环境》（</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HJ2.2-2018</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要求，</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本次区域环境质量现状数据采用环境空气质量模型技术支持服务系统（http://data.lem.org.cn/eamds/apply/tostepone.html）发布的</w:t>
            </w:r>
            <w:r>
              <w:rPr>
                <w:rFonts w:hint="eastAsia" w:cs="Times New Roman"/>
                <w:b w:val="0"/>
                <w:bCs w:val="0"/>
                <w:color w:val="000000" w:themeColor="text1"/>
                <w:sz w:val="24"/>
                <w:szCs w:val="24"/>
                <w:lang w:val="en-US" w:eastAsia="zh-CN"/>
                <w14:textFill>
                  <w14:solidFill>
                    <w14:schemeClr w14:val="tx1"/>
                  </w14:solidFill>
                </w14:textFill>
              </w:rPr>
              <w:t>距离项目区最近的石河子市</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2023年</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空气质量数据。</w:t>
            </w:r>
          </w:p>
          <w:p w14:paraId="7FDDE9FF">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评价方法</w:t>
            </w:r>
          </w:p>
          <w:p w14:paraId="304C08DC">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基本污染物按照《环境空气质量评价技术规范（试行）》（HJ 663-2013）中各评价项目的年评价指标进行判定。年评价指标中的年均浓度和相应百分位数24h平均或8h平均质量浓度满足</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《环境空气质量标准》（</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GB3095-2012</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中浓度限值要求的即为达标。</w:t>
            </w:r>
          </w:p>
          <w:p w14:paraId="06CA8E0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评价标准</w:t>
            </w:r>
          </w:p>
          <w:p w14:paraId="2326A25A">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14:textFill>
                  <w14:solidFill>
                    <w14:schemeClr w14:val="tx1"/>
                  </w14:solidFill>
                </w14:textFill>
              </w:rPr>
              <w:t>本次环境空气质量</w:t>
            </w:r>
            <w:r>
              <w:rPr>
                <w:rFonts w:hint="default" w:ascii="Times New Roman" w:hAnsi="Times New Roman" w:cs="Times New Roman"/>
                <w:b w:val="0"/>
                <w:bCs w:val="0"/>
                <w:color w:val="000000" w:themeColor="text1"/>
                <w:sz w:val="24"/>
                <w:szCs w:val="24"/>
                <w:lang w:eastAsia="zh-CN"/>
                <w14:textFill>
                  <w14:solidFill>
                    <w14:schemeClr w14:val="tx1"/>
                  </w14:solidFill>
                </w14:textFill>
              </w:rPr>
              <w:t>基本污染物现状</w:t>
            </w:r>
            <w:r>
              <w:rPr>
                <w:rFonts w:hint="default" w:ascii="Times New Roman" w:hAnsi="Times New Roman" w:cs="Times New Roman"/>
                <w:b w:val="0"/>
                <w:bCs w:val="0"/>
                <w:color w:val="000000" w:themeColor="text1"/>
                <w:sz w:val="24"/>
                <w:szCs w:val="24"/>
                <w14:textFill>
                  <w14:solidFill>
                    <w14:schemeClr w14:val="tx1"/>
                  </w14:solidFill>
                </w14:textFill>
              </w:rPr>
              <w:t>采用《环境空气质量标准》（GB3095-2012）</w:t>
            </w:r>
            <w:r>
              <w:rPr>
                <w:rFonts w:hint="default" w:ascii="Times New Roman" w:hAnsi="Times New Roman" w:cs="Times New Roman"/>
                <w:b w:val="0"/>
                <w:bCs w:val="0"/>
                <w:color w:val="000000" w:themeColor="text1"/>
                <w:sz w:val="24"/>
                <w:szCs w:val="24"/>
                <w:lang w:eastAsia="zh-CN"/>
                <w14:textFill>
                  <w14:solidFill>
                    <w14:schemeClr w14:val="tx1"/>
                  </w14:solidFill>
                </w14:textFill>
              </w:rPr>
              <w:t>及</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2018年修改单</w:t>
            </w:r>
            <w:r>
              <w:rPr>
                <w:rFonts w:hint="default" w:ascii="Times New Roman" w:hAnsi="Times New Roman" w:cs="Times New Roman"/>
                <w:b w:val="0"/>
                <w:bCs w:val="0"/>
                <w:color w:val="000000" w:themeColor="text1"/>
                <w:sz w:val="24"/>
                <w:szCs w:val="24"/>
                <w14:textFill>
                  <w14:solidFill>
                    <w14:schemeClr w14:val="tx1"/>
                  </w14:solidFill>
                </w14:textFill>
              </w:rPr>
              <w:t>中二级标准</w:t>
            </w:r>
            <w:r>
              <w:rPr>
                <w:rFonts w:hint="default" w:ascii="Times New Roman" w:hAnsi="Times New Roman" w:cs="Times New Roman"/>
                <w:b w:val="0"/>
                <w:bCs w:val="0"/>
                <w:color w:val="000000" w:themeColor="text1"/>
                <w:sz w:val="24"/>
                <w:szCs w:val="24"/>
                <w:lang w:eastAsia="zh-CN"/>
                <w14:textFill>
                  <w14:solidFill>
                    <w14:schemeClr w14:val="tx1"/>
                  </w14:solidFill>
                </w14:textFill>
              </w:rPr>
              <w:t>限值进行评价</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eastAsia="zh-CN"/>
                <w14:textFill>
                  <w14:solidFill>
                    <w14:schemeClr w14:val="tx1"/>
                  </w14:solidFill>
                </w14:textFill>
              </w:rPr>
              <w:t>非甲烷总烃采用</w:t>
            </w:r>
            <w:r>
              <w:rPr>
                <w:rFonts w:hint="default" w:ascii="Times New Roman" w:hAnsi="Times New Roman" w:eastAsia="宋体" w:cs="Times New Roman"/>
                <w:b w:val="0"/>
                <w:bCs w:val="0"/>
                <w:color w:val="000000" w:themeColor="text1"/>
                <w:sz w:val="24"/>
                <w:szCs w:val="24"/>
                <w:lang w:val="zh-CN"/>
                <w14:textFill>
                  <w14:solidFill>
                    <w14:schemeClr w14:val="tx1"/>
                  </w14:solidFill>
                </w14:textFill>
              </w:rPr>
              <w:t>国家环保局科技标准司</w:t>
            </w:r>
            <w:r>
              <w:rPr>
                <w:rFonts w:hint="default" w:ascii="Times New Roman" w:hAnsi="Times New Roman" w:cs="Times New Roman"/>
                <w:b w:val="0"/>
                <w:bCs w:val="0"/>
                <w:color w:val="000000" w:themeColor="text1"/>
                <w:sz w:val="24"/>
                <w:szCs w:val="24"/>
                <w:lang w:val="zh-CN" w:eastAsia="zh-CN"/>
                <w14:textFill>
                  <w14:solidFill>
                    <w14:schemeClr w14:val="tx1"/>
                  </w14:solidFill>
                </w14:textFill>
              </w:rPr>
              <w:t>《大气污染物综合排放标准详解》</w:t>
            </w:r>
            <w:r>
              <w:rPr>
                <w:rFonts w:hint="default" w:ascii="Times New Roman" w:hAnsi="Times New Roman" w:cs="Times New Roman"/>
                <w:b w:val="0"/>
                <w:bCs w:val="0"/>
                <w:color w:val="000000" w:themeColor="text1"/>
                <w:sz w:val="24"/>
                <w:szCs w:val="24"/>
                <w:lang w:eastAsia="zh-CN"/>
                <w14:textFill>
                  <w14:solidFill>
                    <w14:schemeClr w14:val="tx1"/>
                  </w14:solidFill>
                </w14:textFill>
              </w:rPr>
              <w:t>中</w:t>
            </w:r>
            <w:r>
              <w:rPr>
                <w:rFonts w:hint="default" w:ascii="Times New Roman" w:hAnsi="Times New Roman" w:cs="Times New Roman"/>
                <w:b w:val="0"/>
                <w:bCs w:val="0"/>
                <w:color w:val="000000" w:themeColor="text1"/>
                <w:sz w:val="24"/>
                <w:szCs w:val="24"/>
                <w14:textFill>
                  <w14:solidFill>
                    <w14:schemeClr w14:val="tx1"/>
                  </w14:solidFill>
                </w14:textFill>
              </w:rPr>
              <w:t>标准值</w:t>
            </w:r>
            <w:r>
              <w:rPr>
                <w:rFonts w:hint="default" w:ascii="Times New Roman" w:hAnsi="Times New Roman" w:cs="Times New Roman"/>
                <w:b w:val="0"/>
                <w:bCs w:val="0"/>
                <w:color w:val="000000" w:themeColor="text1"/>
                <w:sz w:val="24"/>
                <w:szCs w:val="24"/>
                <w:lang w:eastAsia="zh-CN"/>
                <w14:textFill>
                  <w14:solidFill>
                    <w14:schemeClr w14:val="tx1"/>
                  </w14:solidFill>
                </w14:textFill>
              </w:rPr>
              <w:t>进行评价，环境空气质量标准</w:t>
            </w:r>
            <w:r>
              <w:rPr>
                <w:rFonts w:hint="default" w:ascii="Times New Roman" w:hAnsi="Times New Roman" w:cs="Times New Roman"/>
                <w:b w:val="0"/>
                <w:bCs w:val="0"/>
                <w:color w:val="000000" w:themeColor="text1"/>
                <w:sz w:val="24"/>
                <w:szCs w:val="24"/>
                <w14:textFill>
                  <w14:solidFill>
                    <w14:schemeClr w14:val="tx1"/>
                  </w14:solidFill>
                </w14:textFill>
              </w:rPr>
              <w:t>见表</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3-1</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p>
          <w:p w14:paraId="7668691A">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3-1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环境空气质量标准     单位：</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μg/m</w:t>
            </w:r>
            <w:r>
              <w:rPr>
                <w:rFonts w:hint="default" w:ascii="Times New Roman" w:hAnsi="Times New Roman" w:cs="Times New Roman"/>
                <w:b/>
                <w:bCs/>
                <w:color w:val="000000" w:themeColor="text1"/>
                <w:sz w:val="21"/>
                <w:szCs w:val="21"/>
                <w:highlight w:val="none"/>
                <w:vertAlign w:val="superscript"/>
                <w:lang w:eastAsia="zh-CN"/>
                <w14:textFill>
                  <w14:solidFill>
                    <w14:schemeClr w14:val="tx1"/>
                  </w14:solidFill>
                </w14:textFill>
              </w:rPr>
              <w:t>3</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987"/>
              <w:gridCol w:w="2029"/>
              <w:gridCol w:w="2997"/>
            </w:tblGrid>
            <w:tr w14:paraId="5BB12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pct"/>
                  <w:tcBorders>
                    <w:tl2br w:val="nil"/>
                    <w:tr2bl w:val="nil"/>
                  </w:tcBorders>
                  <w:noWrap w:val="0"/>
                  <w:vAlign w:val="center"/>
                </w:tcPr>
                <w:p w14:paraId="1508371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污染物名称</w:t>
                  </w:r>
                </w:p>
              </w:tc>
              <w:tc>
                <w:tcPr>
                  <w:tcW w:w="1184" w:type="pct"/>
                  <w:tcBorders>
                    <w:tl2br w:val="nil"/>
                    <w:tr2bl w:val="nil"/>
                  </w:tcBorders>
                  <w:noWrap w:val="0"/>
                  <w:vAlign w:val="center"/>
                </w:tcPr>
                <w:p w14:paraId="3394BD2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取值时间</w:t>
                  </w:r>
                </w:p>
              </w:tc>
              <w:tc>
                <w:tcPr>
                  <w:tcW w:w="1209" w:type="pct"/>
                  <w:tcBorders>
                    <w:tl2br w:val="nil"/>
                    <w:tr2bl w:val="nil"/>
                  </w:tcBorders>
                  <w:noWrap w:val="0"/>
                  <w:vAlign w:val="center"/>
                </w:tcPr>
                <w:p w14:paraId="3FAB58E8">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二级标准浓度限值</w:t>
                  </w:r>
                </w:p>
              </w:tc>
              <w:tc>
                <w:tcPr>
                  <w:tcW w:w="1786" w:type="pct"/>
                  <w:tcBorders>
                    <w:tl2br w:val="nil"/>
                    <w:tr2bl w:val="nil"/>
                  </w:tcBorders>
                  <w:noWrap w:val="0"/>
                  <w:vAlign w:val="center"/>
                </w:tcPr>
                <w:p w14:paraId="2EBEBC28">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标准来源</w:t>
                  </w:r>
                </w:p>
              </w:tc>
            </w:tr>
            <w:tr w14:paraId="4E265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pct"/>
                  <w:vMerge w:val="restart"/>
                  <w:tcBorders>
                    <w:tl2br w:val="nil"/>
                    <w:tr2bl w:val="nil"/>
                  </w:tcBorders>
                  <w:noWrap w:val="0"/>
                  <w:vAlign w:val="center"/>
                </w:tcPr>
                <w:p w14:paraId="7FA3122A">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184" w:type="pct"/>
                  <w:tcBorders>
                    <w:tl2br w:val="nil"/>
                    <w:tr2bl w:val="nil"/>
                  </w:tcBorders>
                  <w:noWrap w:val="0"/>
                  <w:vAlign w:val="center"/>
                </w:tcPr>
                <w:p w14:paraId="74A4BBE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年均值</w:t>
                  </w:r>
                </w:p>
              </w:tc>
              <w:tc>
                <w:tcPr>
                  <w:tcW w:w="1209" w:type="pct"/>
                  <w:tcBorders>
                    <w:tl2br w:val="nil"/>
                    <w:tr2bl w:val="nil"/>
                  </w:tcBorders>
                  <w:noWrap w:val="0"/>
                  <w:vAlign w:val="center"/>
                </w:tcPr>
                <w:p w14:paraId="032E50A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1786" w:type="pct"/>
                  <w:vMerge w:val="restart"/>
                  <w:tcBorders>
                    <w:tl2br w:val="nil"/>
                    <w:tr2bl w:val="nil"/>
                  </w:tcBorders>
                  <w:noWrap w:val="0"/>
                  <w:vAlign w:val="center"/>
                </w:tcPr>
                <w:p w14:paraId="139CCC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《环境空气质量标准》(GB3095-2012）</w:t>
                  </w:r>
                  <w:r>
                    <w:rPr>
                      <w:rFonts w:hint="default" w:ascii="Times New Roman" w:hAnsi="Times New Roman" w:eastAsia="宋体" w:cs="Times New Roman"/>
                      <w:color w:val="000000" w:themeColor="text1"/>
                      <w:lang w:eastAsia="zh-CN"/>
                      <w14:textFill>
                        <w14:solidFill>
                          <w14:schemeClr w14:val="tx1"/>
                        </w14:solidFill>
                      </w14:textFill>
                    </w:rPr>
                    <w:t>及</w:t>
                  </w:r>
                  <w:r>
                    <w:rPr>
                      <w:rFonts w:hint="default" w:ascii="Times New Roman" w:hAnsi="Times New Roman" w:eastAsia="宋体" w:cs="Times New Roman"/>
                      <w:color w:val="000000" w:themeColor="text1"/>
                      <w:lang w:val="en-US" w:eastAsia="zh-CN"/>
                      <w14:textFill>
                        <w14:solidFill>
                          <w14:schemeClr w14:val="tx1"/>
                        </w14:solidFill>
                      </w14:textFill>
                    </w:rPr>
                    <w:t>2018年修改单中</w:t>
                  </w:r>
                  <w:r>
                    <w:rPr>
                      <w:rFonts w:hint="default" w:ascii="Times New Roman" w:hAnsi="Times New Roman" w:eastAsia="宋体" w:cs="Times New Roman"/>
                      <w:color w:val="000000" w:themeColor="text1"/>
                      <w14:textFill>
                        <w14:solidFill>
                          <w14:schemeClr w14:val="tx1"/>
                        </w14:solidFill>
                      </w14:textFill>
                    </w:rPr>
                    <w:t>二级标准</w:t>
                  </w:r>
                </w:p>
              </w:tc>
            </w:tr>
            <w:tr w14:paraId="5D243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pct"/>
                  <w:vMerge w:val="continue"/>
                  <w:tcBorders>
                    <w:tl2br w:val="nil"/>
                    <w:tr2bl w:val="nil"/>
                  </w:tcBorders>
                  <w:noWrap w:val="0"/>
                  <w:vAlign w:val="center"/>
                </w:tcPr>
                <w:p w14:paraId="4FEDF03E">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84" w:type="pct"/>
                  <w:tcBorders>
                    <w:tl2br w:val="nil"/>
                    <w:tr2bl w:val="nil"/>
                  </w:tcBorders>
                  <w:noWrap w:val="0"/>
                  <w:vAlign w:val="center"/>
                </w:tcPr>
                <w:p w14:paraId="26CBAA1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日均值</w:t>
                  </w:r>
                </w:p>
              </w:tc>
              <w:tc>
                <w:tcPr>
                  <w:tcW w:w="1209" w:type="pct"/>
                  <w:tcBorders>
                    <w:tl2br w:val="nil"/>
                    <w:tr2bl w:val="nil"/>
                  </w:tcBorders>
                  <w:noWrap w:val="0"/>
                  <w:vAlign w:val="center"/>
                </w:tcPr>
                <w:p w14:paraId="1AA1E301">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w:t>
                  </w:r>
                </w:p>
              </w:tc>
              <w:tc>
                <w:tcPr>
                  <w:tcW w:w="1786" w:type="pct"/>
                  <w:vMerge w:val="continue"/>
                  <w:tcBorders>
                    <w:tl2br w:val="nil"/>
                    <w:tr2bl w:val="nil"/>
                  </w:tcBorders>
                  <w:noWrap w:val="0"/>
                  <w:vAlign w:val="center"/>
                </w:tcPr>
                <w:p w14:paraId="6A52518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575F2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8" w:type="pct"/>
                  <w:vMerge w:val="restart"/>
                  <w:tcBorders>
                    <w:tl2br w:val="nil"/>
                    <w:tr2bl w:val="nil"/>
                  </w:tcBorders>
                  <w:noWrap w:val="0"/>
                  <w:vAlign w:val="center"/>
                </w:tcPr>
                <w:p w14:paraId="4C2DC82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184" w:type="pct"/>
                  <w:tcBorders>
                    <w:tl2br w:val="nil"/>
                    <w:tr2bl w:val="nil"/>
                  </w:tcBorders>
                  <w:noWrap w:val="0"/>
                  <w:vAlign w:val="center"/>
                </w:tcPr>
                <w:p w14:paraId="4A24A6C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年均值</w:t>
                  </w:r>
                </w:p>
              </w:tc>
              <w:tc>
                <w:tcPr>
                  <w:tcW w:w="1209" w:type="pct"/>
                  <w:tcBorders>
                    <w:tl2br w:val="nil"/>
                    <w:tr2bl w:val="nil"/>
                  </w:tcBorders>
                  <w:noWrap w:val="0"/>
                  <w:vAlign w:val="center"/>
                </w:tcPr>
                <w:p w14:paraId="1240C9C8">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1786" w:type="pct"/>
                  <w:vMerge w:val="continue"/>
                  <w:tcBorders>
                    <w:tl2br w:val="nil"/>
                    <w:tr2bl w:val="nil"/>
                  </w:tcBorders>
                  <w:noWrap w:val="0"/>
                  <w:vAlign w:val="center"/>
                </w:tcPr>
                <w:p w14:paraId="10E9BFA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014BE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8" w:type="pct"/>
                  <w:vMerge w:val="continue"/>
                  <w:tcBorders>
                    <w:tl2br w:val="nil"/>
                    <w:tr2bl w:val="nil"/>
                  </w:tcBorders>
                  <w:noWrap w:val="0"/>
                  <w:vAlign w:val="center"/>
                </w:tcPr>
                <w:p w14:paraId="6DD92AD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84" w:type="pct"/>
                  <w:tcBorders>
                    <w:tl2br w:val="nil"/>
                    <w:tr2bl w:val="nil"/>
                  </w:tcBorders>
                  <w:noWrap w:val="0"/>
                  <w:vAlign w:val="center"/>
                </w:tcPr>
                <w:p w14:paraId="48B26004">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日均值</w:t>
                  </w:r>
                </w:p>
              </w:tc>
              <w:tc>
                <w:tcPr>
                  <w:tcW w:w="1209" w:type="pct"/>
                  <w:tcBorders>
                    <w:tl2br w:val="nil"/>
                    <w:tr2bl w:val="nil"/>
                  </w:tcBorders>
                  <w:noWrap w:val="0"/>
                  <w:vAlign w:val="center"/>
                </w:tcPr>
                <w:p w14:paraId="7C4F4EB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w:t>
                  </w:r>
                </w:p>
              </w:tc>
              <w:tc>
                <w:tcPr>
                  <w:tcW w:w="1786" w:type="pct"/>
                  <w:vMerge w:val="continue"/>
                  <w:tcBorders>
                    <w:tl2br w:val="nil"/>
                    <w:tr2bl w:val="nil"/>
                  </w:tcBorders>
                  <w:noWrap w:val="0"/>
                  <w:vAlign w:val="center"/>
                </w:tcPr>
                <w:p w14:paraId="61F16D84">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7630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8" w:type="pct"/>
                  <w:vMerge w:val="restart"/>
                  <w:tcBorders>
                    <w:tl2br w:val="nil"/>
                    <w:tr2bl w:val="nil"/>
                  </w:tcBorders>
                  <w:noWrap w:val="0"/>
                  <w:vAlign w:val="center"/>
                </w:tcPr>
                <w:p w14:paraId="1EC9249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p>
              </w:tc>
              <w:tc>
                <w:tcPr>
                  <w:tcW w:w="1184" w:type="pct"/>
                  <w:tcBorders>
                    <w:tl2br w:val="nil"/>
                    <w:tr2bl w:val="nil"/>
                  </w:tcBorders>
                  <w:noWrap w:val="0"/>
                  <w:vAlign w:val="center"/>
                </w:tcPr>
                <w:p w14:paraId="0CFD103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年均值</w:t>
                  </w:r>
                </w:p>
              </w:tc>
              <w:tc>
                <w:tcPr>
                  <w:tcW w:w="1209" w:type="pct"/>
                  <w:tcBorders>
                    <w:tl2br w:val="nil"/>
                    <w:tr2bl w:val="nil"/>
                  </w:tcBorders>
                  <w:noWrap w:val="0"/>
                  <w:vAlign w:val="center"/>
                </w:tcPr>
                <w:p w14:paraId="72911786">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w:t>
                  </w:r>
                </w:p>
              </w:tc>
              <w:tc>
                <w:tcPr>
                  <w:tcW w:w="1786" w:type="pct"/>
                  <w:vMerge w:val="continue"/>
                  <w:tcBorders>
                    <w:tl2br w:val="nil"/>
                    <w:tr2bl w:val="nil"/>
                  </w:tcBorders>
                  <w:noWrap w:val="0"/>
                  <w:vAlign w:val="center"/>
                </w:tcPr>
                <w:p w14:paraId="31BC3A2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CCAF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8" w:type="pct"/>
                  <w:vMerge w:val="continue"/>
                  <w:tcBorders>
                    <w:tl2br w:val="nil"/>
                    <w:tr2bl w:val="nil"/>
                  </w:tcBorders>
                  <w:noWrap w:val="0"/>
                  <w:vAlign w:val="center"/>
                </w:tcPr>
                <w:p w14:paraId="7D53661E">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84" w:type="pct"/>
                  <w:tcBorders>
                    <w:tl2br w:val="nil"/>
                    <w:tr2bl w:val="nil"/>
                  </w:tcBorders>
                  <w:noWrap w:val="0"/>
                  <w:vAlign w:val="center"/>
                </w:tcPr>
                <w:p w14:paraId="04A284D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日均值</w:t>
                  </w:r>
                </w:p>
              </w:tc>
              <w:tc>
                <w:tcPr>
                  <w:tcW w:w="1209" w:type="pct"/>
                  <w:tcBorders>
                    <w:tl2br w:val="nil"/>
                    <w:tr2bl w:val="nil"/>
                  </w:tcBorders>
                  <w:noWrap w:val="0"/>
                  <w:vAlign w:val="center"/>
                </w:tcPr>
                <w:p w14:paraId="139DAEB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w:t>
                  </w:r>
                </w:p>
              </w:tc>
              <w:tc>
                <w:tcPr>
                  <w:tcW w:w="1786" w:type="pct"/>
                  <w:vMerge w:val="continue"/>
                  <w:tcBorders>
                    <w:tl2br w:val="nil"/>
                    <w:tr2bl w:val="nil"/>
                  </w:tcBorders>
                  <w:noWrap w:val="0"/>
                  <w:vAlign w:val="center"/>
                </w:tcPr>
                <w:p w14:paraId="12CAA2A5">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62CCF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8" w:type="pct"/>
                  <w:vMerge w:val="restart"/>
                  <w:tcBorders>
                    <w:tl2br w:val="nil"/>
                    <w:tr2bl w:val="nil"/>
                  </w:tcBorders>
                  <w:noWrap w:val="0"/>
                  <w:vAlign w:val="center"/>
                </w:tcPr>
                <w:p w14:paraId="4EF44184">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2.5</w:t>
                  </w:r>
                </w:p>
              </w:tc>
              <w:tc>
                <w:tcPr>
                  <w:tcW w:w="1184" w:type="pct"/>
                  <w:tcBorders>
                    <w:tl2br w:val="nil"/>
                    <w:tr2bl w:val="nil"/>
                  </w:tcBorders>
                  <w:noWrap w:val="0"/>
                  <w:vAlign w:val="center"/>
                </w:tcPr>
                <w:p w14:paraId="1BD41263">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年均值</w:t>
                  </w:r>
                </w:p>
              </w:tc>
              <w:tc>
                <w:tcPr>
                  <w:tcW w:w="1209" w:type="pct"/>
                  <w:tcBorders>
                    <w:tl2br w:val="nil"/>
                    <w:tr2bl w:val="nil"/>
                  </w:tcBorders>
                  <w:noWrap w:val="0"/>
                  <w:vAlign w:val="center"/>
                </w:tcPr>
                <w:p w14:paraId="1697839C">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1786" w:type="pct"/>
                  <w:vMerge w:val="continue"/>
                  <w:tcBorders>
                    <w:tl2br w:val="nil"/>
                    <w:tr2bl w:val="nil"/>
                  </w:tcBorders>
                  <w:noWrap w:val="0"/>
                  <w:vAlign w:val="center"/>
                </w:tcPr>
                <w:p w14:paraId="59F6F3FE">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2464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pct"/>
                  <w:vMerge w:val="continue"/>
                  <w:tcBorders>
                    <w:tl2br w:val="nil"/>
                    <w:tr2bl w:val="nil"/>
                  </w:tcBorders>
                  <w:noWrap w:val="0"/>
                  <w:vAlign w:val="center"/>
                </w:tcPr>
                <w:p w14:paraId="042C1C6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84" w:type="pct"/>
                  <w:tcBorders>
                    <w:tl2br w:val="nil"/>
                    <w:tr2bl w:val="nil"/>
                  </w:tcBorders>
                  <w:noWrap w:val="0"/>
                  <w:vAlign w:val="center"/>
                </w:tcPr>
                <w:p w14:paraId="6A968DCA">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日均值</w:t>
                  </w:r>
                </w:p>
              </w:tc>
              <w:tc>
                <w:tcPr>
                  <w:tcW w:w="1209" w:type="pct"/>
                  <w:tcBorders>
                    <w:tl2br w:val="nil"/>
                    <w:tr2bl w:val="nil"/>
                  </w:tcBorders>
                  <w:noWrap w:val="0"/>
                  <w:vAlign w:val="center"/>
                </w:tcPr>
                <w:p w14:paraId="2FC19AA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1786" w:type="pct"/>
                  <w:vMerge w:val="continue"/>
                  <w:tcBorders>
                    <w:tl2br w:val="nil"/>
                    <w:tr2bl w:val="nil"/>
                  </w:tcBorders>
                  <w:noWrap w:val="0"/>
                  <w:vAlign w:val="center"/>
                </w:tcPr>
                <w:p w14:paraId="562B931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1E261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pct"/>
                  <w:tcBorders>
                    <w:tl2br w:val="nil"/>
                    <w:tr2bl w:val="nil"/>
                  </w:tcBorders>
                  <w:noWrap w:val="0"/>
                  <w:vAlign w:val="center"/>
                </w:tcPr>
                <w:p w14:paraId="470C8F3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w:t>
                  </w:r>
                </w:p>
              </w:tc>
              <w:tc>
                <w:tcPr>
                  <w:tcW w:w="1184" w:type="pct"/>
                  <w:tcBorders>
                    <w:tl2br w:val="nil"/>
                    <w:tr2bl w:val="nil"/>
                  </w:tcBorders>
                  <w:noWrap w:val="0"/>
                  <w:vAlign w:val="center"/>
                </w:tcPr>
                <w:p w14:paraId="0E9CD11D">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日均值</w:t>
                  </w:r>
                </w:p>
              </w:tc>
              <w:tc>
                <w:tcPr>
                  <w:tcW w:w="1209" w:type="pct"/>
                  <w:tcBorders>
                    <w:tl2br w:val="nil"/>
                    <w:tr2bl w:val="nil"/>
                  </w:tcBorders>
                  <w:noWrap w:val="0"/>
                  <w:vAlign w:val="center"/>
                </w:tcPr>
                <w:p w14:paraId="3769F00E">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4000</w:t>
                  </w:r>
                </w:p>
              </w:tc>
              <w:tc>
                <w:tcPr>
                  <w:tcW w:w="1786" w:type="pct"/>
                  <w:vMerge w:val="continue"/>
                  <w:tcBorders>
                    <w:tl2br w:val="nil"/>
                    <w:tr2bl w:val="nil"/>
                  </w:tcBorders>
                  <w:noWrap w:val="0"/>
                  <w:vAlign w:val="center"/>
                </w:tcPr>
                <w:p w14:paraId="08814ECE">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4A0E5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8" w:type="pct"/>
                  <w:tcBorders>
                    <w:tl2br w:val="nil"/>
                    <w:tr2bl w:val="nil"/>
                  </w:tcBorders>
                  <w:noWrap w:val="0"/>
                  <w:vAlign w:val="center"/>
                </w:tcPr>
                <w:p w14:paraId="4FFC6EF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p>
              </w:tc>
              <w:tc>
                <w:tcPr>
                  <w:tcW w:w="1184" w:type="pct"/>
                  <w:tcBorders>
                    <w:tl2br w:val="nil"/>
                    <w:tr2bl w:val="nil"/>
                  </w:tcBorders>
                  <w:noWrap w:val="0"/>
                  <w:vAlign w:val="center"/>
                </w:tcPr>
                <w:p w14:paraId="537602D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日最大8小时均值</w:t>
                  </w:r>
                </w:p>
              </w:tc>
              <w:tc>
                <w:tcPr>
                  <w:tcW w:w="1209" w:type="pct"/>
                  <w:tcBorders>
                    <w:tl2br w:val="nil"/>
                    <w:tr2bl w:val="nil"/>
                  </w:tcBorders>
                  <w:noWrap w:val="0"/>
                  <w:vAlign w:val="center"/>
                </w:tcPr>
                <w:p w14:paraId="7438DC25">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160</w:t>
                  </w:r>
                </w:p>
              </w:tc>
              <w:tc>
                <w:tcPr>
                  <w:tcW w:w="1786" w:type="pct"/>
                  <w:vMerge w:val="continue"/>
                  <w:tcBorders>
                    <w:tl2br w:val="nil"/>
                    <w:tr2bl w:val="nil"/>
                  </w:tcBorders>
                  <w:noWrap w:val="0"/>
                  <w:vAlign w:val="center"/>
                </w:tcPr>
                <w:p w14:paraId="11E8EDAD">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14:paraId="3A507690">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0" w:right="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空气质量达标区判定</w:t>
            </w:r>
          </w:p>
          <w:p w14:paraId="22AB85A8">
            <w:pPr>
              <w:pStyle w:val="15"/>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outlineLvl w:val="9"/>
              <w:rPr>
                <w:rFonts w:hint="default" w:ascii="Times New Roman" w:hAnsi="Times New Roman" w:eastAsia="宋体" w:cs="Times New Roman"/>
                <w:i w:val="0"/>
                <w:iCs w:val="0"/>
                <w:color w:val="0000FF"/>
                <w:sz w:val="24"/>
                <w:szCs w:val="24"/>
                <w:highlight w:val="none"/>
              </w:rPr>
            </w:pPr>
            <w:r>
              <w:rPr>
                <w:rFonts w:hint="eastAsia" w:ascii="Times New Roman" w:hAnsi="Times New Roman" w:cs="Times New Roman"/>
                <w:i w:val="0"/>
                <w:iCs w:val="0"/>
                <w:color w:val="0000FF"/>
                <w:sz w:val="24"/>
                <w:szCs w:val="24"/>
                <w:highlight w:val="none"/>
                <w:lang w:val="en-US" w:eastAsia="zh-CN"/>
              </w:rPr>
              <w:t>石河子市</w:t>
            </w:r>
            <w:r>
              <w:rPr>
                <w:rFonts w:hint="eastAsia" w:ascii="Times New Roman" w:hAnsi="Times New Roman" w:eastAsia="宋体" w:cs="Times New Roman"/>
                <w:i w:val="0"/>
                <w:iCs w:val="0"/>
                <w:color w:val="0000FF"/>
                <w:sz w:val="24"/>
                <w:szCs w:val="24"/>
                <w:highlight w:val="none"/>
                <w:lang w:val="en-US" w:eastAsia="zh-CN"/>
              </w:rPr>
              <w:t>2023</w:t>
            </w:r>
            <w:r>
              <w:rPr>
                <w:rFonts w:hint="default" w:ascii="Times New Roman" w:hAnsi="Times New Roman" w:eastAsia="宋体" w:cs="Times New Roman"/>
                <w:i w:val="0"/>
                <w:iCs w:val="0"/>
                <w:color w:val="0000FF"/>
                <w:sz w:val="24"/>
                <w:szCs w:val="24"/>
                <w:highlight w:val="none"/>
              </w:rPr>
              <w:t>年度</w:t>
            </w:r>
            <w:r>
              <w:rPr>
                <w:rFonts w:hint="default" w:ascii="Times New Roman" w:hAnsi="Times New Roman" w:eastAsia="宋体" w:cs="Times New Roman"/>
                <w:i w:val="0"/>
                <w:iCs w:val="0"/>
                <w:color w:val="0000FF"/>
                <w:sz w:val="24"/>
                <w:szCs w:val="24"/>
                <w:highlight w:val="none"/>
                <w:lang w:eastAsia="zh-CN"/>
              </w:rPr>
              <w:t>国控和监测站</w:t>
            </w:r>
            <w:r>
              <w:rPr>
                <w:rFonts w:hint="default" w:ascii="Times New Roman" w:hAnsi="Times New Roman" w:eastAsia="宋体" w:cs="Times New Roman"/>
                <w:i w:val="0"/>
                <w:iCs w:val="0"/>
                <w:color w:val="0000FF"/>
                <w:sz w:val="24"/>
                <w:szCs w:val="24"/>
                <w:highlight w:val="none"/>
              </w:rPr>
              <w:t>环境质量状况报告判定结果见表</w:t>
            </w:r>
            <w:r>
              <w:rPr>
                <w:rFonts w:hint="default" w:ascii="Times New Roman" w:hAnsi="Times New Roman" w:eastAsia="宋体" w:cs="Times New Roman"/>
                <w:i w:val="0"/>
                <w:iCs w:val="0"/>
                <w:color w:val="0000FF"/>
                <w:sz w:val="24"/>
                <w:szCs w:val="24"/>
                <w:highlight w:val="none"/>
                <w:lang w:val="en-US" w:eastAsia="zh-CN"/>
              </w:rPr>
              <w:t>3-2</w:t>
            </w:r>
            <w:r>
              <w:rPr>
                <w:rFonts w:hint="default" w:ascii="Times New Roman" w:hAnsi="Times New Roman" w:eastAsia="宋体" w:cs="Times New Roman"/>
                <w:i w:val="0"/>
                <w:iCs w:val="0"/>
                <w:color w:val="0000FF"/>
                <w:sz w:val="24"/>
                <w:szCs w:val="24"/>
                <w:highlight w:val="none"/>
              </w:rPr>
              <w:t>。</w:t>
            </w:r>
          </w:p>
          <w:p w14:paraId="35D47C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i w:val="0"/>
                <w:iCs w:val="0"/>
                <w:color w:val="0000FF"/>
                <w:sz w:val="21"/>
                <w:szCs w:val="21"/>
                <w:highlight w:val="none"/>
              </w:rPr>
            </w:pPr>
            <w:r>
              <w:rPr>
                <w:rFonts w:hint="default" w:ascii="Times New Roman" w:hAnsi="Times New Roman" w:eastAsia="宋体" w:cs="Times New Roman"/>
                <w:b/>
                <w:bCs/>
                <w:i w:val="0"/>
                <w:iCs w:val="0"/>
                <w:color w:val="0000FF"/>
                <w:sz w:val="21"/>
                <w:szCs w:val="21"/>
                <w:highlight w:val="none"/>
              </w:rPr>
              <w:t>表</w:t>
            </w:r>
            <w:r>
              <w:rPr>
                <w:rFonts w:hint="default" w:ascii="Times New Roman" w:hAnsi="Times New Roman" w:eastAsia="宋体" w:cs="Times New Roman"/>
                <w:b/>
                <w:bCs/>
                <w:i w:val="0"/>
                <w:iCs w:val="0"/>
                <w:color w:val="0000FF"/>
                <w:sz w:val="21"/>
                <w:szCs w:val="21"/>
                <w:highlight w:val="none"/>
                <w:lang w:val="en-US" w:eastAsia="zh-CN"/>
              </w:rPr>
              <w:t>3-2</w:t>
            </w:r>
            <w:r>
              <w:rPr>
                <w:rFonts w:hint="default" w:ascii="Times New Roman" w:hAnsi="Times New Roman" w:eastAsia="宋体" w:cs="Times New Roman"/>
                <w:b/>
                <w:bCs/>
                <w:i w:val="0"/>
                <w:iCs w:val="0"/>
                <w:color w:val="0000FF"/>
                <w:sz w:val="21"/>
                <w:szCs w:val="21"/>
                <w:highlight w:val="none"/>
              </w:rPr>
              <w:t xml:space="preserve">   基本污染物环境质量现状</w:t>
            </w:r>
          </w:p>
          <w:tbl>
            <w:tblPr>
              <w:tblStyle w:val="31"/>
              <w:tblW w:w="498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32"/>
              <w:gridCol w:w="3329"/>
              <w:gridCol w:w="1200"/>
              <w:gridCol w:w="1185"/>
              <w:gridCol w:w="855"/>
              <w:gridCol w:w="965"/>
            </w:tblGrid>
            <w:tr w14:paraId="2542B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7" w:type="pct"/>
                  <w:vMerge w:val="restart"/>
                  <w:tcBorders>
                    <w:tl2br w:val="nil"/>
                    <w:tr2bl w:val="nil"/>
                  </w:tcBorders>
                  <w:noWrap w:val="0"/>
                  <w:vAlign w:val="center"/>
                </w:tcPr>
                <w:p w14:paraId="0585DEE7">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val="0"/>
                      <w:i w:val="0"/>
                      <w:iCs w:val="0"/>
                      <w:color w:val="0000FF"/>
                      <w:sz w:val="21"/>
                      <w:szCs w:val="21"/>
                      <w:highlight w:val="none"/>
                    </w:rPr>
                  </w:pPr>
                  <w:r>
                    <w:rPr>
                      <w:rFonts w:hint="default" w:ascii="Times New Roman" w:hAnsi="Times New Roman" w:eastAsia="宋体" w:cs="Times New Roman"/>
                      <w:b/>
                      <w:bCs w:val="0"/>
                      <w:i w:val="0"/>
                      <w:iCs w:val="0"/>
                      <w:color w:val="0000FF"/>
                      <w:sz w:val="21"/>
                      <w:szCs w:val="21"/>
                      <w:highlight w:val="none"/>
                    </w:rPr>
                    <w:t>污染物</w:t>
                  </w:r>
                </w:p>
              </w:tc>
              <w:tc>
                <w:tcPr>
                  <w:tcW w:w="1989" w:type="pct"/>
                  <w:vMerge w:val="restart"/>
                  <w:tcBorders>
                    <w:tl2br w:val="nil"/>
                    <w:tr2bl w:val="nil"/>
                  </w:tcBorders>
                  <w:noWrap w:val="0"/>
                  <w:vAlign w:val="center"/>
                </w:tcPr>
                <w:p w14:paraId="3151907B">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val="0"/>
                      <w:i w:val="0"/>
                      <w:iCs w:val="0"/>
                      <w:color w:val="0000FF"/>
                      <w:sz w:val="21"/>
                      <w:szCs w:val="21"/>
                      <w:highlight w:val="none"/>
                    </w:rPr>
                  </w:pPr>
                  <w:r>
                    <w:rPr>
                      <w:rFonts w:hint="default" w:ascii="Times New Roman" w:hAnsi="Times New Roman" w:eastAsia="宋体" w:cs="Times New Roman"/>
                      <w:b/>
                      <w:bCs w:val="0"/>
                      <w:i w:val="0"/>
                      <w:iCs w:val="0"/>
                      <w:color w:val="0000FF"/>
                      <w:sz w:val="21"/>
                      <w:szCs w:val="21"/>
                      <w:highlight w:val="none"/>
                      <w:lang w:eastAsia="zh-CN"/>
                    </w:rPr>
                    <w:t>年</w:t>
                  </w:r>
                  <w:r>
                    <w:rPr>
                      <w:rFonts w:hint="default" w:ascii="Times New Roman" w:hAnsi="Times New Roman" w:eastAsia="宋体" w:cs="Times New Roman"/>
                      <w:b/>
                      <w:bCs w:val="0"/>
                      <w:i w:val="0"/>
                      <w:iCs w:val="0"/>
                      <w:color w:val="0000FF"/>
                      <w:sz w:val="21"/>
                      <w:szCs w:val="21"/>
                      <w:highlight w:val="none"/>
                    </w:rPr>
                    <w:t>评价指标</w:t>
                  </w:r>
                </w:p>
              </w:tc>
              <w:tc>
                <w:tcPr>
                  <w:tcW w:w="717" w:type="pct"/>
                  <w:vMerge w:val="restart"/>
                  <w:tcBorders>
                    <w:tl2br w:val="nil"/>
                    <w:tr2bl w:val="nil"/>
                  </w:tcBorders>
                  <w:noWrap w:val="0"/>
                  <w:vAlign w:val="center"/>
                </w:tcPr>
                <w:p w14:paraId="4748AF07">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val="0"/>
                      <w:i w:val="0"/>
                      <w:iCs w:val="0"/>
                      <w:color w:val="0000FF"/>
                      <w:sz w:val="21"/>
                      <w:szCs w:val="21"/>
                      <w:highlight w:val="none"/>
                    </w:rPr>
                  </w:pPr>
                  <w:r>
                    <w:rPr>
                      <w:rFonts w:hint="default" w:ascii="Times New Roman" w:hAnsi="Times New Roman" w:eastAsia="宋体" w:cs="Times New Roman"/>
                      <w:b/>
                      <w:bCs w:val="0"/>
                      <w:i w:val="0"/>
                      <w:iCs w:val="0"/>
                      <w:color w:val="0000FF"/>
                      <w:sz w:val="21"/>
                      <w:szCs w:val="21"/>
                      <w:highlight w:val="none"/>
                    </w:rPr>
                    <w:t>现状浓度</w:t>
                  </w:r>
                </w:p>
                <w:p w14:paraId="3A1F24DB">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val="0"/>
                      <w:i w:val="0"/>
                      <w:iCs w:val="0"/>
                      <w:color w:val="0000FF"/>
                      <w:sz w:val="21"/>
                      <w:szCs w:val="21"/>
                      <w:highlight w:val="none"/>
                    </w:rPr>
                  </w:pPr>
                  <w:r>
                    <w:rPr>
                      <w:rFonts w:hint="default" w:ascii="Times New Roman" w:hAnsi="Times New Roman" w:eastAsia="宋体" w:cs="Times New Roman"/>
                      <w:b/>
                      <w:bCs w:val="0"/>
                      <w:i w:val="0"/>
                      <w:iCs w:val="0"/>
                      <w:color w:val="0000FF"/>
                      <w:sz w:val="21"/>
                      <w:szCs w:val="21"/>
                      <w:highlight w:val="none"/>
                    </w:rPr>
                    <w:t>(μg/m</w:t>
                  </w:r>
                  <w:r>
                    <w:rPr>
                      <w:rFonts w:hint="default" w:ascii="Times New Roman" w:hAnsi="Times New Roman" w:eastAsia="宋体" w:cs="Times New Roman"/>
                      <w:b/>
                      <w:bCs w:val="0"/>
                      <w:i w:val="0"/>
                      <w:iCs w:val="0"/>
                      <w:color w:val="0000FF"/>
                      <w:sz w:val="21"/>
                      <w:szCs w:val="21"/>
                      <w:highlight w:val="none"/>
                      <w:vertAlign w:val="superscript"/>
                    </w:rPr>
                    <w:t>3</w:t>
                  </w:r>
                  <w:r>
                    <w:rPr>
                      <w:rFonts w:hint="default" w:ascii="Times New Roman" w:hAnsi="Times New Roman" w:eastAsia="宋体" w:cs="Times New Roman"/>
                      <w:b/>
                      <w:bCs w:val="0"/>
                      <w:i w:val="0"/>
                      <w:iCs w:val="0"/>
                      <w:color w:val="0000FF"/>
                      <w:sz w:val="21"/>
                      <w:szCs w:val="21"/>
                      <w:highlight w:val="none"/>
                    </w:rPr>
                    <w:t>)</w:t>
                  </w:r>
                </w:p>
              </w:tc>
              <w:tc>
                <w:tcPr>
                  <w:tcW w:w="708" w:type="pct"/>
                  <w:vMerge w:val="restart"/>
                  <w:tcBorders>
                    <w:tl2br w:val="nil"/>
                    <w:tr2bl w:val="nil"/>
                  </w:tcBorders>
                  <w:noWrap w:val="0"/>
                  <w:vAlign w:val="center"/>
                </w:tcPr>
                <w:p w14:paraId="4DC273A3">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val="0"/>
                      <w:i w:val="0"/>
                      <w:iCs w:val="0"/>
                      <w:color w:val="0000FF"/>
                      <w:sz w:val="21"/>
                      <w:szCs w:val="21"/>
                      <w:highlight w:val="none"/>
                    </w:rPr>
                  </w:pPr>
                  <w:r>
                    <w:rPr>
                      <w:rFonts w:hint="default" w:ascii="Times New Roman" w:hAnsi="Times New Roman" w:eastAsia="宋体" w:cs="Times New Roman"/>
                      <w:b/>
                      <w:bCs w:val="0"/>
                      <w:i w:val="0"/>
                      <w:iCs w:val="0"/>
                      <w:color w:val="0000FF"/>
                      <w:sz w:val="21"/>
                      <w:szCs w:val="21"/>
                      <w:highlight w:val="none"/>
                    </w:rPr>
                    <w:t>评价标准</w:t>
                  </w:r>
                </w:p>
                <w:p w14:paraId="3F9EFECF">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i w:val="0"/>
                      <w:iCs w:val="0"/>
                      <w:color w:val="0000FF"/>
                      <w:sz w:val="21"/>
                      <w:szCs w:val="21"/>
                      <w:highlight w:val="none"/>
                    </w:rPr>
                  </w:pPr>
                  <w:r>
                    <w:rPr>
                      <w:rFonts w:hint="default" w:ascii="Times New Roman" w:hAnsi="Times New Roman" w:eastAsia="宋体" w:cs="Times New Roman"/>
                      <w:b/>
                      <w:bCs w:val="0"/>
                      <w:i w:val="0"/>
                      <w:iCs w:val="0"/>
                      <w:color w:val="0000FF"/>
                      <w:sz w:val="21"/>
                      <w:szCs w:val="21"/>
                      <w:highlight w:val="none"/>
                    </w:rPr>
                    <w:t>(μg/m</w:t>
                  </w:r>
                  <w:r>
                    <w:rPr>
                      <w:rFonts w:hint="default" w:ascii="Times New Roman" w:hAnsi="Times New Roman" w:eastAsia="宋体" w:cs="Times New Roman"/>
                      <w:b/>
                      <w:bCs w:val="0"/>
                      <w:i w:val="0"/>
                      <w:iCs w:val="0"/>
                      <w:color w:val="0000FF"/>
                      <w:sz w:val="21"/>
                      <w:szCs w:val="21"/>
                      <w:highlight w:val="none"/>
                      <w:vertAlign w:val="superscript"/>
                    </w:rPr>
                    <w:t>3</w:t>
                  </w:r>
                  <w:r>
                    <w:rPr>
                      <w:rFonts w:hint="default" w:ascii="Times New Roman" w:hAnsi="Times New Roman" w:eastAsia="宋体" w:cs="Times New Roman"/>
                      <w:b/>
                      <w:bCs w:val="0"/>
                      <w:i w:val="0"/>
                      <w:iCs w:val="0"/>
                      <w:color w:val="0000FF"/>
                      <w:sz w:val="21"/>
                      <w:szCs w:val="21"/>
                      <w:highlight w:val="none"/>
                    </w:rPr>
                    <w:t>)</w:t>
                  </w:r>
                </w:p>
              </w:tc>
              <w:tc>
                <w:tcPr>
                  <w:tcW w:w="511" w:type="pct"/>
                  <w:vMerge w:val="restart"/>
                  <w:tcBorders>
                    <w:tl2br w:val="nil"/>
                    <w:tr2bl w:val="nil"/>
                  </w:tcBorders>
                  <w:noWrap w:val="0"/>
                  <w:vAlign w:val="center"/>
                </w:tcPr>
                <w:p w14:paraId="58099E22">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val="0"/>
                      <w:i w:val="0"/>
                      <w:iCs w:val="0"/>
                      <w:color w:val="0000FF"/>
                      <w:sz w:val="21"/>
                      <w:szCs w:val="21"/>
                      <w:highlight w:val="none"/>
                    </w:rPr>
                  </w:pPr>
                  <w:r>
                    <w:rPr>
                      <w:rFonts w:hint="default" w:ascii="Times New Roman" w:hAnsi="Times New Roman" w:eastAsia="宋体" w:cs="Times New Roman"/>
                      <w:b/>
                      <w:bCs w:val="0"/>
                      <w:i w:val="0"/>
                      <w:iCs w:val="0"/>
                      <w:color w:val="0000FF"/>
                      <w:sz w:val="21"/>
                      <w:szCs w:val="21"/>
                      <w:highlight w:val="none"/>
                    </w:rPr>
                    <w:t>占标率%</w:t>
                  </w:r>
                </w:p>
              </w:tc>
              <w:tc>
                <w:tcPr>
                  <w:tcW w:w="576" w:type="pct"/>
                  <w:vMerge w:val="restart"/>
                  <w:tcBorders>
                    <w:tl2br w:val="nil"/>
                    <w:tr2bl w:val="nil"/>
                  </w:tcBorders>
                  <w:noWrap w:val="0"/>
                  <w:vAlign w:val="center"/>
                </w:tcPr>
                <w:p w14:paraId="7EE43835">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val="0"/>
                      <w:i w:val="0"/>
                      <w:iCs w:val="0"/>
                      <w:color w:val="0000FF"/>
                      <w:sz w:val="21"/>
                      <w:szCs w:val="21"/>
                      <w:highlight w:val="none"/>
                    </w:rPr>
                  </w:pPr>
                  <w:r>
                    <w:rPr>
                      <w:rFonts w:hint="default" w:ascii="Times New Roman" w:hAnsi="Times New Roman" w:eastAsia="宋体" w:cs="Times New Roman"/>
                      <w:b/>
                      <w:bCs w:val="0"/>
                      <w:i w:val="0"/>
                      <w:iCs w:val="0"/>
                      <w:color w:val="0000FF"/>
                      <w:sz w:val="21"/>
                      <w:szCs w:val="21"/>
                      <w:highlight w:val="none"/>
                    </w:rPr>
                    <w:t>达标</w:t>
                  </w:r>
                </w:p>
                <w:p w14:paraId="69ECEF22">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val="0"/>
                      <w:i w:val="0"/>
                      <w:iCs w:val="0"/>
                      <w:color w:val="0000FF"/>
                      <w:sz w:val="21"/>
                      <w:szCs w:val="21"/>
                      <w:highlight w:val="none"/>
                    </w:rPr>
                  </w:pPr>
                  <w:r>
                    <w:rPr>
                      <w:rFonts w:hint="default" w:ascii="Times New Roman" w:hAnsi="Times New Roman" w:eastAsia="宋体" w:cs="Times New Roman"/>
                      <w:b/>
                      <w:bCs w:val="0"/>
                      <w:i w:val="0"/>
                      <w:iCs w:val="0"/>
                      <w:color w:val="0000FF"/>
                      <w:sz w:val="21"/>
                      <w:szCs w:val="21"/>
                      <w:highlight w:val="none"/>
                    </w:rPr>
                    <w:t>情况</w:t>
                  </w:r>
                </w:p>
              </w:tc>
            </w:tr>
            <w:tr w14:paraId="6EAAC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97" w:type="pct"/>
                  <w:vMerge w:val="continue"/>
                  <w:tcBorders>
                    <w:tl2br w:val="nil"/>
                    <w:tr2bl w:val="nil"/>
                  </w:tcBorders>
                  <w:noWrap w:val="0"/>
                  <w:vAlign w:val="center"/>
                </w:tcPr>
                <w:p w14:paraId="307FD5C4">
                  <w:pPr>
                    <w:keepNext w:val="0"/>
                    <w:keepLines w:val="0"/>
                    <w:pageBreakBefore w:val="0"/>
                    <w:widowControl w:val="0"/>
                    <w:kinsoku/>
                    <w:wordWrap/>
                    <w:topLinePunct w:val="0"/>
                    <w:autoSpaceDE/>
                    <w:autoSpaceDN/>
                    <w:bidi w:val="0"/>
                    <w:adjustRightInd w:val="0"/>
                    <w:snapToGrid w:val="0"/>
                    <w:spacing w:line="240" w:lineRule="auto"/>
                    <w:ind w:right="0" w:firstLine="0" w:firstLineChars="0"/>
                    <w:textAlignment w:val="auto"/>
                    <w:outlineLvl w:val="9"/>
                    <w:rPr>
                      <w:rFonts w:hint="default" w:ascii="Times New Roman" w:hAnsi="Times New Roman" w:eastAsia="宋体" w:cs="Times New Roman"/>
                      <w:bCs/>
                      <w:i w:val="0"/>
                      <w:iCs w:val="0"/>
                      <w:color w:val="0000FF"/>
                      <w:sz w:val="21"/>
                      <w:szCs w:val="21"/>
                      <w:highlight w:val="none"/>
                    </w:rPr>
                  </w:pPr>
                </w:p>
              </w:tc>
              <w:tc>
                <w:tcPr>
                  <w:tcW w:w="1989" w:type="pct"/>
                  <w:vMerge w:val="continue"/>
                  <w:tcBorders>
                    <w:tl2br w:val="nil"/>
                    <w:tr2bl w:val="nil"/>
                  </w:tcBorders>
                  <w:noWrap w:val="0"/>
                  <w:vAlign w:val="center"/>
                </w:tcPr>
                <w:p w14:paraId="38F1A764">
                  <w:pPr>
                    <w:keepNext w:val="0"/>
                    <w:keepLines w:val="0"/>
                    <w:pageBreakBefore w:val="0"/>
                    <w:widowControl w:val="0"/>
                    <w:kinsoku/>
                    <w:wordWrap/>
                    <w:topLinePunct w:val="0"/>
                    <w:autoSpaceDE/>
                    <w:autoSpaceDN/>
                    <w:bidi w:val="0"/>
                    <w:adjustRightInd w:val="0"/>
                    <w:snapToGrid w:val="0"/>
                    <w:spacing w:line="240" w:lineRule="auto"/>
                    <w:ind w:right="0" w:firstLine="0" w:firstLineChars="0"/>
                    <w:textAlignment w:val="auto"/>
                    <w:outlineLvl w:val="9"/>
                    <w:rPr>
                      <w:rFonts w:hint="default" w:ascii="Times New Roman" w:hAnsi="Times New Roman" w:eastAsia="宋体" w:cs="Times New Roman"/>
                      <w:bCs/>
                      <w:i w:val="0"/>
                      <w:iCs w:val="0"/>
                      <w:color w:val="0000FF"/>
                      <w:sz w:val="21"/>
                      <w:szCs w:val="21"/>
                      <w:highlight w:val="none"/>
                    </w:rPr>
                  </w:pPr>
                </w:p>
              </w:tc>
              <w:tc>
                <w:tcPr>
                  <w:tcW w:w="717" w:type="pct"/>
                  <w:vMerge w:val="continue"/>
                  <w:tcBorders>
                    <w:tl2br w:val="nil"/>
                    <w:tr2bl w:val="nil"/>
                  </w:tcBorders>
                  <w:noWrap w:val="0"/>
                  <w:vAlign w:val="center"/>
                </w:tcPr>
                <w:p w14:paraId="377DC0E2">
                  <w:pPr>
                    <w:keepNext w:val="0"/>
                    <w:keepLines w:val="0"/>
                    <w:pageBreakBefore w:val="0"/>
                    <w:widowControl w:val="0"/>
                    <w:kinsoku/>
                    <w:wordWrap/>
                    <w:topLinePunct w:val="0"/>
                    <w:autoSpaceDE/>
                    <w:autoSpaceDN/>
                    <w:bidi w:val="0"/>
                    <w:adjustRightInd w:val="0"/>
                    <w:snapToGrid w:val="0"/>
                    <w:spacing w:line="240" w:lineRule="auto"/>
                    <w:ind w:right="0" w:firstLine="0" w:firstLineChars="0"/>
                    <w:textAlignment w:val="auto"/>
                    <w:outlineLvl w:val="9"/>
                    <w:rPr>
                      <w:rFonts w:hint="default" w:ascii="Times New Roman" w:hAnsi="Times New Roman" w:eastAsia="宋体" w:cs="Times New Roman"/>
                      <w:bCs/>
                      <w:i w:val="0"/>
                      <w:iCs w:val="0"/>
                      <w:color w:val="0000FF"/>
                      <w:sz w:val="21"/>
                      <w:szCs w:val="21"/>
                      <w:highlight w:val="none"/>
                    </w:rPr>
                  </w:pPr>
                </w:p>
              </w:tc>
              <w:tc>
                <w:tcPr>
                  <w:tcW w:w="708" w:type="pct"/>
                  <w:vMerge w:val="continue"/>
                  <w:tcBorders>
                    <w:tl2br w:val="nil"/>
                    <w:tr2bl w:val="nil"/>
                  </w:tcBorders>
                  <w:noWrap w:val="0"/>
                  <w:vAlign w:val="center"/>
                </w:tcPr>
                <w:p w14:paraId="06786BB1">
                  <w:pPr>
                    <w:keepNext w:val="0"/>
                    <w:keepLines w:val="0"/>
                    <w:pageBreakBefore w:val="0"/>
                    <w:widowControl w:val="0"/>
                    <w:kinsoku/>
                    <w:wordWrap/>
                    <w:topLinePunct w:val="0"/>
                    <w:autoSpaceDE/>
                    <w:autoSpaceDN/>
                    <w:bidi w:val="0"/>
                    <w:adjustRightInd w:val="0"/>
                    <w:snapToGrid w:val="0"/>
                    <w:spacing w:line="240" w:lineRule="auto"/>
                    <w:ind w:right="0" w:firstLine="0" w:firstLineChars="0"/>
                    <w:textAlignment w:val="auto"/>
                    <w:outlineLvl w:val="9"/>
                    <w:rPr>
                      <w:rFonts w:hint="default" w:ascii="Times New Roman" w:hAnsi="Times New Roman" w:eastAsia="宋体" w:cs="Times New Roman"/>
                      <w:i w:val="0"/>
                      <w:iCs w:val="0"/>
                      <w:color w:val="0000FF"/>
                      <w:sz w:val="21"/>
                      <w:szCs w:val="21"/>
                      <w:highlight w:val="none"/>
                    </w:rPr>
                  </w:pPr>
                </w:p>
              </w:tc>
              <w:tc>
                <w:tcPr>
                  <w:tcW w:w="511" w:type="pct"/>
                  <w:vMerge w:val="continue"/>
                  <w:tcBorders>
                    <w:tl2br w:val="nil"/>
                    <w:tr2bl w:val="nil"/>
                  </w:tcBorders>
                  <w:noWrap w:val="0"/>
                  <w:vAlign w:val="center"/>
                </w:tcPr>
                <w:p w14:paraId="6A633831">
                  <w:pPr>
                    <w:keepNext w:val="0"/>
                    <w:keepLines w:val="0"/>
                    <w:pageBreakBefore w:val="0"/>
                    <w:widowControl w:val="0"/>
                    <w:kinsoku/>
                    <w:wordWrap/>
                    <w:topLinePunct w:val="0"/>
                    <w:autoSpaceDE/>
                    <w:autoSpaceDN/>
                    <w:bidi w:val="0"/>
                    <w:adjustRightInd w:val="0"/>
                    <w:snapToGrid w:val="0"/>
                    <w:spacing w:line="240" w:lineRule="auto"/>
                    <w:ind w:right="0" w:firstLine="0" w:firstLineChars="0"/>
                    <w:textAlignment w:val="auto"/>
                    <w:outlineLvl w:val="9"/>
                    <w:rPr>
                      <w:rFonts w:hint="default" w:ascii="Times New Roman" w:hAnsi="Times New Roman" w:eastAsia="宋体" w:cs="Times New Roman"/>
                      <w:bCs/>
                      <w:i w:val="0"/>
                      <w:iCs w:val="0"/>
                      <w:color w:val="0000FF"/>
                      <w:sz w:val="21"/>
                      <w:szCs w:val="21"/>
                      <w:highlight w:val="none"/>
                    </w:rPr>
                  </w:pPr>
                </w:p>
              </w:tc>
              <w:tc>
                <w:tcPr>
                  <w:tcW w:w="576" w:type="pct"/>
                  <w:vMerge w:val="continue"/>
                  <w:tcBorders>
                    <w:tl2br w:val="nil"/>
                    <w:tr2bl w:val="nil"/>
                  </w:tcBorders>
                  <w:noWrap w:val="0"/>
                  <w:vAlign w:val="center"/>
                </w:tcPr>
                <w:p w14:paraId="006B0F92">
                  <w:pPr>
                    <w:keepNext w:val="0"/>
                    <w:keepLines w:val="0"/>
                    <w:pageBreakBefore w:val="0"/>
                    <w:widowControl w:val="0"/>
                    <w:kinsoku/>
                    <w:wordWrap/>
                    <w:topLinePunct w:val="0"/>
                    <w:autoSpaceDE/>
                    <w:autoSpaceDN/>
                    <w:bidi w:val="0"/>
                    <w:adjustRightInd w:val="0"/>
                    <w:snapToGrid w:val="0"/>
                    <w:spacing w:line="240" w:lineRule="auto"/>
                    <w:ind w:right="0" w:firstLine="0" w:firstLineChars="0"/>
                    <w:textAlignment w:val="auto"/>
                    <w:outlineLvl w:val="9"/>
                    <w:rPr>
                      <w:rFonts w:hint="default" w:ascii="Times New Roman" w:hAnsi="Times New Roman" w:eastAsia="宋体" w:cs="Times New Roman"/>
                      <w:bCs/>
                      <w:i w:val="0"/>
                      <w:iCs w:val="0"/>
                      <w:color w:val="0000FF"/>
                      <w:sz w:val="21"/>
                      <w:szCs w:val="21"/>
                      <w:highlight w:val="none"/>
                    </w:rPr>
                  </w:pPr>
                </w:p>
              </w:tc>
            </w:tr>
            <w:tr w14:paraId="61CAF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7" w:hRule="atLeast"/>
                <w:jc w:val="center"/>
              </w:trPr>
              <w:tc>
                <w:tcPr>
                  <w:tcW w:w="497" w:type="pct"/>
                  <w:tcBorders>
                    <w:tl2br w:val="nil"/>
                    <w:tr2bl w:val="nil"/>
                  </w:tcBorders>
                  <w:noWrap w:val="0"/>
                  <w:vAlign w:val="center"/>
                </w:tcPr>
                <w:p w14:paraId="212782B1">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rPr>
                    <w:t>SO</w:t>
                  </w:r>
                  <w:r>
                    <w:rPr>
                      <w:rFonts w:hint="default" w:ascii="Times New Roman" w:hAnsi="Times New Roman" w:eastAsia="宋体" w:cs="Times New Roman"/>
                      <w:bCs/>
                      <w:i w:val="0"/>
                      <w:iCs w:val="0"/>
                      <w:color w:val="0000FF"/>
                      <w:sz w:val="21"/>
                      <w:szCs w:val="21"/>
                      <w:highlight w:val="none"/>
                      <w:vertAlign w:val="subscript"/>
                    </w:rPr>
                    <w:t>2</w:t>
                  </w:r>
                </w:p>
              </w:tc>
              <w:tc>
                <w:tcPr>
                  <w:tcW w:w="1989" w:type="pct"/>
                  <w:tcBorders>
                    <w:tl2br w:val="nil"/>
                    <w:tr2bl w:val="nil"/>
                  </w:tcBorders>
                  <w:noWrap w:val="0"/>
                  <w:vAlign w:val="center"/>
                </w:tcPr>
                <w:p w14:paraId="6F4F4DA5">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lang w:eastAsia="zh-CN"/>
                    </w:rPr>
                  </w:pPr>
                  <w:r>
                    <w:rPr>
                      <w:rFonts w:hint="default" w:ascii="Times New Roman" w:hAnsi="Times New Roman" w:eastAsia="宋体" w:cs="Times New Roman"/>
                      <w:bCs/>
                      <w:i w:val="0"/>
                      <w:iCs w:val="0"/>
                      <w:color w:val="0000FF"/>
                      <w:sz w:val="21"/>
                      <w:szCs w:val="21"/>
                      <w:highlight w:val="none"/>
                      <w:lang w:eastAsia="zh-CN"/>
                    </w:rPr>
                    <w:t>年平均质量浓度</w:t>
                  </w:r>
                </w:p>
              </w:tc>
              <w:tc>
                <w:tcPr>
                  <w:tcW w:w="717" w:type="pct"/>
                  <w:tcBorders>
                    <w:tl2br w:val="nil"/>
                    <w:tr2bl w:val="nil"/>
                  </w:tcBorders>
                  <w:noWrap w:val="0"/>
                  <w:vAlign w:val="center"/>
                </w:tcPr>
                <w:p w14:paraId="4A18B1AB">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lang w:val="en-US" w:eastAsia="zh-CN"/>
                    </w:rPr>
                  </w:pPr>
                  <w:r>
                    <w:rPr>
                      <w:rFonts w:hint="eastAsia" w:cs="Times New Roman"/>
                      <w:bCs/>
                      <w:i w:val="0"/>
                      <w:iCs w:val="0"/>
                      <w:color w:val="0000FF"/>
                      <w:sz w:val="21"/>
                      <w:szCs w:val="21"/>
                      <w:highlight w:val="none"/>
                      <w:lang w:val="en-US" w:eastAsia="zh-CN"/>
                    </w:rPr>
                    <w:t>9</w:t>
                  </w:r>
                </w:p>
              </w:tc>
              <w:tc>
                <w:tcPr>
                  <w:tcW w:w="708" w:type="pct"/>
                  <w:tcBorders>
                    <w:tl2br w:val="nil"/>
                    <w:tr2bl w:val="nil"/>
                  </w:tcBorders>
                  <w:noWrap w:val="0"/>
                  <w:vAlign w:val="center"/>
                </w:tcPr>
                <w:p w14:paraId="7761BE7D">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i w:val="0"/>
                      <w:iCs w:val="0"/>
                      <w:color w:val="0000FF"/>
                      <w:sz w:val="21"/>
                      <w:szCs w:val="21"/>
                      <w:highlight w:val="none"/>
                      <w:lang w:val="en-US" w:eastAsia="zh-CN"/>
                    </w:rPr>
                  </w:pPr>
                  <w:r>
                    <w:rPr>
                      <w:rFonts w:hint="default" w:ascii="Times New Roman" w:hAnsi="Times New Roman" w:eastAsia="宋体" w:cs="Times New Roman"/>
                      <w:i w:val="0"/>
                      <w:iCs w:val="0"/>
                      <w:color w:val="0000FF"/>
                      <w:sz w:val="21"/>
                      <w:szCs w:val="21"/>
                      <w:highlight w:val="none"/>
                      <w:lang w:val="en-US" w:eastAsia="zh-CN"/>
                    </w:rPr>
                    <w:t>60</w:t>
                  </w:r>
                </w:p>
              </w:tc>
              <w:tc>
                <w:tcPr>
                  <w:tcW w:w="857" w:type="dxa"/>
                  <w:tcBorders>
                    <w:tl2br w:val="nil"/>
                    <w:tr2bl w:val="nil"/>
                  </w:tcBorders>
                  <w:noWrap w:val="0"/>
                  <w:vAlign w:val="center"/>
                </w:tcPr>
                <w:p w14:paraId="70E047E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15.00</w:t>
                  </w:r>
                </w:p>
              </w:tc>
              <w:tc>
                <w:tcPr>
                  <w:tcW w:w="576" w:type="pct"/>
                  <w:tcBorders>
                    <w:tl2br w:val="nil"/>
                    <w:tr2bl w:val="nil"/>
                  </w:tcBorders>
                  <w:noWrap w:val="0"/>
                  <w:vAlign w:val="center"/>
                </w:tcPr>
                <w:p w14:paraId="5EC5ECCE">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rPr>
                    <w:t>达标</w:t>
                  </w:r>
                </w:p>
              </w:tc>
            </w:tr>
            <w:tr w14:paraId="3B015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7" w:type="pct"/>
                  <w:tcBorders>
                    <w:tl2br w:val="nil"/>
                    <w:tr2bl w:val="nil"/>
                  </w:tcBorders>
                  <w:noWrap w:val="0"/>
                  <w:vAlign w:val="center"/>
                </w:tcPr>
                <w:p w14:paraId="22813038">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rPr>
                    <w:t>NO</w:t>
                  </w:r>
                  <w:r>
                    <w:rPr>
                      <w:rFonts w:hint="default" w:ascii="Times New Roman" w:hAnsi="Times New Roman" w:eastAsia="宋体" w:cs="Times New Roman"/>
                      <w:bCs/>
                      <w:i w:val="0"/>
                      <w:iCs w:val="0"/>
                      <w:color w:val="0000FF"/>
                      <w:sz w:val="21"/>
                      <w:szCs w:val="21"/>
                      <w:highlight w:val="none"/>
                      <w:vertAlign w:val="subscript"/>
                    </w:rPr>
                    <w:t>2</w:t>
                  </w:r>
                </w:p>
              </w:tc>
              <w:tc>
                <w:tcPr>
                  <w:tcW w:w="1989" w:type="pct"/>
                  <w:tcBorders>
                    <w:tl2br w:val="nil"/>
                    <w:tr2bl w:val="nil"/>
                  </w:tcBorders>
                  <w:noWrap w:val="0"/>
                  <w:vAlign w:val="center"/>
                </w:tcPr>
                <w:p w14:paraId="7FD5DE9D">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lang w:eastAsia="zh-CN"/>
                    </w:rPr>
                    <w:t>年平均质量浓度</w:t>
                  </w:r>
                </w:p>
              </w:tc>
              <w:tc>
                <w:tcPr>
                  <w:tcW w:w="717" w:type="pct"/>
                  <w:tcBorders>
                    <w:tl2br w:val="nil"/>
                    <w:tr2bl w:val="nil"/>
                  </w:tcBorders>
                  <w:noWrap w:val="0"/>
                  <w:vAlign w:val="center"/>
                </w:tcPr>
                <w:p w14:paraId="30F06991">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lang w:val="en-US" w:eastAsia="zh-CN"/>
                    </w:rPr>
                  </w:pPr>
                  <w:r>
                    <w:rPr>
                      <w:rFonts w:hint="eastAsia" w:cs="Times New Roman"/>
                      <w:bCs/>
                      <w:i w:val="0"/>
                      <w:iCs w:val="0"/>
                      <w:color w:val="0000FF"/>
                      <w:sz w:val="21"/>
                      <w:szCs w:val="21"/>
                      <w:highlight w:val="none"/>
                      <w:lang w:val="en-US" w:eastAsia="zh-CN"/>
                    </w:rPr>
                    <w:t>22</w:t>
                  </w:r>
                </w:p>
              </w:tc>
              <w:tc>
                <w:tcPr>
                  <w:tcW w:w="708" w:type="pct"/>
                  <w:tcBorders>
                    <w:tl2br w:val="nil"/>
                    <w:tr2bl w:val="nil"/>
                  </w:tcBorders>
                  <w:noWrap w:val="0"/>
                  <w:vAlign w:val="center"/>
                </w:tcPr>
                <w:p w14:paraId="6DC36DC4">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i w:val="0"/>
                      <w:iCs w:val="0"/>
                      <w:color w:val="0000FF"/>
                      <w:sz w:val="21"/>
                      <w:szCs w:val="21"/>
                      <w:highlight w:val="none"/>
                      <w:lang w:val="en-US" w:eastAsia="zh-CN"/>
                    </w:rPr>
                  </w:pPr>
                  <w:r>
                    <w:rPr>
                      <w:rFonts w:hint="default" w:ascii="Times New Roman" w:hAnsi="Times New Roman" w:eastAsia="宋体" w:cs="Times New Roman"/>
                      <w:i w:val="0"/>
                      <w:iCs w:val="0"/>
                      <w:color w:val="0000FF"/>
                      <w:sz w:val="21"/>
                      <w:szCs w:val="21"/>
                      <w:highlight w:val="none"/>
                      <w:lang w:val="en-US" w:eastAsia="zh-CN"/>
                    </w:rPr>
                    <w:t>40</w:t>
                  </w:r>
                </w:p>
              </w:tc>
              <w:tc>
                <w:tcPr>
                  <w:tcW w:w="857" w:type="dxa"/>
                  <w:tcBorders>
                    <w:tl2br w:val="nil"/>
                    <w:tr2bl w:val="nil"/>
                  </w:tcBorders>
                  <w:noWrap w:val="0"/>
                  <w:vAlign w:val="center"/>
                </w:tcPr>
                <w:p w14:paraId="46B6BFD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55.00</w:t>
                  </w:r>
                </w:p>
              </w:tc>
              <w:tc>
                <w:tcPr>
                  <w:tcW w:w="576" w:type="pct"/>
                  <w:tcBorders>
                    <w:tl2br w:val="nil"/>
                    <w:tr2bl w:val="nil"/>
                  </w:tcBorders>
                  <w:noWrap w:val="0"/>
                  <w:vAlign w:val="center"/>
                </w:tcPr>
                <w:p w14:paraId="414C5943">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lang w:eastAsia="zh-CN"/>
                    </w:rPr>
                  </w:pPr>
                  <w:r>
                    <w:rPr>
                      <w:rFonts w:hint="default" w:ascii="Times New Roman" w:hAnsi="Times New Roman" w:eastAsia="宋体" w:cs="Times New Roman"/>
                      <w:bCs/>
                      <w:i w:val="0"/>
                      <w:iCs w:val="0"/>
                      <w:color w:val="0000FF"/>
                      <w:sz w:val="21"/>
                      <w:szCs w:val="21"/>
                      <w:highlight w:val="none"/>
                    </w:rPr>
                    <w:t>达标</w:t>
                  </w:r>
                </w:p>
              </w:tc>
            </w:tr>
            <w:tr w14:paraId="09616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7" w:type="pct"/>
                  <w:tcBorders>
                    <w:tl2br w:val="nil"/>
                    <w:tr2bl w:val="nil"/>
                  </w:tcBorders>
                  <w:noWrap w:val="0"/>
                  <w:vAlign w:val="center"/>
                </w:tcPr>
                <w:p w14:paraId="4924684D">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rPr>
                    <w:t>PM</w:t>
                  </w:r>
                  <w:r>
                    <w:rPr>
                      <w:rFonts w:hint="default" w:ascii="Times New Roman" w:hAnsi="Times New Roman" w:eastAsia="宋体" w:cs="Times New Roman"/>
                      <w:bCs/>
                      <w:i w:val="0"/>
                      <w:iCs w:val="0"/>
                      <w:color w:val="0000FF"/>
                      <w:sz w:val="21"/>
                      <w:szCs w:val="21"/>
                      <w:highlight w:val="none"/>
                      <w:vertAlign w:val="subscript"/>
                    </w:rPr>
                    <w:t>2.5</w:t>
                  </w:r>
                </w:p>
              </w:tc>
              <w:tc>
                <w:tcPr>
                  <w:tcW w:w="1989" w:type="pct"/>
                  <w:tcBorders>
                    <w:tl2br w:val="nil"/>
                    <w:tr2bl w:val="nil"/>
                  </w:tcBorders>
                  <w:noWrap w:val="0"/>
                  <w:vAlign w:val="center"/>
                </w:tcPr>
                <w:p w14:paraId="6CEB668C">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lang w:eastAsia="zh-CN"/>
                    </w:rPr>
                    <w:t>年平均质量浓度</w:t>
                  </w:r>
                </w:p>
              </w:tc>
              <w:tc>
                <w:tcPr>
                  <w:tcW w:w="717" w:type="pct"/>
                  <w:tcBorders>
                    <w:tl2br w:val="nil"/>
                    <w:tr2bl w:val="nil"/>
                  </w:tcBorders>
                  <w:noWrap w:val="0"/>
                  <w:vAlign w:val="center"/>
                </w:tcPr>
                <w:p w14:paraId="35D7E2B9">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lang w:val="en-US" w:eastAsia="zh-CN"/>
                    </w:rPr>
                  </w:pPr>
                  <w:r>
                    <w:rPr>
                      <w:rFonts w:hint="eastAsia" w:cs="Times New Roman"/>
                      <w:bCs/>
                      <w:i w:val="0"/>
                      <w:iCs w:val="0"/>
                      <w:color w:val="0000FF"/>
                      <w:sz w:val="21"/>
                      <w:szCs w:val="21"/>
                      <w:highlight w:val="none"/>
                      <w:lang w:val="en-US" w:eastAsia="zh-CN"/>
                    </w:rPr>
                    <w:t>49</w:t>
                  </w:r>
                </w:p>
              </w:tc>
              <w:tc>
                <w:tcPr>
                  <w:tcW w:w="708" w:type="pct"/>
                  <w:tcBorders>
                    <w:tl2br w:val="nil"/>
                    <w:tr2bl w:val="nil"/>
                  </w:tcBorders>
                  <w:noWrap w:val="0"/>
                  <w:vAlign w:val="center"/>
                </w:tcPr>
                <w:p w14:paraId="7E94E009">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i w:val="0"/>
                      <w:iCs w:val="0"/>
                      <w:color w:val="0000FF"/>
                      <w:sz w:val="21"/>
                      <w:szCs w:val="21"/>
                      <w:highlight w:val="none"/>
                      <w:lang w:val="en-US" w:eastAsia="zh-CN"/>
                    </w:rPr>
                  </w:pPr>
                  <w:r>
                    <w:rPr>
                      <w:rFonts w:hint="default" w:ascii="Times New Roman" w:hAnsi="Times New Roman" w:eastAsia="宋体" w:cs="Times New Roman"/>
                      <w:i w:val="0"/>
                      <w:iCs w:val="0"/>
                      <w:color w:val="0000FF"/>
                      <w:sz w:val="21"/>
                      <w:szCs w:val="21"/>
                      <w:highlight w:val="none"/>
                      <w:lang w:val="en-US" w:eastAsia="zh-CN"/>
                    </w:rPr>
                    <w:t>35</w:t>
                  </w:r>
                </w:p>
              </w:tc>
              <w:tc>
                <w:tcPr>
                  <w:tcW w:w="857" w:type="dxa"/>
                  <w:tcBorders>
                    <w:tl2br w:val="nil"/>
                    <w:tr2bl w:val="nil"/>
                  </w:tcBorders>
                  <w:noWrap w:val="0"/>
                  <w:vAlign w:val="center"/>
                </w:tcPr>
                <w:p w14:paraId="1F15EB5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140.00</w:t>
                  </w:r>
                </w:p>
              </w:tc>
              <w:tc>
                <w:tcPr>
                  <w:tcW w:w="576" w:type="pct"/>
                  <w:tcBorders>
                    <w:tl2br w:val="nil"/>
                    <w:tr2bl w:val="nil"/>
                  </w:tcBorders>
                  <w:noWrap w:val="0"/>
                  <w:vAlign w:val="center"/>
                </w:tcPr>
                <w:p w14:paraId="1A9151A2">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lang w:eastAsia="zh-CN"/>
                    </w:rPr>
                  </w:pPr>
                  <w:r>
                    <w:rPr>
                      <w:rFonts w:hint="eastAsia" w:ascii="Times New Roman" w:hAnsi="Times New Roman" w:eastAsia="宋体" w:cs="Times New Roman"/>
                      <w:bCs/>
                      <w:i w:val="0"/>
                      <w:iCs w:val="0"/>
                      <w:color w:val="0000FF"/>
                      <w:sz w:val="21"/>
                      <w:szCs w:val="21"/>
                      <w:highlight w:val="none"/>
                      <w:lang w:eastAsia="zh-CN"/>
                    </w:rPr>
                    <w:t>不</w:t>
                  </w:r>
                  <w:r>
                    <w:rPr>
                      <w:rFonts w:hint="default" w:ascii="Times New Roman" w:hAnsi="Times New Roman" w:eastAsia="宋体" w:cs="Times New Roman"/>
                      <w:bCs/>
                      <w:i w:val="0"/>
                      <w:iCs w:val="0"/>
                      <w:color w:val="0000FF"/>
                      <w:sz w:val="21"/>
                      <w:szCs w:val="21"/>
                      <w:highlight w:val="none"/>
                    </w:rPr>
                    <w:t>达标</w:t>
                  </w:r>
                </w:p>
              </w:tc>
            </w:tr>
            <w:tr w14:paraId="606DC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7" w:type="pct"/>
                  <w:tcBorders>
                    <w:tl2br w:val="nil"/>
                    <w:tr2bl w:val="nil"/>
                  </w:tcBorders>
                  <w:noWrap w:val="0"/>
                  <w:vAlign w:val="center"/>
                </w:tcPr>
                <w:p w14:paraId="6D950EB1">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rPr>
                    <w:t>PM</w:t>
                  </w:r>
                  <w:r>
                    <w:rPr>
                      <w:rFonts w:hint="default" w:ascii="Times New Roman" w:hAnsi="Times New Roman" w:eastAsia="宋体" w:cs="Times New Roman"/>
                      <w:bCs/>
                      <w:i w:val="0"/>
                      <w:iCs w:val="0"/>
                      <w:color w:val="0000FF"/>
                      <w:sz w:val="21"/>
                      <w:szCs w:val="21"/>
                      <w:highlight w:val="none"/>
                      <w:vertAlign w:val="subscript"/>
                    </w:rPr>
                    <w:t>10</w:t>
                  </w:r>
                </w:p>
              </w:tc>
              <w:tc>
                <w:tcPr>
                  <w:tcW w:w="1989" w:type="pct"/>
                  <w:tcBorders>
                    <w:tl2br w:val="nil"/>
                    <w:tr2bl w:val="nil"/>
                  </w:tcBorders>
                  <w:noWrap w:val="0"/>
                  <w:vAlign w:val="center"/>
                </w:tcPr>
                <w:p w14:paraId="0F5D6D84">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lang w:eastAsia="zh-CN"/>
                    </w:rPr>
                    <w:t>年平均质量浓度</w:t>
                  </w:r>
                </w:p>
              </w:tc>
              <w:tc>
                <w:tcPr>
                  <w:tcW w:w="717" w:type="pct"/>
                  <w:tcBorders>
                    <w:tl2br w:val="nil"/>
                    <w:tr2bl w:val="nil"/>
                  </w:tcBorders>
                  <w:noWrap w:val="0"/>
                  <w:vAlign w:val="center"/>
                </w:tcPr>
                <w:p w14:paraId="3394DD74">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lang w:val="en-US" w:eastAsia="zh-CN"/>
                    </w:rPr>
                  </w:pPr>
                  <w:r>
                    <w:rPr>
                      <w:rFonts w:hint="eastAsia" w:cs="Times New Roman"/>
                      <w:bCs/>
                      <w:i w:val="0"/>
                      <w:iCs w:val="0"/>
                      <w:color w:val="0000FF"/>
                      <w:sz w:val="21"/>
                      <w:szCs w:val="21"/>
                      <w:highlight w:val="none"/>
                      <w:lang w:val="en-US" w:eastAsia="zh-CN"/>
                    </w:rPr>
                    <w:t>81</w:t>
                  </w:r>
                </w:p>
              </w:tc>
              <w:tc>
                <w:tcPr>
                  <w:tcW w:w="708" w:type="pct"/>
                  <w:tcBorders>
                    <w:tl2br w:val="nil"/>
                    <w:tr2bl w:val="nil"/>
                  </w:tcBorders>
                  <w:noWrap w:val="0"/>
                  <w:vAlign w:val="center"/>
                </w:tcPr>
                <w:p w14:paraId="73ADCF11">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i w:val="0"/>
                      <w:iCs w:val="0"/>
                      <w:color w:val="0000FF"/>
                      <w:sz w:val="21"/>
                      <w:szCs w:val="21"/>
                      <w:highlight w:val="none"/>
                      <w:lang w:val="en-US" w:eastAsia="zh-CN"/>
                    </w:rPr>
                  </w:pPr>
                  <w:r>
                    <w:rPr>
                      <w:rFonts w:hint="default" w:ascii="Times New Roman" w:hAnsi="Times New Roman" w:eastAsia="宋体" w:cs="Times New Roman"/>
                      <w:i w:val="0"/>
                      <w:iCs w:val="0"/>
                      <w:color w:val="0000FF"/>
                      <w:sz w:val="21"/>
                      <w:szCs w:val="21"/>
                      <w:highlight w:val="none"/>
                      <w:lang w:val="en-US" w:eastAsia="zh-CN"/>
                    </w:rPr>
                    <w:t>70</w:t>
                  </w:r>
                </w:p>
              </w:tc>
              <w:tc>
                <w:tcPr>
                  <w:tcW w:w="857" w:type="dxa"/>
                  <w:tcBorders>
                    <w:tl2br w:val="nil"/>
                    <w:tr2bl w:val="nil"/>
                  </w:tcBorders>
                  <w:noWrap w:val="0"/>
                  <w:vAlign w:val="center"/>
                </w:tcPr>
                <w:p w14:paraId="6963AF8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115.71</w:t>
                  </w:r>
                </w:p>
              </w:tc>
              <w:tc>
                <w:tcPr>
                  <w:tcW w:w="576" w:type="pct"/>
                  <w:tcBorders>
                    <w:tl2br w:val="nil"/>
                    <w:tr2bl w:val="nil"/>
                  </w:tcBorders>
                  <w:noWrap w:val="0"/>
                  <w:vAlign w:val="center"/>
                </w:tcPr>
                <w:p w14:paraId="2BD39881">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lang w:eastAsia="zh-CN"/>
                    </w:rPr>
                    <w:t>不</w:t>
                  </w:r>
                  <w:r>
                    <w:rPr>
                      <w:rFonts w:hint="default" w:ascii="Times New Roman" w:hAnsi="Times New Roman" w:eastAsia="宋体" w:cs="Times New Roman"/>
                      <w:bCs/>
                      <w:i w:val="0"/>
                      <w:iCs w:val="0"/>
                      <w:color w:val="0000FF"/>
                      <w:sz w:val="21"/>
                      <w:szCs w:val="21"/>
                      <w:highlight w:val="none"/>
                    </w:rPr>
                    <w:t>达标</w:t>
                  </w:r>
                </w:p>
              </w:tc>
            </w:tr>
            <w:tr w14:paraId="12926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7" w:type="pct"/>
                  <w:tcBorders>
                    <w:tl2br w:val="nil"/>
                    <w:tr2bl w:val="nil"/>
                  </w:tcBorders>
                  <w:noWrap w:val="0"/>
                  <w:vAlign w:val="center"/>
                </w:tcPr>
                <w:p w14:paraId="2C3FDFA1">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rPr>
                    <w:t>CO</w:t>
                  </w:r>
                </w:p>
              </w:tc>
              <w:tc>
                <w:tcPr>
                  <w:tcW w:w="1989" w:type="pct"/>
                  <w:tcBorders>
                    <w:tl2br w:val="nil"/>
                    <w:tr2bl w:val="nil"/>
                  </w:tcBorders>
                  <w:noWrap w:val="0"/>
                  <w:vAlign w:val="center"/>
                </w:tcPr>
                <w:p w14:paraId="07B9965D">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lang w:val="en-US" w:eastAsia="zh-CN"/>
                    </w:rPr>
                  </w:pPr>
                  <w:r>
                    <w:rPr>
                      <w:rFonts w:hint="default" w:ascii="Times New Roman" w:hAnsi="Times New Roman" w:eastAsia="宋体" w:cs="Times New Roman"/>
                      <w:bCs/>
                      <w:i w:val="0"/>
                      <w:iCs w:val="0"/>
                      <w:color w:val="0000FF"/>
                      <w:sz w:val="21"/>
                      <w:szCs w:val="21"/>
                      <w:highlight w:val="none"/>
                      <w:lang w:eastAsia="zh-CN"/>
                    </w:rPr>
                    <w:t>第</w:t>
                  </w:r>
                  <w:r>
                    <w:rPr>
                      <w:rFonts w:hint="default" w:ascii="Times New Roman" w:hAnsi="Times New Roman" w:eastAsia="宋体" w:cs="Times New Roman"/>
                      <w:bCs/>
                      <w:i w:val="0"/>
                      <w:iCs w:val="0"/>
                      <w:color w:val="0000FF"/>
                      <w:sz w:val="21"/>
                      <w:szCs w:val="21"/>
                      <w:highlight w:val="none"/>
                      <w:lang w:val="en-US" w:eastAsia="zh-CN"/>
                    </w:rPr>
                    <w:t>95百分位数日平均质量浓度</w:t>
                  </w:r>
                </w:p>
              </w:tc>
              <w:tc>
                <w:tcPr>
                  <w:tcW w:w="717" w:type="pct"/>
                  <w:tcBorders>
                    <w:tl2br w:val="nil"/>
                    <w:tr2bl w:val="nil"/>
                  </w:tcBorders>
                  <w:noWrap w:val="0"/>
                  <w:vAlign w:val="center"/>
                </w:tcPr>
                <w:p w14:paraId="6F289E61">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lang w:val="en-US" w:eastAsia="zh-CN"/>
                    </w:rPr>
                  </w:pPr>
                  <w:r>
                    <w:rPr>
                      <w:rFonts w:hint="eastAsia" w:ascii="Times New Roman" w:hAnsi="Times New Roman" w:eastAsia="宋体" w:cs="Times New Roman"/>
                      <w:bCs/>
                      <w:i w:val="0"/>
                      <w:iCs w:val="0"/>
                      <w:color w:val="0000FF"/>
                      <w:sz w:val="21"/>
                      <w:szCs w:val="21"/>
                      <w:highlight w:val="none"/>
                      <w:lang w:val="en-US" w:eastAsia="zh-CN"/>
                    </w:rPr>
                    <w:t>1</w:t>
                  </w:r>
                  <w:r>
                    <w:rPr>
                      <w:rFonts w:hint="eastAsia" w:cs="Times New Roman"/>
                      <w:bCs/>
                      <w:i w:val="0"/>
                      <w:iCs w:val="0"/>
                      <w:color w:val="0000FF"/>
                      <w:sz w:val="21"/>
                      <w:szCs w:val="21"/>
                      <w:highlight w:val="none"/>
                      <w:lang w:val="en-US" w:eastAsia="zh-CN"/>
                    </w:rPr>
                    <w:t>900</w:t>
                  </w:r>
                </w:p>
              </w:tc>
              <w:tc>
                <w:tcPr>
                  <w:tcW w:w="708" w:type="pct"/>
                  <w:tcBorders>
                    <w:tl2br w:val="nil"/>
                    <w:tr2bl w:val="nil"/>
                  </w:tcBorders>
                  <w:noWrap w:val="0"/>
                  <w:vAlign w:val="center"/>
                </w:tcPr>
                <w:p w14:paraId="3415D3E5">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i w:val="0"/>
                      <w:iCs w:val="0"/>
                      <w:color w:val="0000FF"/>
                      <w:sz w:val="21"/>
                      <w:szCs w:val="21"/>
                      <w:highlight w:val="none"/>
                      <w:lang w:val="en-US" w:eastAsia="zh-CN"/>
                    </w:rPr>
                  </w:pPr>
                  <w:r>
                    <w:rPr>
                      <w:rFonts w:hint="default" w:ascii="Times New Roman" w:hAnsi="Times New Roman" w:eastAsia="宋体" w:cs="Times New Roman"/>
                      <w:i w:val="0"/>
                      <w:iCs w:val="0"/>
                      <w:color w:val="0000FF"/>
                      <w:sz w:val="21"/>
                      <w:szCs w:val="21"/>
                      <w:highlight w:val="none"/>
                      <w:lang w:val="en-US" w:eastAsia="zh-CN"/>
                    </w:rPr>
                    <w:t>4000</w:t>
                  </w:r>
                </w:p>
              </w:tc>
              <w:tc>
                <w:tcPr>
                  <w:tcW w:w="857" w:type="dxa"/>
                  <w:tcBorders>
                    <w:tl2br w:val="nil"/>
                    <w:tr2bl w:val="nil"/>
                  </w:tcBorders>
                  <w:noWrap w:val="0"/>
                  <w:vAlign w:val="center"/>
                </w:tcPr>
                <w:p w14:paraId="76EFDD0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47.50</w:t>
                  </w:r>
                </w:p>
              </w:tc>
              <w:tc>
                <w:tcPr>
                  <w:tcW w:w="576" w:type="pct"/>
                  <w:tcBorders>
                    <w:tl2br w:val="nil"/>
                    <w:tr2bl w:val="nil"/>
                  </w:tcBorders>
                  <w:noWrap w:val="0"/>
                  <w:vAlign w:val="center"/>
                </w:tcPr>
                <w:p w14:paraId="40FF2E4B">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rPr>
                    <w:t>达标</w:t>
                  </w:r>
                </w:p>
              </w:tc>
            </w:tr>
            <w:tr w14:paraId="02BED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97" w:type="pct"/>
                  <w:tcBorders>
                    <w:tl2br w:val="nil"/>
                    <w:tr2bl w:val="nil"/>
                  </w:tcBorders>
                  <w:noWrap w:val="0"/>
                  <w:vAlign w:val="center"/>
                </w:tcPr>
                <w:p w14:paraId="2509C3A3">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rPr>
                    <w:t>O</w:t>
                  </w:r>
                  <w:r>
                    <w:rPr>
                      <w:rFonts w:hint="default" w:ascii="Times New Roman" w:hAnsi="Times New Roman" w:eastAsia="宋体" w:cs="Times New Roman"/>
                      <w:bCs/>
                      <w:i w:val="0"/>
                      <w:iCs w:val="0"/>
                      <w:color w:val="0000FF"/>
                      <w:sz w:val="21"/>
                      <w:szCs w:val="21"/>
                      <w:highlight w:val="none"/>
                      <w:vertAlign w:val="subscript"/>
                    </w:rPr>
                    <w:t>3</w:t>
                  </w:r>
                </w:p>
              </w:tc>
              <w:tc>
                <w:tcPr>
                  <w:tcW w:w="1989" w:type="pct"/>
                  <w:tcBorders>
                    <w:tl2br w:val="nil"/>
                    <w:tr2bl w:val="nil"/>
                  </w:tcBorders>
                  <w:noWrap w:val="0"/>
                  <w:vAlign w:val="center"/>
                </w:tcPr>
                <w:p w14:paraId="500CE572">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lang w:eastAsia="zh-CN"/>
                    </w:rPr>
                    <w:t>第</w:t>
                  </w:r>
                  <w:r>
                    <w:rPr>
                      <w:rFonts w:hint="default" w:ascii="Times New Roman" w:hAnsi="Times New Roman" w:eastAsia="宋体" w:cs="Times New Roman"/>
                      <w:bCs/>
                      <w:i w:val="0"/>
                      <w:iCs w:val="0"/>
                      <w:color w:val="0000FF"/>
                      <w:sz w:val="21"/>
                      <w:szCs w:val="21"/>
                      <w:highlight w:val="none"/>
                      <w:lang w:val="en-US" w:eastAsia="zh-CN"/>
                    </w:rPr>
                    <w:t>90百分位数8h平均质量浓度</w:t>
                  </w:r>
                </w:p>
              </w:tc>
              <w:tc>
                <w:tcPr>
                  <w:tcW w:w="717" w:type="pct"/>
                  <w:tcBorders>
                    <w:tl2br w:val="nil"/>
                    <w:tr2bl w:val="nil"/>
                  </w:tcBorders>
                  <w:noWrap w:val="0"/>
                  <w:vAlign w:val="center"/>
                </w:tcPr>
                <w:p w14:paraId="281FF9D7">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lang w:val="en-US" w:eastAsia="zh-CN"/>
                    </w:rPr>
                  </w:pPr>
                  <w:r>
                    <w:rPr>
                      <w:rFonts w:hint="eastAsia" w:cs="Times New Roman"/>
                      <w:bCs/>
                      <w:i w:val="0"/>
                      <w:iCs w:val="0"/>
                      <w:color w:val="0000FF"/>
                      <w:sz w:val="21"/>
                      <w:szCs w:val="21"/>
                      <w:highlight w:val="none"/>
                      <w:lang w:val="en-US" w:eastAsia="zh-CN"/>
                    </w:rPr>
                    <w:t>141</w:t>
                  </w:r>
                </w:p>
              </w:tc>
              <w:tc>
                <w:tcPr>
                  <w:tcW w:w="708" w:type="pct"/>
                  <w:tcBorders>
                    <w:tl2br w:val="nil"/>
                    <w:tr2bl w:val="nil"/>
                  </w:tcBorders>
                  <w:noWrap w:val="0"/>
                  <w:vAlign w:val="center"/>
                </w:tcPr>
                <w:p w14:paraId="03424F38">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i w:val="0"/>
                      <w:iCs w:val="0"/>
                      <w:color w:val="0000FF"/>
                      <w:sz w:val="21"/>
                      <w:szCs w:val="21"/>
                      <w:highlight w:val="none"/>
                      <w:lang w:val="en-US" w:eastAsia="zh-CN"/>
                    </w:rPr>
                  </w:pPr>
                  <w:r>
                    <w:rPr>
                      <w:rFonts w:hint="default" w:ascii="Times New Roman" w:hAnsi="Times New Roman" w:eastAsia="宋体" w:cs="Times New Roman"/>
                      <w:i w:val="0"/>
                      <w:iCs w:val="0"/>
                      <w:color w:val="0000FF"/>
                      <w:sz w:val="21"/>
                      <w:szCs w:val="21"/>
                      <w:highlight w:val="none"/>
                      <w:lang w:val="en-US" w:eastAsia="zh-CN"/>
                    </w:rPr>
                    <w:t>160</w:t>
                  </w:r>
                </w:p>
              </w:tc>
              <w:tc>
                <w:tcPr>
                  <w:tcW w:w="857" w:type="dxa"/>
                  <w:tcBorders>
                    <w:tl2br w:val="nil"/>
                    <w:tr2bl w:val="nil"/>
                  </w:tcBorders>
                  <w:noWrap w:val="0"/>
                  <w:vAlign w:val="center"/>
                </w:tcPr>
                <w:p w14:paraId="567CAC9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88.13</w:t>
                  </w:r>
                </w:p>
              </w:tc>
              <w:tc>
                <w:tcPr>
                  <w:tcW w:w="576" w:type="pct"/>
                  <w:tcBorders>
                    <w:tl2br w:val="nil"/>
                    <w:tr2bl w:val="nil"/>
                  </w:tcBorders>
                  <w:noWrap w:val="0"/>
                  <w:vAlign w:val="center"/>
                </w:tcPr>
                <w:p w14:paraId="595D9864">
                  <w:pPr>
                    <w:keepNext w:val="0"/>
                    <w:keepLines w:val="0"/>
                    <w:pageBreakBefore w:val="0"/>
                    <w:widowControl w:val="0"/>
                    <w:kinsoku/>
                    <w:wordWrap/>
                    <w:overflowPunct w:val="0"/>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Cs/>
                      <w:i w:val="0"/>
                      <w:iCs w:val="0"/>
                      <w:color w:val="0000FF"/>
                      <w:sz w:val="21"/>
                      <w:szCs w:val="21"/>
                      <w:highlight w:val="none"/>
                    </w:rPr>
                  </w:pPr>
                  <w:r>
                    <w:rPr>
                      <w:rFonts w:hint="default" w:ascii="Times New Roman" w:hAnsi="Times New Roman" w:eastAsia="宋体" w:cs="Times New Roman"/>
                      <w:bCs/>
                      <w:i w:val="0"/>
                      <w:iCs w:val="0"/>
                      <w:color w:val="0000FF"/>
                      <w:sz w:val="21"/>
                      <w:szCs w:val="21"/>
                      <w:highlight w:val="none"/>
                    </w:rPr>
                    <w:t>达标</w:t>
                  </w:r>
                </w:p>
              </w:tc>
            </w:tr>
          </w:tbl>
          <w:p w14:paraId="6AFF6656">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i w:val="0"/>
                <w:iCs w:val="0"/>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从表</w:t>
            </w:r>
            <w:r>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的分析结果可知，</w:t>
            </w:r>
            <w:r>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项目所在区域空气质量现状评价指标中SO</w:t>
            </w:r>
            <w:r>
              <w:rPr>
                <w:rFonts w:hint="default" w:ascii="Times New Roman" w:hAnsi="Times New Roman" w:eastAsia="宋体" w:cs="Times New Roman"/>
                <w:i w:val="0"/>
                <w:iCs w:val="0"/>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i w:val="0"/>
                <w:iCs w:val="0"/>
                <w:color w:val="000000" w:themeColor="text1"/>
                <w:sz w:val="24"/>
                <w:szCs w:val="24"/>
                <w:highlight w:val="none"/>
                <w14:textFill>
                  <w14:solidFill>
                    <w14:schemeClr w14:val="tx1"/>
                  </w14:solidFill>
                </w14:textFill>
              </w:rPr>
              <w:t>NO</w:t>
            </w:r>
            <w:r>
              <w:rPr>
                <w:rFonts w:hint="default" w:ascii="Times New Roman" w:hAnsi="Times New Roman" w:eastAsia="宋体" w:cs="Times New Roman"/>
                <w:bCs/>
                <w:i w:val="0"/>
                <w:iCs w:val="0"/>
                <w:color w:val="000000" w:themeColor="text1"/>
                <w:sz w:val="24"/>
                <w:szCs w:val="24"/>
                <w:highlight w:val="none"/>
                <w:vertAlign w:val="subscript"/>
                <w14:textFill>
                  <w14:solidFill>
                    <w14:schemeClr w14:val="tx1"/>
                  </w14:solidFill>
                </w14:textFill>
              </w:rPr>
              <w:t>2</w:t>
            </w:r>
            <w:r>
              <w:rPr>
                <w:rFonts w:hint="eastAsia" w:ascii="Times New Roman" w:hAnsi="Times New Roman" w:eastAsia="宋体" w:cs="Times New Roman"/>
                <w:bCs/>
                <w:i w:val="0"/>
                <w:iCs w:val="0"/>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的</w:t>
            </w:r>
            <w:r>
              <w:rPr>
                <w:rFonts w:hint="default" w:ascii="Times New Roman" w:hAnsi="Times New Roman" w:eastAsia="宋体" w:cs="Times New Roman"/>
                <w:i w:val="0"/>
                <w:iCs w:val="0"/>
                <w:color w:val="000000" w:themeColor="text1"/>
                <w:sz w:val="24"/>
                <w:szCs w:val="24"/>
                <w:highlight w:val="none"/>
                <w:lang w:eastAsia="zh-CN"/>
                <w14:textFill>
                  <w14:solidFill>
                    <w14:schemeClr w14:val="tx1"/>
                  </w14:solidFill>
                </w14:textFill>
              </w:rPr>
              <w:t>年均浓度，</w:t>
            </w:r>
            <w:r>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CO、</w:t>
            </w:r>
            <w:r>
              <w:rPr>
                <w:rFonts w:hint="default" w:ascii="Times New Roman" w:hAnsi="Times New Roman" w:eastAsia="宋体" w:cs="Times New Roman"/>
                <w:bCs/>
                <w:i w:val="0"/>
                <w:iCs w:val="0"/>
                <w:color w:val="000000" w:themeColor="text1"/>
                <w:sz w:val="24"/>
                <w:szCs w:val="24"/>
                <w:highlight w:val="none"/>
                <w14:textFill>
                  <w14:solidFill>
                    <w14:schemeClr w14:val="tx1"/>
                  </w14:solidFill>
                </w14:textFill>
              </w:rPr>
              <w:t>O</w:t>
            </w:r>
            <w:r>
              <w:rPr>
                <w:rFonts w:hint="default" w:ascii="Times New Roman" w:hAnsi="Times New Roman" w:eastAsia="宋体" w:cs="Times New Roman"/>
                <w:bCs/>
                <w:i w:val="0"/>
                <w:iCs w:val="0"/>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bCs/>
                <w:i w:val="0"/>
                <w:iCs w:val="0"/>
                <w:color w:val="000000" w:themeColor="text1"/>
                <w:sz w:val="24"/>
                <w:szCs w:val="24"/>
                <w:highlight w:val="none"/>
                <w:vertAlign w:val="baseline"/>
                <w:lang w:eastAsia="zh-CN"/>
                <w14:textFill>
                  <w14:solidFill>
                    <w14:schemeClr w14:val="tx1"/>
                  </w14:solidFill>
                </w14:textFill>
              </w:rPr>
              <w:t>的相应百分位数</w:t>
            </w:r>
            <w:r>
              <w:rPr>
                <w:rFonts w:hint="default" w:ascii="Times New Roman" w:hAnsi="Times New Roman" w:eastAsia="宋体" w:cs="Times New Roman"/>
                <w:bCs/>
                <w:i w:val="0"/>
                <w:iCs w:val="0"/>
                <w:color w:val="000000" w:themeColor="text1"/>
                <w:sz w:val="24"/>
                <w:szCs w:val="24"/>
                <w:highlight w:val="none"/>
                <w:vertAlign w:val="baseline"/>
                <w:lang w:val="en-US" w:eastAsia="zh-CN"/>
                <w14:textFill>
                  <w14:solidFill>
                    <w14:schemeClr w14:val="tx1"/>
                  </w14:solidFill>
                </w14:textFill>
              </w:rPr>
              <w:t>24h平均或8h平均质量浓度</w:t>
            </w: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能满足《环境空气质量</w:t>
            </w:r>
            <w:r>
              <w:rPr>
                <w:rFonts w:hint="eastAsia" w:cs="Times New Roman"/>
                <w:i w:val="0"/>
                <w:iCs w:val="0"/>
                <w:color w:val="000000" w:themeColor="text1"/>
                <w:sz w:val="24"/>
                <w:szCs w:val="24"/>
                <w:highlight w:val="none"/>
                <w:lang w:val="en-US" w:eastAsia="zh-CN"/>
                <w14:textFill>
                  <w14:solidFill>
                    <w14:schemeClr w14:val="tx1"/>
                  </w14:solidFill>
                </w14:textFill>
              </w:rPr>
              <w:t>标准</w:t>
            </w: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》（GB3095-2012）中二级标准要求，</w:t>
            </w:r>
            <w:r>
              <w:rPr>
                <w:rFonts w:hint="eastAsia" w:ascii="Times New Roman" w:hAnsi="Times New Roman" w:eastAsia="宋体" w:cs="Times New Roman"/>
                <w:bCs/>
                <w:i w:val="0"/>
                <w:iCs w:val="0"/>
                <w:color w:val="000000" w:themeColor="text1"/>
                <w:sz w:val="24"/>
                <w:szCs w:val="24"/>
                <w:highlight w:val="none"/>
                <w:vertAlign w:val="baseline"/>
                <w:lang w:val="en-US" w:eastAsia="zh-CN"/>
                <w14:textFill>
                  <w14:solidFill>
                    <w14:schemeClr w14:val="tx1"/>
                  </w14:solidFill>
                </w14:textFill>
              </w:rPr>
              <w:t>PM</w:t>
            </w:r>
            <w:r>
              <w:rPr>
                <w:rFonts w:hint="eastAsia" w:ascii="Times New Roman" w:hAnsi="Times New Roman" w:eastAsia="宋体" w:cs="Times New Roman"/>
                <w:bCs/>
                <w:i w:val="0"/>
                <w:iCs w:val="0"/>
                <w:color w:val="000000" w:themeColor="text1"/>
                <w:sz w:val="24"/>
                <w:szCs w:val="24"/>
                <w:highlight w:val="none"/>
                <w:vertAlign w:val="subscript"/>
                <w:lang w:val="en-US" w:eastAsia="zh-CN"/>
                <w14:textFill>
                  <w14:solidFill>
                    <w14:schemeClr w14:val="tx1"/>
                  </w14:solidFill>
                </w14:textFill>
              </w:rPr>
              <w:t>2.5</w:t>
            </w:r>
            <w:r>
              <w:rPr>
                <w:rFonts w:hint="eastAsia" w:ascii="Times New Roman" w:hAnsi="Times New Roman" w:eastAsia="宋体" w:cs="Times New Roman"/>
                <w:bCs/>
                <w:i w:val="0"/>
                <w:i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PM</w:t>
            </w:r>
            <w:r>
              <w:rPr>
                <w:rFonts w:hint="default" w:ascii="Times New Roman" w:hAnsi="Times New Roman" w:eastAsia="宋体" w:cs="Times New Roman"/>
                <w:i w:val="0"/>
                <w:iCs w:val="0"/>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i w:val="0"/>
                <w:iCs w:val="0"/>
                <w:color w:val="000000" w:themeColor="text1"/>
                <w:sz w:val="24"/>
                <w:szCs w:val="24"/>
                <w:highlight w:val="none"/>
                <w:lang w:eastAsia="zh-CN"/>
                <w14:textFill>
                  <w14:solidFill>
                    <w14:schemeClr w14:val="tx1"/>
                  </w14:solidFill>
                </w14:textFill>
              </w:rPr>
              <w:t>年均浓度</w:t>
            </w: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不能满足《环境空气质量</w:t>
            </w:r>
            <w:r>
              <w:rPr>
                <w:rFonts w:hint="eastAsia" w:cs="Times New Roman"/>
                <w:i w:val="0"/>
                <w:iCs w:val="0"/>
                <w:color w:val="000000" w:themeColor="text1"/>
                <w:sz w:val="24"/>
                <w:szCs w:val="24"/>
                <w:highlight w:val="none"/>
                <w:lang w:val="en-US" w:eastAsia="zh-CN"/>
                <w14:textFill>
                  <w14:solidFill>
                    <w14:schemeClr w14:val="tx1"/>
                  </w14:solidFill>
                </w14:textFill>
              </w:rPr>
              <w:t>标准</w:t>
            </w: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》（GB3095-2012）中二级标准要求，本项目所在区域为</w:t>
            </w:r>
            <w:r>
              <w:rPr>
                <w:rFonts w:hint="eastAsia" w:cs="Times New Roman"/>
                <w:i w:val="0"/>
                <w:iCs w:val="0"/>
                <w:color w:val="000000" w:themeColor="text1"/>
                <w:sz w:val="24"/>
                <w:szCs w:val="24"/>
                <w:highlight w:val="none"/>
                <w:lang w:eastAsia="zh-CN"/>
                <w14:textFill>
                  <w14:solidFill>
                    <w14:schemeClr w14:val="tx1"/>
                  </w14:solidFill>
                </w14:textFill>
              </w:rPr>
              <w:t>不</w:t>
            </w: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达标区</w:t>
            </w:r>
            <w:r>
              <w:rPr>
                <w:rFonts w:hint="default" w:ascii="Times New Roman" w:hAnsi="Times New Roman" w:eastAsia="宋体" w:cs="Times New Roman"/>
                <w:i w:val="0"/>
                <w:iCs w:val="0"/>
                <w:color w:val="000000" w:themeColor="text1"/>
                <w:kern w:val="2"/>
                <w:sz w:val="24"/>
                <w:szCs w:val="24"/>
                <w:lang w:val="en-US" w:eastAsia="zh-CN" w:bidi="ar"/>
                <w14:textFill>
                  <w14:solidFill>
                    <w14:schemeClr w14:val="tx1"/>
                  </w14:solidFill>
                </w14:textFill>
              </w:rPr>
              <w:t>。</w:t>
            </w:r>
            <w:bookmarkEnd w:id="2"/>
            <w:bookmarkEnd w:id="3"/>
          </w:p>
          <w:p w14:paraId="3071901A">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特征项目补充调查与评价</w:t>
            </w:r>
          </w:p>
          <w:p w14:paraId="5548FF87">
            <w:pPr>
              <w:pStyle w:val="101"/>
              <w:keepNext w:val="0"/>
              <w:keepLines w:val="0"/>
              <w:pageBreakBefore w:val="0"/>
              <w:widowControl w:val="0"/>
              <w:kinsoku/>
              <w:wordWrap/>
              <w:overflowPunct/>
              <w:topLinePunct w:val="0"/>
              <w:autoSpaceDE/>
              <w:autoSpaceDN/>
              <w:bidi w:val="0"/>
              <w:adjustRightInd w:val="0"/>
              <w:snapToGrid w:val="0"/>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本次评价引用新疆正天华能环境工程技术有限公司2024年</w:t>
            </w:r>
            <w:r>
              <w:rPr>
                <w:rFonts w:hint="eastAsia"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月</w:t>
            </w:r>
            <w:r>
              <w:rPr>
                <w:rFonts w:hint="eastAsia" w:cs="Times New Roman"/>
                <w:b w:val="0"/>
                <w:bCs w:val="0"/>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日-</w:t>
            </w:r>
            <w:r>
              <w:rPr>
                <w:rFonts w:hint="eastAsia"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月</w:t>
            </w:r>
            <w:r>
              <w:rPr>
                <w:rFonts w:hint="eastAsia" w:cs="Times New Roman"/>
                <w:b w:val="0"/>
                <w:bCs w:val="0"/>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日对《玛纳斯隆盛达玉都氢能科技有限公司玉都综合能源站建设项目》项目区内的非甲烷总烃监测点的监测数据，引用的监测点位于本项目区</w:t>
            </w:r>
            <w:r>
              <w:rPr>
                <w:rFonts w:hint="eastAsia" w:cs="Times New Roman"/>
                <w:b w:val="0"/>
                <w:bCs w:val="0"/>
                <w:color w:val="000000" w:themeColor="text1"/>
                <w:sz w:val="24"/>
                <w:szCs w:val="24"/>
                <w:highlight w:val="none"/>
                <w:lang w:val="en-US" w:eastAsia="zh-CN"/>
                <w14:textFill>
                  <w14:solidFill>
                    <w14:schemeClr w14:val="tx1"/>
                  </w14:solidFill>
                </w14:textFill>
              </w:rPr>
              <w:t>东</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侧</w:t>
            </w:r>
            <w:r>
              <w:rPr>
                <w:rFonts w:hint="eastAsia" w:cs="Times New Roman"/>
                <w:b w:val="0"/>
                <w:bCs w:val="0"/>
                <w:color w:val="000000" w:themeColor="text1"/>
                <w:sz w:val="24"/>
                <w:szCs w:val="24"/>
                <w:highlight w:val="none"/>
                <w:lang w:val="en-US" w:eastAsia="zh-CN"/>
                <w14:textFill>
                  <w14:solidFill>
                    <w14:schemeClr w14:val="tx1"/>
                  </w14:solidFill>
                </w14:textFill>
              </w:rPr>
              <w:t>2.2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km处，引用数据监测时间及与项目区距离均符合《建设项目环境影响报告表编制技术指南（污染影响类）（试行）》中“引用建设项目周边5000m范围内近3年的现有监测数据”的要求，因此，可代表项目所在区域内非甲烷总烃监测数据，具体见附图6 监测点位示意图</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0A87FD68">
            <w:pPr>
              <w:pStyle w:val="101"/>
              <w:keepNext w:val="0"/>
              <w:keepLines w:val="0"/>
              <w:pageBreakBefore w:val="0"/>
              <w:widowControl w:val="0"/>
              <w:kinsoku/>
              <w:wordWrap/>
              <w:overflowPunct/>
              <w:topLinePunct w:val="0"/>
              <w:autoSpaceDE/>
              <w:autoSpaceDN/>
              <w:bidi w:val="0"/>
              <w:adjustRightInd w:val="0"/>
              <w:snapToGrid w:val="0"/>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监测项目、监测时间、监测频率及监测布点</w:t>
            </w:r>
          </w:p>
          <w:p w14:paraId="5A7ACA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监测项目：</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6B71FD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bookmarkStart w:id="4" w:name="_Toc20872"/>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监测时间</w:t>
            </w:r>
            <w:bookmarkEnd w:id="4"/>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2024年</w:t>
            </w:r>
            <w:r>
              <w:rPr>
                <w:rFonts w:hint="eastAsia"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月</w:t>
            </w:r>
            <w:r>
              <w:rPr>
                <w:rFonts w:hint="eastAsia" w:cs="Times New Roman"/>
                <w:b w:val="0"/>
                <w:bCs w:val="0"/>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日-</w:t>
            </w:r>
            <w:r>
              <w:rPr>
                <w:rFonts w:hint="eastAsia"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月</w:t>
            </w:r>
            <w:r>
              <w:rPr>
                <w:rFonts w:hint="eastAsia" w:cs="Times New Roman"/>
                <w:b w:val="0"/>
                <w:bCs w:val="0"/>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6BD812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监测频率：监测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天</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每天4次</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4BEF34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kern w:val="44"/>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44"/>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44"/>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44"/>
                <w:sz w:val="24"/>
                <w:szCs w:val="24"/>
                <w:highlight w:val="none"/>
                <w14:textFill>
                  <w14:solidFill>
                    <w14:schemeClr w14:val="tx1"/>
                  </w14:solidFill>
                </w14:textFill>
              </w:rPr>
              <w:t>）评价标准</w:t>
            </w:r>
          </w:p>
          <w:p w14:paraId="121F253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kern w:val="44"/>
                <w:sz w:val="24"/>
                <w:szCs w:val="24"/>
                <w:highlight w:val="none"/>
                <w14:textFill>
                  <w14:solidFill>
                    <w14:schemeClr w14:val="tx1"/>
                  </w14:solidFill>
                </w14:textFill>
              </w:rPr>
            </w:pPr>
            <w:r>
              <w:rPr>
                <w:rFonts w:hint="default"/>
                <w:color w:val="000000" w:themeColor="text1"/>
                <w:kern w:val="24"/>
                <w:sz w:val="24"/>
                <w:szCs w:val="24"/>
                <w:highlight w:val="none"/>
                <w14:textFill>
                  <w14:solidFill>
                    <w14:schemeClr w14:val="tx1"/>
                  </w14:solidFill>
                </w14:textFill>
              </w:rPr>
              <w:t>非甲烷总烃取《大气污染物综合排放标准详解》限值2.0mg/m</w:t>
            </w:r>
            <w:r>
              <w:rPr>
                <w:rFonts w:hint="default"/>
                <w:color w:val="000000" w:themeColor="text1"/>
                <w:kern w:val="24"/>
                <w:sz w:val="24"/>
                <w:szCs w:val="24"/>
                <w:highlight w:val="none"/>
                <w:vertAlign w:val="superscript"/>
                <w14:textFill>
                  <w14:solidFill>
                    <w14:schemeClr w14:val="tx1"/>
                  </w14:solidFill>
                </w14:textFill>
              </w:rPr>
              <w:t>3</w:t>
            </w:r>
            <w:r>
              <w:rPr>
                <w:rFonts w:hint="default"/>
                <w:color w:val="000000" w:themeColor="text1"/>
                <w:kern w:val="24"/>
                <w:sz w:val="24"/>
                <w:szCs w:val="24"/>
                <w:highlight w:val="none"/>
                <w14:textFill>
                  <w14:solidFill>
                    <w14:schemeClr w14:val="tx1"/>
                  </w14:solidFill>
                </w14:textFill>
              </w:rPr>
              <w:t>作为评价标准。</w:t>
            </w:r>
          </w:p>
          <w:p w14:paraId="0C4642E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44"/>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44"/>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44"/>
                <w:sz w:val="24"/>
                <w:szCs w:val="24"/>
                <w:highlight w:val="none"/>
                <w14:textFill>
                  <w14:solidFill>
                    <w14:schemeClr w14:val="tx1"/>
                  </w14:solidFill>
                </w14:textFill>
              </w:rPr>
              <w:t>）评价方法</w:t>
            </w:r>
          </w:p>
          <w:p w14:paraId="416477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评价方法：采用单因子污染指数法，其单项参数i在第j点的标准指数为：</w:t>
            </w:r>
          </w:p>
          <w:p w14:paraId="12B823E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14"/>
                <w:sz w:val="24"/>
                <w:szCs w:val="24"/>
                <w:highlight w:val="none"/>
                <w14:textFill>
                  <w14:solidFill>
                    <w14:schemeClr w14:val="tx1"/>
                  </w14:solidFill>
                </w14:textFill>
              </w:rPr>
              <w:object>
                <v:shape id="_x0000_i1025" o:spt="75" type="#_x0000_t75" style="height:20.6pt;width:80.55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p>
          <w:p w14:paraId="344D93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式中：S</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i</w:t>
            </w:r>
            <w:r>
              <w:rPr>
                <w:rFonts w:hint="eastAsia" w:ascii="Times New Roman" w:hAnsi="Times New Roman" w:eastAsia="宋体" w:cs="Times New Roman"/>
                <w:color w:val="000000" w:themeColor="text1"/>
                <w:sz w:val="24"/>
                <w:szCs w:val="24"/>
                <w:highlight w:val="none"/>
                <w:vertAlign w:val="subscript"/>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j</w:t>
            </w:r>
            <w:r>
              <w:rPr>
                <w:rFonts w:hint="default" w:ascii="Times New Roman" w:hAnsi="Times New Roman" w:eastAsia="宋体" w:cs="Times New Roman"/>
                <w:color w:val="000000" w:themeColor="text1"/>
                <w:sz w:val="24"/>
                <w:szCs w:val="24"/>
                <w:highlight w:val="none"/>
                <w14:textFill>
                  <w14:solidFill>
                    <w14:schemeClr w14:val="tx1"/>
                  </w14:solidFill>
                </w14:textFill>
              </w:rPr>
              <w:t>——单项标准指数；</w:t>
            </w:r>
          </w:p>
          <w:p w14:paraId="48B076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i</w:t>
            </w:r>
            <w:r>
              <w:rPr>
                <w:rFonts w:hint="eastAsia" w:ascii="Times New Roman" w:hAnsi="Times New Roman" w:eastAsia="宋体" w:cs="Times New Roman"/>
                <w:color w:val="000000" w:themeColor="text1"/>
                <w:sz w:val="24"/>
                <w:szCs w:val="24"/>
                <w:highlight w:val="none"/>
                <w:vertAlign w:val="subscript"/>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j</w:t>
            </w:r>
            <w:r>
              <w:rPr>
                <w:rFonts w:hint="default" w:ascii="Times New Roman" w:hAnsi="Times New Roman" w:eastAsia="宋体" w:cs="Times New Roman"/>
                <w:color w:val="000000" w:themeColor="text1"/>
                <w:sz w:val="24"/>
                <w:szCs w:val="24"/>
                <w:highlight w:val="none"/>
                <w14:textFill>
                  <w14:solidFill>
                    <w14:schemeClr w14:val="tx1"/>
                  </w14:solidFill>
                </w14:textFill>
              </w:rPr>
              <w:t>——实测值；</w:t>
            </w:r>
          </w:p>
          <w:p w14:paraId="3544D4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left"/>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s</w:t>
            </w:r>
            <w:r>
              <w:rPr>
                <w:rFonts w:hint="eastAsia" w:ascii="Times New Roman" w:hAnsi="Times New Roman" w:eastAsia="宋体" w:cs="Times New Roman"/>
                <w:color w:val="000000" w:themeColor="text1"/>
                <w:sz w:val="24"/>
                <w:szCs w:val="24"/>
                <w:highlight w:val="none"/>
                <w:vertAlign w:val="subscript"/>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j</w:t>
            </w:r>
            <w:r>
              <w:rPr>
                <w:rFonts w:hint="default" w:ascii="Times New Roman" w:hAnsi="Times New Roman" w:eastAsia="宋体" w:cs="Times New Roman"/>
                <w:color w:val="000000" w:themeColor="text1"/>
                <w:sz w:val="24"/>
                <w:szCs w:val="24"/>
                <w:highlight w:val="none"/>
                <w14:textFill>
                  <w14:solidFill>
                    <w14:schemeClr w14:val="tx1"/>
                  </w14:solidFill>
                </w14:textFill>
              </w:rPr>
              <w:t>——项目评价标准。</w:t>
            </w:r>
          </w:p>
          <w:p w14:paraId="37F45D6F">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kern w:val="44"/>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44"/>
                <w:sz w:val="24"/>
                <w:szCs w:val="24"/>
                <w:highlight w:val="none"/>
                <w14:textFill>
                  <w14:solidFill>
                    <w14:schemeClr w14:val="tx1"/>
                  </w14:solidFill>
                </w14:textFill>
              </w:rPr>
              <w:t>检测结果</w:t>
            </w:r>
          </w:p>
          <w:p w14:paraId="0B1DDE59">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根据评价计算结果，得出各单项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占标率</w:t>
            </w:r>
            <w:r>
              <w:rPr>
                <w:rFonts w:hint="default" w:ascii="Times New Roman" w:hAnsi="Times New Roman" w:eastAsia="宋体" w:cs="Times New Roman"/>
                <w:color w:val="000000" w:themeColor="text1"/>
                <w:sz w:val="24"/>
                <w:szCs w:val="24"/>
                <w:highlight w:val="none"/>
                <w14:textFill>
                  <w14:solidFill>
                    <w14:schemeClr w14:val="tx1"/>
                  </w14:solidFill>
                </w14:textFill>
              </w:rPr>
              <w:t>，分别确定其污染程度。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highlight w:val="none"/>
                <w14:textFill>
                  <w14:solidFill>
                    <w14:schemeClr w14:val="tx1"/>
                  </w14:solidFill>
                </w14:textFill>
              </w:rPr>
              <w:t>现状监测及评价结果统计详见表3-3。</w:t>
            </w:r>
          </w:p>
          <w:p w14:paraId="5DFE3D8F">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3-3</w:t>
            </w:r>
            <w:r>
              <w:rPr>
                <w:rFonts w:hint="default" w:ascii="Times New Roman" w:hAnsi="Times New Roman" w:eastAsia="宋体" w:cs="Times New Roman"/>
                <w:b/>
                <w:color w:val="000000" w:themeColor="text1"/>
                <w:sz w:val="21"/>
                <w:szCs w:val="21"/>
                <w:highlight w:val="none"/>
                <w14:textFill>
                  <w14:solidFill>
                    <w14:schemeClr w14:val="tx1"/>
                  </w14:solidFill>
                </w14:textFill>
              </w:rPr>
              <w:t xml:space="preserve">  区域环境空气质量评价结果统计表</w:t>
            </w:r>
          </w:p>
          <w:tbl>
            <w:tblPr>
              <w:tblStyle w:val="3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307"/>
              <w:gridCol w:w="1285"/>
              <w:gridCol w:w="2531"/>
              <w:gridCol w:w="1263"/>
            </w:tblGrid>
            <w:tr w14:paraId="633BCB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1971" w:type="pct"/>
                  <w:tcBorders>
                    <w:tl2br w:val="nil"/>
                    <w:tr2bl w:val="nil"/>
                  </w:tcBorders>
                  <w:noWrap w:val="0"/>
                  <w:vAlign w:val="center"/>
                </w:tcPr>
                <w:p w14:paraId="64EF9DFE">
                  <w:pPr>
                    <w:pStyle w:val="102"/>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监测位置</w:t>
                  </w:r>
                </w:p>
              </w:tc>
              <w:tc>
                <w:tcPr>
                  <w:tcW w:w="766" w:type="pct"/>
                  <w:tcBorders>
                    <w:tl2br w:val="nil"/>
                    <w:tr2bl w:val="nil"/>
                  </w:tcBorders>
                  <w:noWrap w:val="0"/>
                  <w:vAlign w:val="center"/>
                </w:tcPr>
                <w:p w14:paraId="2697B733">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监测时间</w:t>
                  </w:r>
                </w:p>
              </w:tc>
              <w:tc>
                <w:tcPr>
                  <w:tcW w:w="1509" w:type="pct"/>
                  <w:tcBorders>
                    <w:tl2br w:val="nil"/>
                    <w:tr2bl w:val="nil"/>
                  </w:tcBorders>
                  <w:noWrap w:val="0"/>
                  <w:vAlign w:val="center"/>
                </w:tcPr>
                <w:p w14:paraId="1194A1EF">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非甲烷总烃</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752" w:type="pct"/>
                  <w:tcBorders>
                    <w:tl2br w:val="nil"/>
                    <w:tr2bl w:val="nil"/>
                  </w:tcBorders>
                  <w:noWrap w:val="0"/>
                  <w:vAlign w:val="center"/>
                </w:tcPr>
                <w:p w14:paraId="680F90DE">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污染指数</w:t>
                  </w:r>
                </w:p>
              </w:tc>
            </w:tr>
            <w:tr w14:paraId="16E874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971" w:type="pct"/>
                  <w:vMerge w:val="restart"/>
                  <w:tcBorders>
                    <w:tl2br w:val="nil"/>
                    <w:tr2bl w:val="nil"/>
                  </w:tcBorders>
                  <w:noWrap w:val="0"/>
                  <w:vAlign w:val="center"/>
                </w:tcPr>
                <w:p w14:paraId="3FB25FE4">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距离本</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项目区</w:t>
                  </w:r>
                  <w:r>
                    <w:rPr>
                      <w:rFonts w:hint="eastAsia" w:cs="Times New Roman"/>
                      <w:color w:val="000000" w:themeColor="text1"/>
                      <w:sz w:val="21"/>
                      <w:szCs w:val="21"/>
                      <w:highlight w:val="none"/>
                      <w:lang w:val="en-US" w:eastAsia="zh-CN"/>
                      <w14:textFill>
                        <w14:solidFill>
                          <w14:schemeClr w14:val="tx1"/>
                        </w14:solidFill>
                      </w14:textFill>
                    </w:rPr>
                    <w:t>东侧2.2km处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下风向</w:t>
                  </w:r>
                </w:p>
              </w:tc>
              <w:tc>
                <w:tcPr>
                  <w:tcW w:w="766" w:type="pct"/>
                  <w:tcBorders>
                    <w:tl2br w:val="nil"/>
                    <w:tr2bl w:val="nil"/>
                  </w:tcBorders>
                  <w:noWrap w:val="0"/>
                  <w:vAlign w:val="center"/>
                </w:tcPr>
                <w:p w14:paraId="4445922D">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1509" w:type="pct"/>
                  <w:tcBorders>
                    <w:tl2br w:val="nil"/>
                    <w:tr2bl w:val="nil"/>
                  </w:tcBorders>
                  <w:noWrap w:val="0"/>
                  <w:vAlign w:val="center"/>
                </w:tcPr>
                <w:p w14:paraId="1700752E">
                  <w:pPr>
                    <w:keepNext w:val="0"/>
                    <w:keepLines w:val="0"/>
                    <w:pageBreakBefore w:val="0"/>
                    <w:widowControl w:val="0"/>
                    <w:suppressLineNumbers w:val="0"/>
                    <w:wordWrap/>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08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17</w:t>
                  </w:r>
                </w:p>
              </w:tc>
              <w:tc>
                <w:tcPr>
                  <w:tcW w:w="752" w:type="pct"/>
                  <w:tcBorders>
                    <w:tl2br w:val="nil"/>
                    <w:tr2bl w:val="nil"/>
                  </w:tcBorders>
                  <w:noWrap w:val="0"/>
                  <w:vAlign w:val="center"/>
                </w:tcPr>
                <w:p w14:paraId="568EFC95">
                  <w:pPr>
                    <w:keepNext w:val="0"/>
                    <w:keepLines w:val="0"/>
                    <w:pageBreakBefore w:val="0"/>
                    <w:widowControl w:val="0"/>
                    <w:suppressLineNumbers w:val="0"/>
                    <w:wordWrap/>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040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085</w:t>
                  </w:r>
                </w:p>
              </w:tc>
            </w:tr>
            <w:tr w14:paraId="20CBF4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971" w:type="pct"/>
                  <w:vMerge w:val="continue"/>
                  <w:tcBorders>
                    <w:tl2br w:val="nil"/>
                    <w:tr2bl w:val="nil"/>
                  </w:tcBorders>
                  <w:noWrap w:val="0"/>
                  <w:vAlign w:val="center"/>
                </w:tcPr>
                <w:p w14:paraId="5E486971">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66" w:type="pct"/>
                  <w:tcBorders>
                    <w:tl2br w:val="nil"/>
                    <w:tr2bl w:val="nil"/>
                  </w:tcBorders>
                  <w:noWrap w:val="0"/>
                  <w:vAlign w:val="center"/>
                </w:tcPr>
                <w:p w14:paraId="39B072C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1509" w:type="pct"/>
                  <w:tcBorders>
                    <w:tl2br w:val="nil"/>
                    <w:tr2bl w:val="nil"/>
                  </w:tcBorders>
                  <w:noWrap w:val="0"/>
                  <w:vAlign w:val="center"/>
                </w:tcPr>
                <w:p w14:paraId="68F2E13D">
                  <w:pPr>
                    <w:keepNext w:val="0"/>
                    <w:keepLines w:val="0"/>
                    <w:pageBreakBefore w:val="0"/>
                    <w:widowControl w:val="0"/>
                    <w:suppressLineNumbers w:val="0"/>
                    <w:wordWrap/>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0.11-0.24</w:t>
                  </w:r>
                </w:p>
              </w:tc>
              <w:tc>
                <w:tcPr>
                  <w:tcW w:w="752" w:type="pct"/>
                  <w:tcBorders>
                    <w:tl2br w:val="nil"/>
                    <w:tr2bl w:val="nil"/>
                  </w:tcBorders>
                  <w:noWrap w:val="0"/>
                  <w:vAlign w:val="center"/>
                </w:tcPr>
                <w:p w14:paraId="57ABC29F">
                  <w:pPr>
                    <w:keepNext w:val="0"/>
                    <w:keepLines w:val="0"/>
                    <w:pageBreakBefore w:val="0"/>
                    <w:widowControl w:val="0"/>
                    <w:suppressLineNumbers w:val="0"/>
                    <w:wordWrap/>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0.055-0.120</w:t>
                  </w:r>
                </w:p>
              </w:tc>
            </w:tr>
            <w:tr w14:paraId="152EE0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971" w:type="pct"/>
                  <w:vMerge w:val="continue"/>
                  <w:tcBorders>
                    <w:tl2br w:val="nil"/>
                    <w:tr2bl w:val="nil"/>
                  </w:tcBorders>
                  <w:noWrap w:val="0"/>
                  <w:vAlign w:val="center"/>
                </w:tcPr>
                <w:p w14:paraId="50468F2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66" w:type="pct"/>
                  <w:tcBorders>
                    <w:tl2br w:val="nil"/>
                    <w:tr2bl w:val="nil"/>
                  </w:tcBorders>
                  <w:noWrap w:val="0"/>
                  <w:vAlign w:val="center"/>
                </w:tcPr>
                <w:p w14:paraId="540CAC5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1509" w:type="pct"/>
                  <w:tcBorders>
                    <w:tl2br w:val="nil"/>
                    <w:tr2bl w:val="nil"/>
                  </w:tcBorders>
                  <w:noWrap w:val="0"/>
                  <w:vAlign w:val="center"/>
                </w:tcPr>
                <w:p w14:paraId="1E17D6D7">
                  <w:pPr>
                    <w:keepNext w:val="0"/>
                    <w:keepLines w:val="0"/>
                    <w:pageBreakBefore w:val="0"/>
                    <w:widowControl w:val="0"/>
                    <w:suppressLineNumbers w:val="0"/>
                    <w:wordWrap/>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0.09-0.18</w:t>
                  </w:r>
                </w:p>
              </w:tc>
              <w:tc>
                <w:tcPr>
                  <w:tcW w:w="752" w:type="pct"/>
                  <w:tcBorders>
                    <w:tl2br w:val="nil"/>
                    <w:tr2bl w:val="nil"/>
                  </w:tcBorders>
                  <w:noWrap w:val="0"/>
                  <w:vAlign w:val="center"/>
                </w:tcPr>
                <w:p w14:paraId="05058208">
                  <w:pPr>
                    <w:keepNext w:val="0"/>
                    <w:keepLines w:val="0"/>
                    <w:pageBreakBefore w:val="0"/>
                    <w:widowControl w:val="0"/>
                    <w:suppressLineNumbers w:val="0"/>
                    <w:wordWrap/>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0.045-0.090</w:t>
                  </w:r>
                </w:p>
              </w:tc>
            </w:tr>
            <w:tr w14:paraId="04D12B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737" w:type="pct"/>
                  <w:gridSpan w:val="2"/>
                  <w:tcBorders>
                    <w:tl2br w:val="nil"/>
                    <w:tr2bl w:val="nil"/>
                  </w:tcBorders>
                  <w:noWrap w:val="0"/>
                  <w:vAlign w:val="center"/>
                </w:tcPr>
                <w:p w14:paraId="03C1BC2C">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w:t>
                  </w:r>
                </w:p>
              </w:tc>
              <w:tc>
                <w:tcPr>
                  <w:tcW w:w="2262" w:type="pct"/>
                  <w:gridSpan w:val="2"/>
                  <w:tcBorders>
                    <w:tl2br w:val="nil"/>
                    <w:tr2bl w:val="nil"/>
                  </w:tcBorders>
                  <w:noWrap w:val="0"/>
                  <w:vAlign w:val="center"/>
                </w:tcPr>
                <w:p w14:paraId="6DAE729F">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r>
          </w:tbl>
          <w:p w14:paraId="1E96F9A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contextualSpacing/>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highlight w:val="none"/>
                <w:lang w:val="zh-CN" w:eastAsia="zh-CN"/>
                <w14:textFill>
                  <w14:solidFill>
                    <w14:schemeClr w14:val="tx1"/>
                  </w14:solidFill>
                </w14:textFill>
              </w:rPr>
              <w:t>由</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上</w:t>
            </w:r>
            <w:r>
              <w:rPr>
                <w:rFonts w:hint="eastAsia" w:ascii="Times New Roman" w:hAnsi="Times New Roman" w:eastAsia="宋体" w:cs="Times New Roman"/>
                <w:color w:val="000000" w:themeColor="text1"/>
                <w:spacing w:val="0"/>
                <w:position w:val="0"/>
                <w:sz w:val="24"/>
                <w:szCs w:val="24"/>
                <w:highlight w:val="none"/>
                <w:lang w:val="zh-CN" w:eastAsia="zh-CN"/>
                <w14:textFill>
                  <w14:solidFill>
                    <w14:schemeClr w14:val="tx1"/>
                  </w14:solidFill>
                </w14:textFill>
              </w:rPr>
              <w:t>表</w:t>
            </w:r>
            <w:r>
              <w:rPr>
                <w:rFonts w:hint="default" w:ascii="Times New Roman" w:hAnsi="Times New Roman" w:eastAsia="宋体" w:cs="Times New Roman"/>
                <w:color w:val="000000" w:themeColor="text1"/>
                <w:spacing w:val="0"/>
                <w:position w:val="0"/>
                <w:sz w:val="24"/>
                <w:szCs w:val="24"/>
                <w:highlight w:val="none"/>
                <w:lang w:val="zh-CN" w:eastAsia="zh-CN"/>
                <w14:textFill>
                  <w14:solidFill>
                    <w14:schemeClr w14:val="tx1"/>
                  </w14:solidFill>
                </w14:textFill>
              </w:rPr>
              <w:t>可以看出，项目所在区域</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非甲烷总烃浓度满足中国环境科学院出版社出版的国家环境保护局科技标准司的</w:t>
            </w:r>
            <w:r>
              <w:rPr>
                <w:rFonts w:hint="default" w:ascii="Times New Roman" w:hAnsi="Times New Roman" w:eastAsia="宋体" w:cs="Times New Roman"/>
                <w:color w:val="000000" w:themeColor="text1"/>
                <w:spacing w:val="0"/>
                <w:position w:val="0"/>
                <w:sz w:val="24"/>
                <w:szCs w:val="24"/>
                <w:highlight w:val="none"/>
                <w:lang w:val="zh-CN" w:eastAsia="zh-CN"/>
                <w14:textFill>
                  <w14:solidFill>
                    <w14:schemeClr w14:val="tx1"/>
                  </w14:solidFill>
                </w14:textFill>
              </w:rPr>
              <w:t>《</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大气污染物综合排放标准详解</w:t>
            </w:r>
            <w:r>
              <w:rPr>
                <w:rFonts w:hint="default" w:ascii="Times New Roman" w:hAnsi="Times New Roman" w:eastAsia="宋体" w:cs="Times New Roman"/>
                <w:color w:val="000000" w:themeColor="text1"/>
                <w:spacing w:val="0"/>
                <w:position w:val="0"/>
                <w:sz w:val="24"/>
                <w:szCs w:val="24"/>
                <w:highlight w:val="none"/>
                <w:lang w:val="zh-CN" w:eastAsia="zh-CN"/>
                <w14:textFill>
                  <w14:solidFill>
                    <w14:schemeClr w14:val="tx1"/>
                  </w14:solidFill>
                </w14:textFill>
              </w:rPr>
              <w:t>》</w:t>
            </w:r>
            <w:r>
              <w:rPr>
                <w:rFonts w:hint="eastAsia" w:ascii="Times New Roman" w:hAnsi="Times New Roman" w:eastAsia="宋体" w:cs="Times New Roman"/>
                <w:color w:val="000000" w:themeColor="text1"/>
                <w:spacing w:val="0"/>
                <w:position w:val="0"/>
                <w:sz w:val="24"/>
                <w:szCs w:val="24"/>
                <w:highlight w:val="none"/>
                <w:lang w:val="zh-CN" w:eastAsia="zh-CN"/>
                <w14:textFill>
                  <w14:solidFill>
                    <w14:schemeClr w14:val="tx1"/>
                  </w14:solidFill>
                </w14:textFill>
              </w:rPr>
              <w:t>（原文：由于我国目前没有“非甲烷总烃”的环境质量标准，美国的同类标准已废除，故我国石化部门和若干地区通常采用以色列同类标准的短期平均值，为5mg/m</w:t>
            </w:r>
            <w:r>
              <w:rPr>
                <w:rFonts w:hint="eastAsia" w:ascii="Times New Roman" w:hAnsi="Times New Roman" w:eastAsia="宋体" w:cs="Times New Roman"/>
                <w:color w:val="000000" w:themeColor="text1"/>
                <w:spacing w:val="0"/>
                <w:position w:val="0"/>
                <w:sz w:val="24"/>
                <w:szCs w:val="24"/>
                <w:highlight w:val="none"/>
                <w:vertAlign w:val="superscript"/>
                <w:lang w:val="zh-CN" w:eastAsia="zh-CN"/>
                <w14:textFill>
                  <w14:solidFill>
                    <w14:schemeClr w14:val="tx1"/>
                  </w14:solidFill>
                </w14:textFill>
              </w:rPr>
              <w:t>3</w:t>
            </w:r>
            <w:r>
              <w:rPr>
                <w:rFonts w:hint="eastAsia" w:ascii="Times New Roman" w:hAnsi="Times New Roman" w:eastAsia="宋体" w:cs="Times New Roman"/>
                <w:color w:val="000000" w:themeColor="text1"/>
                <w:spacing w:val="0"/>
                <w:position w:val="0"/>
                <w:sz w:val="24"/>
                <w:szCs w:val="24"/>
                <w:highlight w:val="none"/>
                <w:lang w:val="zh-CN" w:eastAsia="zh-CN"/>
                <w14:textFill>
                  <w14:solidFill>
                    <w14:schemeClr w14:val="tx1"/>
                  </w14:solidFill>
                </w14:textFill>
              </w:rPr>
              <w:t>。但考虑到我国多数地区的实测值，“非甲烷总烃”的环境浓度</w:t>
            </w:r>
            <w:r>
              <w:rPr>
                <w:rFonts w:hint="eastAsia" w:eastAsia="宋体" w:cs="Times New Roman"/>
                <w:color w:val="000000" w:themeColor="text1"/>
                <w:spacing w:val="0"/>
                <w:position w:val="0"/>
                <w:sz w:val="24"/>
                <w:szCs w:val="24"/>
                <w:highlight w:val="none"/>
                <w:lang w:val="zh-CN" w:eastAsia="zh-CN"/>
                <w14:textFill>
                  <w14:solidFill>
                    <w14:schemeClr w14:val="tx1"/>
                  </w14:solidFill>
                </w14:textFill>
              </w:rPr>
              <w:t>一般</w:t>
            </w:r>
            <w:r>
              <w:rPr>
                <w:rFonts w:hint="eastAsia" w:ascii="Times New Roman" w:hAnsi="Times New Roman" w:eastAsia="宋体" w:cs="Times New Roman"/>
                <w:color w:val="000000" w:themeColor="text1"/>
                <w:spacing w:val="0"/>
                <w:position w:val="0"/>
                <w:sz w:val="24"/>
                <w:szCs w:val="24"/>
                <w:highlight w:val="none"/>
                <w:lang w:val="zh-CN" w:eastAsia="zh-CN"/>
                <w14:textFill>
                  <w14:solidFill>
                    <w14:schemeClr w14:val="tx1"/>
                  </w14:solidFill>
                </w14:textFill>
              </w:rPr>
              <w:t>不超过1.0mg/m</w:t>
            </w:r>
            <w:r>
              <w:rPr>
                <w:rFonts w:hint="eastAsia" w:ascii="Times New Roman" w:hAnsi="Times New Roman" w:eastAsia="宋体" w:cs="Times New Roman"/>
                <w:color w:val="000000" w:themeColor="text1"/>
                <w:spacing w:val="0"/>
                <w:position w:val="0"/>
                <w:sz w:val="24"/>
                <w:szCs w:val="24"/>
                <w:highlight w:val="none"/>
                <w:vertAlign w:val="superscript"/>
                <w:lang w:val="zh-CN" w:eastAsia="zh-CN"/>
                <w14:textFill>
                  <w14:solidFill>
                    <w14:schemeClr w14:val="tx1"/>
                  </w14:solidFill>
                </w14:textFill>
              </w:rPr>
              <w:t>3</w:t>
            </w:r>
            <w:r>
              <w:rPr>
                <w:rFonts w:hint="eastAsia" w:ascii="Times New Roman" w:hAnsi="Times New Roman" w:eastAsia="宋体" w:cs="Times New Roman"/>
                <w:color w:val="000000" w:themeColor="text1"/>
                <w:spacing w:val="0"/>
                <w:position w:val="0"/>
                <w:sz w:val="24"/>
                <w:szCs w:val="24"/>
                <w:highlight w:val="none"/>
                <w:lang w:val="zh-CN" w:eastAsia="zh-CN"/>
                <w14:textFill>
                  <w14:solidFill>
                    <w14:schemeClr w14:val="tx1"/>
                  </w14:solidFill>
                </w14:textFill>
              </w:rPr>
              <w:t>，因此在制定本标准时选用2mg/m</w:t>
            </w:r>
            <w:r>
              <w:rPr>
                <w:rFonts w:hint="eastAsia" w:ascii="Times New Roman" w:hAnsi="Times New Roman" w:eastAsia="宋体" w:cs="Times New Roman"/>
                <w:color w:val="000000" w:themeColor="text1"/>
                <w:spacing w:val="0"/>
                <w:position w:val="0"/>
                <w:sz w:val="24"/>
                <w:szCs w:val="24"/>
                <w:highlight w:val="none"/>
                <w:vertAlign w:val="superscript"/>
                <w:lang w:val="zh-CN" w:eastAsia="zh-CN"/>
                <w14:textFill>
                  <w14:solidFill>
                    <w14:schemeClr w14:val="tx1"/>
                  </w14:solidFill>
                </w14:textFill>
              </w:rPr>
              <w:t>3</w:t>
            </w:r>
            <w:r>
              <w:rPr>
                <w:rFonts w:hint="eastAsia" w:ascii="Times New Roman" w:hAnsi="Times New Roman" w:eastAsia="宋体" w:cs="Times New Roman"/>
                <w:color w:val="000000" w:themeColor="text1"/>
                <w:spacing w:val="0"/>
                <w:position w:val="0"/>
                <w:sz w:val="24"/>
                <w:szCs w:val="24"/>
                <w:highlight w:val="none"/>
                <w:lang w:val="zh-CN" w:eastAsia="zh-CN"/>
                <w14:textFill>
                  <w14:solidFill>
                    <w14:schemeClr w14:val="tx1"/>
                  </w14:solidFill>
                </w14:textFill>
              </w:rPr>
              <w:t>作为计算依据）</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中非甲烷浓度参考限值。</w:t>
            </w:r>
          </w:p>
          <w:p w14:paraId="16CE3D7C">
            <w:pPr>
              <w:keepNext w:val="0"/>
              <w:keepLines w:val="0"/>
              <w:pageBreakBefore w:val="0"/>
              <w:widowControl w:val="0"/>
              <w:kinsoku/>
              <w:wordWrap/>
              <w:overflowPunct/>
              <w:topLinePunct w:val="0"/>
              <w:autoSpaceDE/>
              <w:autoSpaceDN/>
              <w:bidi w:val="0"/>
              <w:adjustRightInd w:val="0"/>
              <w:snapToGrid w:val="0"/>
              <w:spacing w:line="360" w:lineRule="auto"/>
              <w:contextualSpacing/>
              <w:textAlignment w:val="auto"/>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3.2 水环境质量现状调查与评价</w:t>
            </w:r>
          </w:p>
          <w:p w14:paraId="5F6C16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Ansi="宋体"/>
                <w:bCs/>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根据《环境影响评价技术导则 地表水环境》（HJ2.3-2018）（2019年3月1日实施），本项目运营期废水不与地表水体发生直接联系，</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且经核实项目区附近无地表径流，</w:t>
            </w:r>
            <w:r>
              <w:rPr>
                <w:rFonts w:hint="eastAsia" w:hAnsi="宋体"/>
                <w:bCs/>
                <w:color w:val="000000" w:themeColor="text1"/>
                <w:sz w:val="24"/>
                <w14:textFill>
                  <w14:solidFill>
                    <w14:schemeClr w14:val="tx1"/>
                  </w14:solidFill>
                </w14:textFill>
              </w:rPr>
              <w:t>因此本次不对地表水环境质量进行现状调查</w:t>
            </w:r>
            <w:r>
              <w:rPr>
                <w:rFonts w:hAnsi="宋体"/>
                <w:bCs/>
                <w:color w:val="000000" w:themeColor="text1"/>
                <w:sz w:val="24"/>
                <w14:textFill>
                  <w14:solidFill>
                    <w14:schemeClr w14:val="tx1"/>
                  </w14:solidFill>
                </w14:textFill>
              </w:rPr>
              <w:t>。</w:t>
            </w:r>
          </w:p>
          <w:p w14:paraId="10E27C8F">
            <w:pPr>
              <w:keepNext w:val="0"/>
              <w:keepLines w:val="0"/>
              <w:pageBreakBefore w:val="0"/>
              <w:widowControl w:val="0"/>
              <w:tabs>
                <w:tab w:val="left" w:pos="749"/>
              </w:tabs>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根据《建设项目环境影响报告表编制技术指南（污染影响类）（试行）》，</w:t>
            </w:r>
          </w:p>
          <w:p w14:paraId="09195F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Ansi="宋体"/>
                <w:bCs/>
                <w:color w:val="000000" w:themeColor="text1"/>
                <w:sz w:val="24"/>
                <w14:textFill>
                  <w14:solidFill>
                    <w14:schemeClr w14:val="tx1"/>
                  </w14:solidFill>
                </w14:textFill>
              </w:rPr>
            </w:pP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地下水、土壤环境原则上不开展环境质量现状调查。建设项目存在地下水环境污染途径的，应结合污染源、保护目标分布情况开展现状调查以留作背景值。本项目加油站已按要求采取了相应的防渗措施，不存在地下水环境</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及土壤</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污染途径，因此本项目可不开展地下水环境</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及土壤环境</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质量现状调查。</w:t>
            </w:r>
          </w:p>
          <w:p w14:paraId="672A923A">
            <w:pPr>
              <w:keepNext w:val="0"/>
              <w:keepLines w:val="0"/>
              <w:pageBreakBefore w:val="0"/>
              <w:widowControl w:val="0"/>
              <w:kinsoku/>
              <w:wordWrap/>
              <w:overflowPunct/>
              <w:topLinePunct w:val="0"/>
              <w:autoSpaceDE/>
              <w:autoSpaceDN/>
              <w:bidi w:val="0"/>
              <w:adjustRightInd w:val="0"/>
              <w:snapToGrid w:val="0"/>
              <w:spacing w:line="360" w:lineRule="auto"/>
              <w:contextualSpacing/>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 xml:space="preserve">3.3 </w:t>
            </w:r>
            <w:r>
              <w:rPr>
                <w:rFonts w:hint="default" w:ascii="Times New Roman" w:hAnsi="Times New Roman" w:eastAsia="宋体" w:cs="Times New Roman"/>
                <w:b/>
                <w:color w:val="000000" w:themeColor="text1"/>
                <w:sz w:val="24"/>
                <w14:textFill>
                  <w14:solidFill>
                    <w14:schemeClr w14:val="tx1"/>
                  </w14:solidFill>
                </w14:textFill>
              </w:rPr>
              <w:t>声环境质量现状</w:t>
            </w:r>
            <w:r>
              <w:rPr>
                <w:rFonts w:hint="default" w:ascii="Times New Roman" w:hAnsi="Times New Roman" w:eastAsia="宋体" w:cs="Times New Roman"/>
                <w:b/>
                <w:color w:val="000000" w:themeColor="text1"/>
                <w:sz w:val="24"/>
                <w:lang w:eastAsia="zh-CN"/>
                <w14:textFill>
                  <w14:solidFill>
                    <w14:schemeClr w14:val="tx1"/>
                  </w14:solidFill>
                </w14:textFill>
              </w:rPr>
              <w:t>调查</w:t>
            </w:r>
            <w:r>
              <w:rPr>
                <w:rFonts w:hint="default" w:ascii="Times New Roman" w:hAnsi="Times New Roman" w:eastAsia="宋体" w:cs="Times New Roman"/>
                <w:b/>
                <w:color w:val="000000" w:themeColor="text1"/>
                <w:sz w:val="24"/>
                <w14:textFill>
                  <w14:solidFill>
                    <w14:schemeClr w14:val="tx1"/>
                  </w14:solidFill>
                </w14:textFill>
              </w:rPr>
              <w:t>与评价</w:t>
            </w:r>
          </w:p>
          <w:p w14:paraId="0408B93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b/>
                <w:bCs/>
                <w:color w:val="auto"/>
                <w:kern w:val="0"/>
                <w:sz w:val="24"/>
                <w:szCs w:val="24"/>
                <w:highlight w:val="none"/>
              </w:rPr>
            </w:pPr>
            <w:r>
              <w:rPr>
                <w:rFonts w:hint="eastAsia" w:cs="Times New Roman"/>
                <w:b w:val="0"/>
                <w:bCs w:val="0"/>
                <w:color w:val="auto"/>
                <w:kern w:val="0"/>
                <w:sz w:val="24"/>
                <w:szCs w:val="24"/>
                <w:highlight w:val="none"/>
                <w:lang w:val="en-US" w:eastAsia="zh-CN"/>
              </w:rPr>
              <w:t>1.</w:t>
            </w:r>
            <w:r>
              <w:rPr>
                <w:rFonts w:hint="default" w:ascii="Times New Roman" w:hAnsi="Times New Roman" w:eastAsia="宋体" w:cs="Times New Roman"/>
                <w:b w:val="0"/>
                <w:bCs w:val="0"/>
                <w:color w:val="auto"/>
                <w:kern w:val="0"/>
                <w:sz w:val="24"/>
                <w:szCs w:val="24"/>
                <w:highlight w:val="none"/>
              </w:rPr>
              <w:t>监测方法、时间和点位布设</w:t>
            </w:r>
          </w:p>
          <w:p w14:paraId="24D7891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本次评价</w:t>
            </w:r>
            <w:r>
              <w:rPr>
                <w:rFonts w:hint="default" w:ascii="Times New Roman" w:hAnsi="Times New Roman" w:eastAsia="宋体" w:cs="Times New Roman"/>
                <w:color w:val="auto"/>
                <w:sz w:val="24"/>
                <w:szCs w:val="24"/>
                <w:highlight w:val="none"/>
                <w:lang w:eastAsia="zh-CN"/>
              </w:rPr>
              <w:t>采用新疆西域质信检验检测有限公司</w:t>
            </w: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en-US" w:eastAsia="zh-CN"/>
              </w:rPr>
              <w:t>日~26日</w:t>
            </w:r>
            <w:r>
              <w:rPr>
                <w:rFonts w:hint="default" w:ascii="Times New Roman" w:hAnsi="Times New Roman" w:eastAsia="宋体" w:cs="Times New Roman"/>
                <w:color w:val="auto"/>
                <w:sz w:val="24"/>
                <w:szCs w:val="24"/>
                <w:highlight w:val="none"/>
                <w:lang w:eastAsia="zh-CN"/>
              </w:rPr>
              <w:t>对</w:t>
            </w:r>
            <w:r>
              <w:rPr>
                <w:rFonts w:hint="default" w:ascii="Times New Roman" w:hAnsi="Times New Roman" w:eastAsia="宋体" w:cs="Times New Roman"/>
                <w:color w:val="auto"/>
                <w:sz w:val="24"/>
                <w:szCs w:val="24"/>
                <w:highlight w:val="none"/>
                <w:lang w:val="en-US" w:eastAsia="zh-CN"/>
              </w:rPr>
              <w:t>厂区厂界</w:t>
            </w:r>
            <w:r>
              <w:rPr>
                <w:rFonts w:hint="default" w:ascii="Times New Roman" w:hAnsi="Times New Roman" w:eastAsia="宋体" w:cs="Times New Roman"/>
                <w:color w:val="auto"/>
                <w:sz w:val="24"/>
                <w:szCs w:val="24"/>
                <w:highlight w:val="none"/>
              </w:rPr>
              <w:t>噪声现状监测</w:t>
            </w:r>
            <w:r>
              <w:rPr>
                <w:rFonts w:hint="default" w:ascii="Times New Roman" w:hAnsi="Times New Roman" w:eastAsia="宋体" w:cs="Times New Roman"/>
                <w:color w:val="auto"/>
                <w:sz w:val="24"/>
                <w:szCs w:val="24"/>
                <w:highlight w:val="none"/>
                <w:lang w:eastAsia="zh-CN"/>
              </w:rPr>
              <w:t>数据</w:t>
            </w:r>
            <w:r>
              <w:rPr>
                <w:rFonts w:hint="default" w:ascii="Times New Roman" w:hAnsi="Times New Roman" w:eastAsia="宋体" w:cs="Times New Roman"/>
                <w:color w:val="auto"/>
                <w:sz w:val="24"/>
                <w:szCs w:val="24"/>
                <w:highlight w:val="none"/>
              </w:rPr>
              <w:t>。</w:t>
            </w:r>
          </w:p>
          <w:p w14:paraId="63E864D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监测方法：依照《声环境质量标准》（GB3096-2008）进行噪声监测，监测仪器使</w:t>
            </w:r>
            <w:r>
              <w:rPr>
                <w:rFonts w:hint="default" w:ascii="Times New Roman" w:hAnsi="Times New Roman" w:eastAsia="宋体" w:cs="Times New Roman"/>
                <w:color w:val="auto"/>
                <w:sz w:val="24"/>
                <w:szCs w:val="24"/>
                <w:highlight w:val="none"/>
                <w:lang w:eastAsia="zh-CN"/>
              </w:rPr>
              <w:t>多功能声级计</w:t>
            </w:r>
            <w:r>
              <w:rPr>
                <w:rFonts w:hint="default" w:ascii="Times New Roman" w:hAnsi="Times New Roman" w:eastAsia="宋体" w:cs="Times New Roman"/>
                <w:color w:val="auto"/>
                <w:sz w:val="24"/>
                <w:szCs w:val="24"/>
                <w:highlight w:val="none"/>
              </w:rPr>
              <w:t>，监测前用声校准器进行校准，测量时传声器距地面1.2m，传声器戴风罩进行监测。点位布设：</w:t>
            </w:r>
            <w:r>
              <w:rPr>
                <w:rFonts w:hint="default" w:ascii="Times New Roman" w:hAnsi="Times New Roman" w:eastAsia="宋体" w:cs="Times New Roman"/>
                <w:color w:val="auto"/>
                <w:sz w:val="24"/>
                <w:szCs w:val="24"/>
                <w:highlight w:val="none"/>
                <w:lang w:eastAsia="zh-CN"/>
              </w:rPr>
              <w:t>在项目区</w:t>
            </w:r>
            <w:r>
              <w:rPr>
                <w:rFonts w:hint="eastAsia" w:ascii="Times New Roman" w:hAns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rPr>
              <w:t>侧</w:t>
            </w:r>
            <w:r>
              <w:rPr>
                <w:rFonts w:hint="default" w:ascii="Times New Roman" w:hAnsi="Times New Roman" w:eastAsia="宋体" w:cs="Times New Roman"/>
                <w:color w:val="auto"/>
                <w:sz w:val="24"/>
                <w:szCs w:val="24"/>
                <w:highlight w:val="none"/>
                <w:lang w:eastAsia="zh-CN"/>
              </w:rPr>
              <w:t>外</w:t>
            </w:r>
            <w:r>
              <w:rPr>
                <w:rFonts w:hint="default" w:ascii="Times New Roman" w:hAnsi="Times New Roman" w:eastAsia="宋体" w:cs="Times New Roman"/>
                <w:color w:val="auto"/>
                <w:sz w:val="24"/>
                <w:szCs w:val="24"/>
                <w:highlight w:val="none"/>
                <w:lang w:val="en-US" w:eastAsia="zh-CN"/>
              </w:rPr>
              <w:t>1m处</w:t>
            </w:r>
            <w:r>
              <w:rPr>
                <w:rFonts w:hint="default" w:ascii="Times New Roman" w:hAnsi="Times New Roman" w:eastAsia="宋体" w:cs="Times New Roman"/>
                <w:color w:val="auto"/>
                <w:sz w:val="24"/>
                <w:szCs w:val="24"/>
                <w:highlight w:val="none"/>
                <w:lang w:eastAsia="zh-CN"/>
              </w:rPr>
              <w:t>布点</w:t>
            </w:r>
            <w:r>
              <w:rPr>
                <w:rFonts w:hint="default" w:ascii="Times New Roman" w:hAnsi="Times New Roman" w:eastAsia="宋体" w:cs="Times New Roman"/>
                <w:color w:val="auto"/>
                <w:sz w:val="24"/>
                <w:szCs w:val="24"/>
                <w:highlight w:val="none"/>
                <w:lang w:val="en-US" w:eastAsia="zh-CN"/>
              </w:rPr>
              <w:t>处。</w:t>
            </w:r>
            <w:r>
              <w:rPr>
                <w:rFonts w:hint="default" w:ascii="Times New Roman" w:hAnsi="Times New Roman" w:eastAsia="宋体" w:cs="Times New Roman"/>
                <w:color w:val="auto"/>
                <w:sz w:val="24"/>
                <w:szCs w:val="24"/>
                <w:highlight w:val="none"/>
              </w:rPr>
              <w:t>具体见</w:t>
            </w:r>
            <w:r>
              <w:rPr>
                <w:rFonts w:hint="default" w:ascii="Times New Roman" w:hAnsi="Times New Roman" w:cs="Times New Roman"/>
                <w:color w:val="auto"/>
                <w:sz w:val="24"/>
                <w:szCs w:val="24"/>
                <w:highlight w:val="none"/>
                <w:lang w:eastAsia="zh-CN"/>
              </w:rPr>
              <w:t>附图</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eastAsia="zh-CN"/>
              </w:rPr>
              <w:t>监测点位示意图</w:t>
            </w:r>
          </w:p>
          <w:p w14:paraId="645B98F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0"/>
                <w:sz w:val="24"/>
                <w:szCs w:val="24"/>
                <w:highlight w:val="none"/>
                <w:lang w:val="en-US" w:eastAsia="zh-CN"/>
              </w:rPr>
              <w:t>2</w:t>
            </w:r>
            <w:r>
              <w:rPr>
                <w:rFonts w:hint="eastAsia"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rPr>
              <w:t>噪声评价标准</w:t>
            </w:r>
          </w:p>
          <w:p w14:paraId="7844D17D">
            <w:pPr>
              <w:pStyle w:val="13"/>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区</w:t>
            </w:r>
            <w:r>
              <w:rPr>
                <w:rFonts w:hint="default" w:ascii="Times New Roman" w:hAnsi="Times New Roman" w:eastAsia="宋体" w:cs="Times New Roman"/>
                <w:color w:val="auto"/>
                <w:sz w:val="24"/>
                <w:szCs w:val="24"/>
                <w:highlight w:val="none"/>
              </w:rPr>
              <w:t>四</w:t>
            </w:r>
            <w:r>
              <w:rPr>
                <w:rFonts w:hint="default" w:ascii="Times New Roman" w:hAnsi="Times New Roman" w:eastAsia="宋体" w:cs="Times New Roman"/>
                <w:color w:val="auto"/>
                <w:sz w:val="24"/>
                <w:szCs w:val="24"/>
                <w:highlight w:val="none"/>
                <w:lang w:eastAsia="zh-CN"/>
              </w:rPr>
              <w:t>周</w:t>
            </w:r>
            <w:r>
              <w:rPr>
                <w:rFonts w:hint="default" w:ascii="Times New Roman" w:hAnsi="Times New Roman" w:eastAsia="宋体" w:cs="Times New Roman"/>
                <w:color w:val="auto"/>
                <w:sz w:val="24"/>
                <w:szCs w:val="24"/>
                <w:highlight w:val="none"/>
              </w:rPr>
              <w:t>的噪声评价标准应执行《声环境质量标准》（GB3096-2008）中</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类标准，即昼间</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dB(A)，夜间</w:t>
            </w:r>
            <w:r>
              <w:rPr>
                <w:rFonts w:hint="eastAsia"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dB(A)，具体见表</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14:paraId="1662A766">
            <w:pPr>
              <w:pStyle w:val="13"/>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22" w:firstLineChars="20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w:t>
            </w:r>
            <w:r>
              <w:rPr>
                <w:rFonts w:hint="eastAsia"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环境噪声限值单位：dB(A)</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4396"/>
              <w:gridCol w:w="1679"/>
              <w:gridCol w:w="1679"/>
            </w:tblGrid>
            <w:tr w14:paraId="5008F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7" w:type="pct"/>
                  <w:gridSpan w:val="2"/>
                  <w:tcBorders>
                    <w:tl2br w:val="nil"/>
                    <w:tr2bl w:val="nil"/>
                  </w:tcBorders>
                  <w:noWrap w:val="0"/>
                  <w:vAlign w:val="center"/>
                </w:tcPr>
                <w:p w14:paraId="4B39A9B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1001" w:type="pct"/>
                  <w:tcBorders>
                    <w:tl2br w:val="nil"/>
                    <w:tr2bl w:val="nil"/>
                  </w:tcBorders>
                  <w:noWrap w:val="0"/>
                  <w:vAlign w:val="center"/>
                </w:tcPr>
                <w:p w14:paraId="1DA6770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w:t>
                  </w:r>
                </w:p>
              </w:tc>
              <w:tc>
                <w:tcPr>
                  <w:tcW w:w="1001" w:type="pct"/>
                  <w:tcBorders>
                    <w:tl2br w:val="nil"/>
                    <w:tr2bl w:val="nil"/>
                  </w:tcBorders>
                  <w:noWrap w:val="0"/>
                  <w:vAlign w:val="center"/>
                </w:tcPr>
                <w:p w14:paraId="1FFB117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p>
              </w:tc>
            </w:tr>
            <w:tr w14:paraId="3B3A9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7" w:type="pct"/>
                  <w:gridSpan w:val="2"/>
                  <w:tcBorders>
                    <w:tl2br w:val="nil"/>
                    <w:tr2bl w:val="nil"/>
                  </w:tcBorders>
                  <w:noWrap w:val="0"/>
                  <w:vAlign w:val="center"/>
                </w:tcPr>
                <w:p w14:paraId="5E2F153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0类（康复疗养区）</w:t>
                  </w:r>
                </w:p>
              </w:tc>
              <w:tc>
                <w:tcPr>
                  <w:tcW w:w="1001" w:type="pct"/>
                  <w:tcBorders>
                    <w:tl2br w:val="nil"/>
                    <w:tr2bl w:val="nil"/>
                  </w:tcBorders>
                  <w:noWrap w:val="0"/>
                  <w:vAlign w:val="center"/>
                </w:tcPr>
                <w:p w14:paraId="70F663D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1001" w:type="pct"/>
                  <w:tcBorders>
                    <w:tl2br w:val="nil"/>
                    <w:tr2bl w:val="nil"/>
                  </w:tcBorders>
                  <w:noWrap w:val="0"/>
                  <w:vAlign w:val="center"/>
                </w:tcPr>
                <w:p w14:paraId="536C5ED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r>
            <w:tr w14:paraId="61DF4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7" w:type="pct"/>
                  <w:gridSpan w:val="2"/>
                  <w:tcBorders>
                    <w:tl2br w:val="nil"/>
                    <w:tr2bl w:val="nil"/>
                  </w:tcBorders>
                  <w:noWrap w:val="0"/>
                  <w:vAlign w:val="center"/>
                </w:tcPr>
                <w:p w14:paraId="3C6DF5E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1类（居民区、文化教育区）</w:t>
                  </w:r>
                </w:p>
              </w:tc>
              <w:tc>
                <w:tcPr>
                  <w:tcW w:w="1001" w:type="pct"/>
                  <w:tcBorders>
                    <w:tl2br w:val="nil"/>
                    <w:tr2bl w:val="nil"/>
                  </w:tcBorders>
                  <w:noWrap w:val="0"/>
                  <w:vAlign w:val="center"/>
                </w:tcPr>
                <w:p w14:paraId="747168D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1001" w:type="pct"/>
                  <w:tcBorders>
                    <w:tl2br w:val="nil"/>
                    <w:tr2bl w:val="nil"/>
                  </w:tcBorders>
                  <w:noWrap w:val="0"/>
                  <w:vAlign w:val="center"/>
                </w:tcPr>
                <w:p w14:paraId="7B00815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r>
            <w:tr w14:paraId="6BB87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7" w:type="pct"/>
                  <w:gridSpan w:val="2"/>
                  <w:tcBorders>
                    <w:tl2br w:val="nil"/>
                    <w:tr2bl w:val="nil"/>
                  </w:tcBorders>
                  <w:noWrap w:val="0"/>
                  <w:vAlign w:val="center"/>
                </w:tcPr>
                <w:p w14:paraId="2E50B64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2类（居住、商业、工业混合区）</w:t>
                  </w:r>
                </w:p>
              </w:tc>
              <w:tc>
                <w:tcPr>
                  <w:tcW w:w="1001" w:type="pct"/>
                  <w:tcBorders>
                    <w:tl2br w:val="nil"/>
                    <w:tr2bl w:val="nil"/>
                  </w:tcBorders>
                  <w:noWrap w:val="0"/>
                  <w:vAlign w:val="center"/>
                </w:tcPr>
                <w:p w14:paraId="3E9E57D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001" w:type="pct"/>
                  <w:tcBorders>
                    <w:tl2br w:val="nil"/>
                    <w:tr2bl w:val="nil"/>
                  </w:tcBorders>
                  <w:noWrap w:val="0"/>
                  <w:vAlign w:val="center"/>
                </w:tcPr>
                <w:p w14:paraId="7A8D791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r>
            <w:tr w14:paraId="2F407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7" w:type="pct"/>
                  <w:gridSpan w:val="2"/>
                  <w:tcBorders>
                    <w:tl2br w:val="nil"/>
                    <w:tr2bl w:val="nil"/>
                  </w:tcBorders>
                  <w:noWrap w:val="0"/>
                  <w:vAlign w:val="center"/>
                </w:tcPr>
                <w:p w14:paraId="0FEAD37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类</w:t>
                  </w:r>
                  <w:r>
                    <w:rPr>
                      <w:rFonts w:hint="default" w:ascii="Times New Roman" w:hAnsi="Times New Roman" w:eastAsia="宋体" w:cs="Times New Roman"/>
                      <w:color w:val="auto"/>
                      <w:sz w:val="21"/>
                      <w:szCs w:val="21"/>
                      <w:highlight w:val="none"/>
                    </w:rPr>
                    <w:t>（工业集中区）</w:t>
                  </w:r>
                </w:p>
              </w:tc>
              <w:tc>
                <w:tcPr>
                  <w:tcW w:w="1001" w:type="pct"/>
                  <w:tcBorders>
                    <w:tl2br w:val="nil"/>
                    <w:tr2bl w:val="nil"/>
                  </w:tcBorders>
                  <w:noWrap w:val="0"/>
                  <w:vAlign w:val="center"/>
                </w:tcPr>
                <w:p w14:paraId="34D2C14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1001" w:type="pct"/>
                  <w:tcBorders>
                    <w:tl2br w:val="nil"/>
                    <w:tr2bl w:val="nil"/>
                  </w:tcBorders>
                  <w:noWrap w:val="0"/>
                  <w:vAlign w:val="center"/>
                </w:tcPr>
                <w:p w14:paraId="2065D12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r w14:paraId="39453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noWrap w:val="0"/>
                  <w:vAlign w:val="center"/>
                </w:tcPr>
                <w:p w14:paraId="40499B1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4类</w:t>
                  </w:r>
                </w:p>
              </w:tc>
              <w:tc>
                <w:tcPr>
                  <w:tcW w:w="2620" w:type="pct"/>
                  <w:tcBorders>
                    <w:tl2br w:val="nil"/>
                    <w:tr2bl w:val="nil"/>
                  </w:tcBorders>
                  <w:noWrap w:val="0"/>
                  <w:vAlign w:val="center"/>
                </w:tcPr>
                <w:p w14:paraId="7E84C91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4a类（</w:t>
                  </w:r>
                  <w:r>
                    <w:rPr>
                      <w:rFonts w:hint="default" w:ascii="Times New Roman" w:hAnsi="Times New Roman" w:eastAsia="宋体" w:cs="Times New Roman"/>
                      <w:color w:val="auto"/>
                      <w:sz w:val="21"/>
                      <w:szCs w:val="21"/>
                      <w:highlight w:val="none"/>
                      <w:lang w:eastAsia="zh-CN"/>
                    </w:rPr>
                    <w:t>高速公路、城市道路等干线</w:t>
                  </w:r>
                  <w:r>
                    <w:rPr>
                      <w:rFonts w:hint="default" w:ascii="Times New Roman" w:hAnsi="Times New Roman" w:eastAsia="宋体" w:cs="Times New Roman"/>
                      <w:color w:val="auto"/>
                      <w:sz w:val="21"/>
                      <w:szCs w:val="21"/>
                      <w:highlight w:val="none"/>
                    </w:rPr>
                    <w:t>两侧）</w:t>
                  </w:r>
                </w:p>
              </w:tc>
              <w:tc>
                <w:tcPr>
                  <w:tcW w:w="1001" w:type="pct"/>
                  <w:tcBorders>
                    <w:tl2br w:val="nil"/>
                    <w:tr2bl w:val="nil"/>
                  </w:tcBorders>
                  <w:noWrap w:val="0"/>
                  <w:vAlign w:val="center"/>
                </w:tcPr>
                <w:p w14:paraId="5481EE2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001" w:type="pct"/>
                  <w:tcBorders>
                    <w:tl2br w:val="nil"/>
                    <w:tr2bl w:val="nil"/>
                  </w:tcBorders>
                  <w:noWrap w:val="0"/>
                  <w:vAlign w:val="center"/>
                </w:tcPr>
                <w:p w14:paraId="2B93544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r w14:paraId="5701B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14:paraId="7D22DA9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2620" w:type="pct"/>
                  <w:tcBorders>
                    <w:tl2br w:val="nil"/>
                    <w:tr2bl w:val="nil"/>
                  </w:tcBorders>
                  <w:noWrap w:val="0"/>
                  <w:vAlign w:val="center"/>
                </w:tcPr>
                <w:p w14:paraId="2F207AA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4b类（铁路干线两侧）</w:t>
                  </w:r>
                </w:p>
              </w:tc>
              <w:tc>
                <w:tcPr>
                  <w:tcW w:w="1001" w:type="pct"/>
                  <w:tcBorders>
                    <w:tl2br w:val="nil"/>
                    <w:tr2bl w:val="nil"/>
                  </w:tcBorders>
                  <w:noWrap w:val="0"/>
                  <w:vAlign w:val="center"/>
                </w:tcPr>
                <w:p w14:paraId="07AD537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001" w:type="pct"/>
                  <w:tcBorders>
                    <w:tl2br w:val="nil"/>
                    <w:tr2bl w:val="nil"/>
                  </w:tcBorders>
                  <w:noWrap w:val="0"/>
                  <w:vAlign w:val="center"/>
                </w:tcPr>
                <w:p w14:paraId="204B3CC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r>
          </w:tbl>
          <w:p w14:paraId="5CEF4508">
            <w:pPr>
              <w:keepNext w:val="0"/>
              <w:keepLines w:val="0"/>
              <w:pageBreakBefore w:val="0"/>
              <w:widowControl w:val="0"/>
              <w:kinsoku/>
              <w:wordWrap/>
              <w:overflowPunct/>
              <w:topLinePunct w:val="0"/>
              <w:autoSpaceDE/>
              <w:autoSpaceDN/>
              <w:bidi w:val="0"/>
              <w:adjustRightInd/>
              <w:snapToGrid/>
              <w:spacing w:before="157" w:beforeLines="50" w:line="360" w:lineRule="auto"/>
              <w:ind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kern w:val="0"/>
                <w:sz w:val="24"/>
                <w:szCs w:val="24"/>
                <w:highlight w:val="none"/>
                <w:lang w:val="en-US" w:eastAsia="zh-CN"/>
              </w:rPr>
              <w:t>3</w:t>
            </w:r>
            <w:r>
              <w:rPr>
                <w:rFonts w:hint="eastAsia"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监测结果</w:t>
            </w:r>
          </w:p>
          <w:p w14:paraId="6A2ECC47">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现状噪声监测结果见表</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p>
          <w:p w14:paraId="2ED95728">
            <w:pPr>
              <w:pStyle w:val="102"/>
              <w:keepNext w:val="0"/>
              <w:keepLines w:val="0"/>
              <w:pageBreakBefore w:val="0"/>
              <w:widowControl w:val="0"/>
              <w:kinsoku/>
              <w:wordWrap/>
              <w:overflowPunct/>
              <w:topLinePunct w:val="0"/>
              <w:autoSpaceDE/>
              <w:autoSpaceDN/>
              <w:bidi w:val="0"/>
              <w:adjustRightInd/>
              <w:snapToGrid/>
              <w:spacing w:line="240" w:lineRule="auto"/>
              <w:ind w:right="0" w:firstLine="422" w:firstLineChars="20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w:t>
            </w:r>
            <w:r>
              <w:rPr>
                <w:rFonts w:hint="eastAsia" w:ascii="Times New Roman" w:hAnsi="Times New Roman" w:eastAsia="宋体"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rPr>
              <w:t>评价区域噪声评价结果</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523"/>
              <w:gridCol w:w="1572"/>
              <w:gridCol w:w="1903"/>
              <w:gridCol w:w="1388"/>
            </w:tblGrid>
            <w:tr w14:paraId="69C3D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00" w:type="pct"/>
                  <w:tcBorders>
                    <w:tl2br w:val="nil"/>
                    <w:tr2bl w:val="nil"/>
                  </w:tcBorders>
                  <w:noWrap w:val="0"/>
                  <w:vAlign w:val="center"/>
                </w:tcPr>
                <w:p w14:paraId="0744D96B">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点位</w:t>
                  </w:r>
                </w:p>
              </w:tc>
              <w:tc>
                <w:tcPr>
                  <w:tcW w:w="937" w:type="pct"/>
                  <w:tcBorders>
                    <w:tl2br w:val="nil"/>
                    <w:tr2bl w:val="nil"/>
                  </w:tcBorders>
                  <w:noWrap w:val="0"/>
                  <w:vAlign w:val="center"/>
                </w:tcPr>
                <w:p w14:paraId="551EE64D">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LeqdB(A)</w:t>
                  </w:r>
                </w:p>
              </w:tc>
              <w:tc>
                <w:tcPr>
                  <w:tcW w:w="1134" w:type="pct"/>
                  <w:tcBorders>
                    <w:tl2br w:val="nil"/>
                    <w:tr2bl w:val="nil"/>
                  </w:tcBorders>
                  <w:noWrap w:val="0"/>
                  <w:vAlign w:val="center"/>
                </w:tcPr>
                <w:p w14:paraId="17533B14">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标准值dB(A)</w:t>
                  </w:r>
                </w:p>
              </w:tc>
              <w:tc>
                <w:tcPr>
                  <w:tcW w:w="827" w:type="pct"/>
                  <w:tcBorders>
                    <w:tl2br w:val="nil"/>
                    <w:tr2bl w:val="nil"/>
                  </w:tcBorders>
                  <w:noWrap w:val="0"/>
                  <w:vAlign w:val="center"/>
                </w:tcPr>
                <w:p w14:paraId="76E3D62C">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超标情况</w:t>
                  </w:r>
                </w:p>
              </w:tc>
            </w:tr>
            <w:tr w14:paraId="60BE9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00" w:type="pct"/>
                  <w:vMerge w:val="restart"/>
                  <w:tcBorders>
                    <w:tl2br w:val="nil"/>
                    <w:tr2bl w:val="nil"/>
                  </w:tcBorders>
                  <w:noWrap w:val="0"/>
                  <w:vAlign w:val="center"/>
                </w:tcPr>
                <w:p w14:paraId="3B4112D1">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1#厂界</w:t>
                  </w:r>
                  <w:r>
                    <w:rPr>
                      <w:rFonts w:hint="default" w:ascii="Times New Roman" w:hAnsi="Times New Roman" w:eastAsia="宋体" w:cs="Times New Roman"/>
                      <w:color w:val="auto"/>
                      <w:sz w:val="21"/>
                      <w:szCs w:val="21"/>
                      <w:highlight w:val="none"/>
                      <w:lang w:eastAsia="zh-CN"/>
                    </w:rPr>
                    <w:t>外</w:t>
                  </w:r>
                  <w:r>
                    <w:rPr>
                      <w:rFonts w:hint="eastAsia"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rPr>
                    <w:t>侧1米处</w:t>
                  </w:r>
                </w:p>
              </w:tc>
              <w:tc>
                <w:tcPr>
                  <w:tcW w:w="937" w:type="pct"/>
                  <w:tcBorders>
                    <w:tl2br w:val="nil"/>
                    <w:tr2bl w:val="nil"/>
                  </w:tcBorders>
                  <w:noWrap w:val="0"/>
                  <w:vAlign w:val="center"/>
                </w:tcPr>
                <w:p w14:paraId="04498E9B">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昼</w:t>
                  </w:r>
                  <w:r>
                    <w:rPr>
                      <w:rFonts w:hint="eastAsia" w:cs="Times New Roman"/>
                      <w:color w:val="auto"/>
                      <w:sz w:val="21"/>
                      <w:szCs w:val="21"/>
                      <w:highlight w:val="none"/>
                      <w:lang w:val="en-US" w:eastAsia="zh-CN"/>
                    </w:rPr>
                    <w:t>41</w:t>
                  </w:r>
                </w:p>
              </w:tc>
              <w:tc>
                <w:tcPr>
                  <w:tcW w:w="1134" w:type="pct"/>
                  <w:tcBorders>
                    <w:tl2br w:val="nil"/>
                    <w:tr2bl w:val="nil"/>
                  </w:tcBorders>
                  <w:noWrap w:val="0"/>
                  <w:vAlign w:val="center"/>
                </w:tcPr>
                <w:p w14:paraId="03C5F42D">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827" w:type="pct"/>
                  <w:tcBorders>
                    <w:tl2br w:val="nil"/>
                    <w:tr2bl w:val="nil"/>
                  </w:tcBorders>
                  <w:noWrap w:val="0"/>
                  <w:vAlign w:val="center"/>
                </w:tcPr>
                <w:p w14:paraId="30808CB1">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3C30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00" w:type="pct"/>
                  <w:vMerge w:val="continue"/>
                  <w:tcBorders>
                    <w:tl2br w:val="nil"/>
                    <w:tr2bl w:val="nil"/>
                  </w:tcBorders>
                  <w:noWrap w:val="0"/>
                  <w:vAlign w:val="center"/>
                </w:tcPr>
                <w:p w14:paraId="24CA9EA1">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p>
              </w:tc>
              <w:tc>
                <w:tcPr>
                  <w:tcW w:w="937" w:type="pct"/>
                  <w:tcBorders>
                    <w:tl2br w:val="nil"/>
                    <w:tr2bl w:val="nil"/>
                  </w:tcBorders>
                  <w:noWrap w:val="0"/>
                  <w:vAlign w:val="center"/>
                </w:tcPr>
                <w:p w14:paraId="7FD3C1AE">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夜</w:t>
                  </w:r>
                  <w:r>
                    <w:rPr>
                      <w:rFonts w:hint="eastAsia" w:cs="Times New Roman"/>
                      <w:color w:val="auto"/>
                      <w:sz w:val="21"/>
                      <w:szCs w:val="21"/>
                      <w:highlight w:val="none"/>
                      <w:lang w:val="en-US" w:eastAsia="zh-CN"/>
                    </w:rPr>
                    <w:t>40</w:t>
                  </w:r>
                </w:p>
              </w:tc>
              <w:tc>
                <w:tcPr>
                  <w:tcW w:w="1134" w:type="pct"/>
                  <w:tcBorders>
                    <w:tl2br w:val="nil"/>
                    <w:tr2bl w:val="nil"/>
                  </w:tcBorders>
                  <w:noWrap w:val="0"/>
                  <w:vAlign w:val="center"/>
                </w:tcPr>
                <w:p w14:paraId="6066D1B3">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827" w:type="pct"/>
                  <w:tcBorders>
                    <w:tl2br w:val="nil"/>
                    <w:tr2bl w:val="nil"/>
                  </w:tcBorders>
                  <w:noWrap w:val="0"/>
                  <w:vAlign w:val="center"/>
                </w:tcPr>
                <w:p w14:paraId="44D30871">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566A645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outlineLvl w:val="9"/>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z w:val="24"/>
                <w:szCs w:val="24"/>
                <w:highlight w:val="none"/>
              </w:rPr>
              <w:t>现状监测评价结果表明，玛纳斯凤城加油站</w:t>
            </w:r>
            <w:r>
              <w:rPr>
                <w:rFonts w:hint="eastAsia" w:ascii="Times New Roman" w:hAnsi="Times New Roman" w:eastAsia="宋体" w:cs="Times New Roman"/>
                <w:color w:val="auto"/>
                <w:sz w:val="24"/>
                <w:szCs w:val="24"/>
                <w:highlight w:val="none"/>
                <w:lang w:val="en-US" w:eastAsia="zh-CN"/>
              </w:rPr>
              <w:t>项目区北侧</w:t>
            </w:r>
            <w:r>
              <w:rPr>
                <w:rFonts w:hint="default" w:ascii="Times New Roman" w:hAnsi="Times New Roman" w:eastAsia="宋体" w:cs="Times New Roman"/>
                <w:color w:val="auto"/>
                <w:sz w:val="24"/>
                <w:szCs w:val="24"/>
                <w:highlight w:val="none"/>
              </w:rPr>
              <w:t>的噪声值均符合《声环境质量标准》（GB3096-2008）的</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类功能区</w:t>
            </w:r>
            <w:r>
              <w:rPr>
                <w:rFonts w:hint="default" w:ascii="Times New Roman" w:hAnsi="Times New Roman" w:eastAsia="宋体" w:cs="Times New Roman"/>
                <w:color w:val="auto"/>
                <w:sz w:val="24"/>
                <w:szCs w:val="24"/>
                <w:highlight w:val="none"/>
              </w:rPr>
              <w:t>标准</w:t>
            </w:r>
            <w:r>
              <w:rPr>
                <w:rFonts w:hint="default" w:ascii="Times New Roman" w:hAnsi="Times New Roman" w:eastAsia="宋体" w:cs="Times New Roman"/>
                <w:color w:val="0000FF"/>
                <w:spacing w:val="0"/>
                <w:position w:val="0"/>
                <w:sz w:val="24"/>
                <w:szCs w:val="24"/>
              </w:rPr>
              <w:t>。</w:t>
            </w:r>
          </w:p>
          <w:p w14:paraId="526E41A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eastAsia"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3.4 </w:t>
            </w:r>
            <w:r>
              <w:rPr>
                <w:rFonts w:hint="eastAsia" w:ascii="Times New Roman" w:hAnsi="Times New Roman" w:eastAsia="宋体" w:cs="Times New Roman"/>
                <w:b/>
                <w:bCs/>
                <w:color w:val="000000" w:themeColor="text1"/>
                <w:sz w:val="24"/>
                <w:szCs w:val="24"/>
                <w14:textFill>
                  <w14:solidFill>
                    <w14:schemeClr w14:val="tx1"/>
                  </w14:solidFill>
                </w14:textFill>
              </w:rPr>
              <w:t>生态环境质量现状</w:t>
            </w:r>
          </w:p>
          <w:p w14:paraId="7A4CF3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ascii="宋体" w:hAnsi="宋体" w:cs="宋体"/>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依据《建设项目环境影响报告表编制技术指南（污染影响类）（试行）》：产业园区外建设项目新增用地且用地范围内含有生态环境保护目标时，应进行生态现状调查。本项目位于</w:t>
            </w:r>
            <w:r>
              <w:rPr>
                <w:rFonts w:hint="eastAsia" w:cs="Times New Roman"/>
                <w:color w:val="000000" w:themeColor="text1"/>
                <w:sz w:val="24"/>
                <w:szCs w:val="24"/>
                <w:lang w:eastAsia="zh-CN"/>
                <w14:textFill>
                  <w14:solidFill>
                    <w14:schemeClr w14:val="tx1"/>
                  </w14:solidFill>
                </w14:textFill>
              </w:rPr>
              <w:t>新疆维吾尔自治区昌吉回族自治州玛纳斯县玛纳斯镇乌伊西路242号</w:t>
            </w:r>
            <w:r>
              <w:rPr>
                <w:rFonts w:hint="eastAsia" w:ascii="Times New Roman" w:hAnsi="Times New Roman" w:eastAsia="宋体" w:cs="Times New Roman"/>
                <w:color w:val="000000" w:themeColor="text1"/>
                <w:sz w:val="24"/>
                <w:szCs w:val="24"/>
                <w14:textFill>
                  <w14:solidFill>
                    <w14:schemeClr w14:val="tx1"/>
                  </w14:solidFill>
                </w14:textFill>
              </w:rPr>
              <w:t>。根据现场调查及资料收集，本项目用地项目范围内无生态环境保护目标，因此不做生态环境质量现状调查。</w:t>
            </w:r>
          </w:p>
        </w:tc>
      </w:tr>
      <w:tr w14:paraId="01DD54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49" w:type="dxa"/>
            <w:noWrap w:val="0"/>
            <w:vAlign w:val="center"/>
          </w:tcPr>
          <w:p w14:paraId="7F831195">
            <w:pPr>
              <w:keepNext w:val="0"/>
              <w:keepLines w:val="0"/>
              <w:pageBreakBefore w:val="0"/>
              <w:widowControl w:val="0"/>
              <w:wordWrap/>
              <w:bidi w:val="0"/>
              <w:adjustRightInd w:val="0"/>
              <w:snapToGrid w:val="0"/>
              <w:jc w:val="center"/>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环境</w:t>
            </w:r>
          </w:p>
          <w:p w14:paraId="336F1FBE">
            <w:pPr>
              <w:keepNext w:val="0"/>
              <w:keepLines w:val="0"/>
              <w:pageBreakBefore w:val="0"/>
              <w:widowControl w:val="0"/>
              <w:wordWrap/>
              <w:bidi w:val="0"/>
              <w:adjustRightInd w:val="0"/>
              <w:snapToGrid w:val="0"/>
              <w:jc w:val="center"/>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保护</w:t>
            </w:r>
          </w:p>
          <w:p w14:paraId="5D771CF0">
            <w:pPr>
              <w:keepNext w:val="0"/>
              <w:keepLines w:val="0"/>
              <w:pageBreakBefore w:val="0"/>
              <w:widowControl w:val="0"/>
              <w:wordWrap/>
              <w:bidi w:val="0"/>
              <w:adjustRightInd w:val="0"/>
              <w:snapToGrid w:val="0"/>
              <w:jc w:val="center"/>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目标</w:t>
            </w:r>
          </w:p>
        </w:tc>
        <w:tc>
          <w:tcPr>
            <w:tcW w:w="8612" w:type="dxa"/>
            <w:noWrap w:val="0"/>
            <w:vAlign w:val="center"/>
          </w:tcPr>
          <w:p w14:paraId="131FB69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大气环境</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：本项目周边500m范围内无自然保护区、风景名胜区、文化区和农村地区中人群较集中的区域等大气环境保护目标，主要保护目标问项目区</w:t>
            </w:r>
            <w:r>
              <w:rPr>
                <w:rFonts w:hint="eastAsia" w:cs="Times New Roman"/>
                <w:b w:val="0"/>
                <w:bCs w:val="0"/>
                <w:color w:val="000000" w:themeColor="text1"/>
                <w:kern w:val="0"/>
                <w:sz w:val="24"/>
                <w:szCs w:val="24"/>
                <w:lang w:val="en-US" w:eastAsia="zh-CN"/>
                <w14:textFill>
                  <w14:solidFill>
                    <w14:schemeClr w14:val="tx1"/>
                  </w14:solidFill>
                </w14:textFill>
              </w:rPr>
              <w:t>北</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侧约</w:t>
            </w:r>
            <w:r>
              <w:rPr>
                <w:rFonts w:hint="eastAsia" w:cs="Times New Roman"/>
                <w:b w:val="0"/>
                <w:bCs w:val="0"/>
                <w:color w:val="000000" w:themeColor="text1"/>
                <w:kern w:val="0"/>
                <w:sz w:val="24"/>
                <w:szCs w:val="24"/>
                <w:lang w:val="en-US" w:eastAsia="zh-CN"/>
                <w14:textFill>
                  <w14:solidFill>
                    <w14:schemeClr w14:val="tx1"/>
                  </w14:solidFill>
                </w14:textFill>
              </w:rPr>
              <w:t>80</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m处的居民区，环境保护目标详见表3-4。</w:t>
            </w:r>
          </w:p>
          <w:p w14:paraId="484F7E3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val="0"/>
                <w:bCs w:val="0"/>
                <w:color w:val="0000FF"/>
                <w:kern w:val="0"/>
                <w:sz w:val="24"/>
                <w:szCs w:val="24"/>
                <w:lang w:val="en-US" w:eastAsia="zh-CN"/>
              </w:rPr>
            </w:pP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声环境：</w:t>
            </w:r>
            <w:r>
              <w:rPr>
                <w:rFonts w:hint="eastAsia" w:ascii="Times New Roman" w:hAnsi="Times New Roman" w:eastAsia="宋体" w:cs="Times New Roman"/>
                <w:b w:val="0"/>
                <w:bCs w:val="0"/>
                <w:color w:val="0000FF"/>
                <w:kern w:val="0"/>
                <w:sz w:val="24"/>
                <w:szCs w:val="24"/>
                <w:lang w:eastAsia="zh-CN"/>
              </w:rPr>
              <w:t>本项目</w:t>
            </w:r>
            <w:r>
              <w:rPr>
                <w:rFonts w:hint="eastAsia" w:ascii="Times New Roman" w:hAnsi="Times New Roman" w:eastAsia="宋体" w:cs="Times New Roman"/>
                <w:b w:val="0"/>
                <w:bCs w:val="0"/>
                <w:color w:val="0000FF"/>
                <w:sz w:val="24"/>
                <w:szCs w:val="24"/>
                <w:u w:val="none"/>
                <w:lang w:eastAsia="zh-CN"/>
              </w:rPr>
              <w:t>周边</w:t>
            </w:r>
            <w:r>
              <w:rPr>
                <w:rFonts w:hint="eastAsia" w:ascii="Times New Roman" w:hAnsi="Times New Roman" w:eastAsia="宋体" w:cs="Times New Roman"/>
                <w:b w:val="0"/>
                <w:bCs w:val="0"/>
                <w:color w:val="0000FF"/>
                <w:sz w:val="24"/>
                <w:szCs w:val="24"/>
                <w:u w:val="none"/>
                <w:lang w:val="en-US" w:eastAsia="zh-CN"/>
              </w:rPr>
              <w:t>50m范围内</w:t>
            </w:r>
            <w:r>
              <w:rPr>
                <w:rFonts w:hint="eastAsia" w:cs="Times New Roman"/>
                <w:b w:val="0"/>
                <w:bCs w:val="0"/>
                <w:color w:val="0000FF"/>
                <w:sz w:val="24"/>
                <w:szCs w:val="24"/>
                <w:u w:val="none"/>
                <w:lang w:val="en-US" w:eastAsia="zh-CN"/>
              </w:rPr>
              <w:t>无医院、学校、机关、科研单位等，主要</w:t>
            </w:r>
            <w:r>
              <w:rPr>
                <w:rFonts w:hint="eastAsia" w:ascii="Times New Roman" w:hAnsi="Times New Roman" w:eastAsia="宋体" w:cs="Times New Roman"/>
                <w:b w:val="0"/>
                <w:bCs w:val="0"/>
                <w:color w:val="0000FF"/>
                <w:sz w:val="24"/>
                <w:szCs w:val="24"/>
                <w:u w:val="none"/>
                <w:lang w:eastAsia="zh-CN"/>
              </w:rPr>
              <w:t>声环境保护目标</w:t>
            </w:r>
            <w:r>
              <w:rPr>
                <w:rFonts w:hint="eastAsia" w:cs="Times New Roman"/>
                <w:b w:val="0"/>
                <w:bCs w:val="0"/>
                <w:color w:val="0000FF"/>
                <w:sz w:val="24"/>
                <w:szCs w:val="24"/>
                <w:u w:val="none"/>
                <w:lang w:eastAsia="zh-CN"/>
              </w:rPr>
              <w:t>为项目区北侧凤城小区</w:t>
            </w:r>
            <w:r>
              <w:rPr>
                <w:rFonts w:hint="eastAsia" w:ascii="Times New Roman" w:hAnsi="Times New Roman" w:eastAsia="宋体" w:cs="Times New Roman"/>
                <w:b w:val="0"/>
                <w:bCs w:val="0"/>
                <w:color w:val="0000FF"/>
                <w:sz w:val="24"/>
                <w:szCs w:val="24"/>
                <w:u w:val="none"/>
                <w:lang w:eastAsia="zh-CN"/>
              </w:rPr>
              <w:t>。</w:t>
            </w:r>
          </w:p>
          <w:p w14:paraId="2D12AE5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地下水环境：</w:t>
            </w:r>
            <w:r>
              <w:rPr>
                <w:rFonts w:hint="eastAsia" w:ascii="Times New Roman" w:hAnsi="Times New Roman" w:eastAsia="宋体" w:cs="Times New Roman"/>
                <w:b w:val="0"/>
                <w:bCs w:val="0"/>
                <w:color w:val="000000" w:themeColor="text1"/>
                <w:kern w:val="0"/>
                <w:sz w:val="24"/>
                <w:szCs w:val="24"/>
                <w:lang w:eastAsia="zh-CN"/>
                <w14:textFill>
                  <w14:solidFill>
                    <w14:schemeClr w14:val="tx1"/>
                  </w14:solidFill>
                </w14:textFill>
              </w:rPr>
              <w:t>本项目周边</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500m范围内无地下水集中式饮用水水源和热水、矿泉水、温泉等特殊地下水资源。</w:t>
            </w:r>
          </w:p>
          <w:p w14:paraId="71A04B1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val="0"/>
                <w:bCs w:val="0"/>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生态环境：</w:t>
            </w:r>
            <w:r>
              <w:rPr>
                <w:rFonts w:hint="eastAsia" w:ascii="Times New Roman" w:hAnsi="Times New Roman" w:eastAsia="宋体" w:cs="Times New Roman"/>
                <w:b w:val="0"/>
                <w:bCs w:val="0"/>
                <w:color w:val="000000" w:themeColor="text1"/>
                <w:kern w:val="0"/>
                <w:sz w:val="24"/>
                <w:szCs w:val="24"/>
                <w:lang w:eastAsia="zh-CN"/>
                <w14:textFill>
                  <w14:solidFill>
                    <w14:schemeClr w14:val="tx1"/>
                  </w14:solidFill>
                </w14:textFill>
              </w:rPr>
              <w:t>本项目周边不存在生态环境保护目标。</w:t>
            </w:r>
          </w:p>
          <w:p w14:paraId="09CCC03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0000FF"/>
                <w:sz w:val="21"/>
                <w:szCs w:val="21"/>
              </w:rPr>
            </w:pPr>
            <w:r>
              <w:rPr>
                <w:rFonts w:ascii="Times New Roman" w:hAnsi="Times New Roman"/>
                <w:b/>
                <w:bCs/>
                <w:color w:val="0000FF"/>
                <w:sz w:val="21"/>
                <w:szCs w:val="21"/>
              </w:rPr>
              <w:t>表3-</w:t>
            </w:r>
            <w:r>
              <w:rPr>
                <w:rFonts w:hint="eastAsia"/>
                <w:b/>
                <w:bCs/>
                <w:color w:val="0000FF"/>
                <w:sz w:val="21"/>
                <w:szCs w:val="21"/>
                <w:lang w:val="en-US" w:eastAsia="zh-CN"/>
              </w:rPr>
              <w:t>7</w:t>
            </w:r>
            <w:r>
              <w:rPr>
                <w:rFonts w:ascii="Times New Roman" w:hAnsi="Times New Roman"/>
                <w:b/>
                <w:bCs/>
                <w:color w:val="0000FF"/>
                <w:sz w:val="21"/>
                <w:szCs w:val="21"/>
              </w:rPr>
              <w:t xml:space="preserve">    环境保护目标汇总表</w:t>
            </w:r>
          </w:p>
          <w:tbl>
            <w:tblPr>
              <w:tblStyle w:val="3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315"/>
              <w:gridCol w:w="1573"/>
              <w:gridCol w:w="887"/>
              <w:gridCol w:w="986"/>
              <w:gridCol w:w="2755"/>
            </w:tblGrid>
            <w:tr w14:paraId="44909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6" w:type="pct"/>
                  <w:tcBorders>
                    <w:tl2br w:val="nil"/>
                    <w:tr2bl w:val="nil"/>
                  </w:tcBorders>
                  <w:noWrap w:val="0"/>
                  <w:vAlign w:val="center"/>
                </w:tcPr>
                <w:p w14:paraId="22ABEBE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bCs/>
                      <w:color w:val="0000FF"/>
                      <w:sz w:val="21"/>
                      <w:szCs w:val="21"/>
                    </w:rPr>
                  </w:pPr>
                  <w:r>
                    <w:rPr>
                      <w:rFonts w:ascii="Times New Roman" w:hAnsi="Times New Roman"/>
                      <w:b/>
                      <w:bCs/>
                      <w:color w:val="0000FF"/>
                      <w:sz w:val="21"/>
                      <w:szCs w:val="21"/>
                    </w:rPr>
                    <w:t>类别</w:t>
                  </w:r>
                </w:p>
              </w:tc>
              <w:tc>
                <w:tcPr>
                  <w:tcW w:w="784" w:type="pct"/>
                  <w:tcBorders>
                    <w:tl2br w:val="nil"/>
                    <w:tr2bl w:val="nil"/>
                  </w:tcBorders>
                  <w:noWrap w:val="0"/>
                  <w:vAlign w:val="center"/>
                </w:tcPr>
                <w:p w14:paraId="386488A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bCs/>
                      <w:color w:val="0000FF"/>
                      <w:sz w:val="21"/>
                      <w:szCs w:val="21"/>
                    </w:rPr>
                  </w:pPr>
                  <w:r>
                    <w:rPr>
                      <w:rFonts w:ascii="Times New Roman" w:hAnsi="Times New Roman"/>
                      <w:b/>
                      <w:bCs/>
                      <w:color w:val="0000FF"/>
                      <w:sz w:val="21"/>
                      <w:szCs w:val="21"/>
                    </w:rPr>
                    <w:t>保护目标</w:t>
                  </w:r>
                </w:p>
                <w:p w14:paraId="44DEDFF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bCs/>
                      <w:color w:val="0000FF"/>
                      <w:sz w:val="21"/>
                      <w:szCs w:val="21"/>
                    </w:rPr>
                  </w:pPr>
                  <w:r>
                    <w:rPr>
                      <w:rFonts w:ascii="Times New Roman" w:hAnsi="Times New Roman"/>
                      <w:b/>
                      <w:bCs/>
                      <w:color w:val="0000FF"/>
                      <w:sz w:val="21"/>
                      <w:szCs w:val="21"/>
                    </w:rPr>
                    <w:t>名称</w:t>
                  </w:r>
                </w:p>
              </w:tc>
              <w:tc>
                <w:tcPr>
                  <w:tcW w:w="938" w:type="pct"/>
                  <w:tcBorders>
                    <w:tl2br w:val="nil"/>
                    <w:tr2bl w:val="nil"/>
                  </w:tcBorders>
                  <w:noWrap w:val="0"/>
                  <w:vAlign w:val="center"/>
                </w:tcPr>
                <w:p w14:paraId="46B2728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
                      <w:bCs/>
                      <w:color w:val="0000FF"/>
                      <w:sz w:val="21"/>
                      <w:szCs w:val="21"/>
                      <w:lang w:eastAsia="zh-CN"/>
                    </w:rPr>
                  </w:pPr>
                  <w:r>
                    <w:rPr>
                      <w:rFonts w:hint="eastAsia" w:ascii="Times New Roman" w:hAnsi="Times New Roman"/>
                      <w:b/>
                      <w:bCs/>
                      <w:color w:val="0000FF"/>
                      <w:sz w:val="21"/>
                      <w:szCs w:val="21"/>
                      <w:lang w:eastAsia="zh-CN"/>
                    </w:rPr>
                    <w:t>与建设项目位置关系</w:t>
                  </w:r>
                </w:p>
              </w:tc>
              <w:tc>
                <w:tcPr>
                  <w:tcW w:w="529" w:type="pct"/>
                  <w:tcBorders>
                    <w:tl2br w:val="nil"/>
                    <w:tr2bl w:val="nil"/>
                  </w:tcBorders>
                  <w:noWrap w:val="0"/>
                  <w:vAlign w:val="center"/>
                </w:tcPr>
                <w:p w14:paraId="441BAE9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b/>
                      <w:bCs/>
                      <w:color w:val="0000FF"/>
                      <w:sz w:val="21"/>
                      <w:szCs w:val="21"/>
                      <w:lang w:eastAsia="zh-CN"/>
                    </w:rPr>
                  </w:pPr>
                  <w:r>
                    <w:rPr>
                      <w:rFonts w:hint="eastAsia" w:ascii="Times New Roman" w:hAnsi="Times New Roman"/>
                      <w:b/>
                      <w:bCs/>
                      <w:color w:val="0000FF"/>
                      <w:sz w:val="21"/>
                      <w:szCs w:val="21"/>
                      <w:lang w:eastAsia="zh-CN"/>
                    </w:rPr>
                    <w:t>规模</w:t>
                  </w:r>
                </w:p>
              </w:tc>
              <w:tc>
                <w:tcPr>
                  <w:tcW w:w="588" w:type="pct"/>
                  <w:tcBorders>
                    <w:tl2br w:val="nil"/>
                    <w:tr2bl w:val="nil"/>
                  </w:tcBorders>
                  <w:noWrap w:val="0"/>
                  <w:vAlign w:val="center"/>
                </w:tcPr>
                <w:p w14:paraId="3A39F08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
                      <w:bCs/>
                      <w:color w:val="0000FF"/>
                      <w:sz w:val="21"/>
                      <w:szCs w:val="21"/>
                      <w:lang w:eastAsia="zh-CN"/>
                    </w:rPr>
                  </w:pPr>
                  <w:r>
                    <w:rPr>
                      <w:rFonts w:hint="eastAsia" w:ascii="Times New Roman" w:hAnsi="Times New Roman"/>
                      <w:b/>
                      <w:bCs/>
                      <w:color w:val="0000FF"/>
                      <w:sz w:val="21"/>
                      <w:szCs w:val="21"/>
                      <w:lang w:eastAsia="zh-CN"/>
                    </w:rPr>
                    <w:t>主要保护对象</w:t>
                  </w:r>
                </w:p>
              </w:tc>
              <w:tc>
                <w:tcPr>
                  <w:tcW w:w="1642" w:type="pct"/>
                  <w:tcBorders>
                    <w:tl2br w:val="nil"/>
                    <w:tr2bl w:val="nil"/>
                  </w:tcBorders>
                  <w:noWrap w:val="0"/>
                  <w:vAlign w:val="center"/>
                </w:tcPr>
                <w:p w14:paraId="37E18F3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bCs/>
                      <w:color w:val="0000FF"/>
                      <w:sz w:val="21"/>
                      <w:szCs w:val="21"/>
                    </w:rPr>
                  </w:pPr>
                  <w:r>
                    <w:rPr>
                      <w:rFonts w:ascii="Times New Roman" w:hAnsi="Times New Roman"/>
                      <w:b/>
                      <w:bCs/>
                      <w:color w:val="0000FF"/>
                      <w:sz w:val="21"/>
                      <w:szCs w:val="21"/>
                    </w:rPr>
                    <w:t>环境功能</w:t>
                  </w:r>
                </w:p>
              </w:tc>
            </w:tr>
            <w:tr w14:paraId="18948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tcBorders>
                    <w:tl2br w:val="nil"/>
                    <w:tr2bl w:val="nil"/>
                  </w:tcBorders>
                  <w:noWrap w:val="0"/>
                  <w:vAlign w:val="center"/>
                </w:tcPr>
                <w:p w14:paraId="098DBCF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0000FF"/>
                      <w:sz w:val="21"/>
                      <w:szCs w:val="21"/>
                    </w:rPr>
                  </w:pPr>
                  <w:r>
                    <w:rPr>
                      <w:rFonts w:ascii="Times New Roman" w:hAnsi="Times New Roman"/>
                      <w:color w:val="0000FF"/>
                      <w:sz w:val="21"/>
                      <w:szCs w:val="21"/>
                    </w:rPr>
                    <w:t>声环境</w:t>
                  </w:r>
                </w:p>
              </w:tc>
              <w:tc>
                <w:tcPr>
                  <w:tcW w:w="784" w:type="pct"/>
                  <w:tcBorders>
                    <w:tl2br w:val="nil"/>
                    <w:tr2bl w:val="nil"/>
                  </w:tcBorders>
                  <w:noWrap w:val="0"/>
                  <w:vAlign w:val="center"/>
                </w:tcPr>
                <w:p w14:paraId="7E6040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olor w:val="0000FF"/>
                      <w:sz w:val="21"/>
                      <w:szCs w:val="21"/>
                      <w:lang w:val="en-US" w:eastAsia="zh-CN"/>
                    </w:rPr>
                  </w:pPr>
                  <w:r>
                    <w:rPr>
                      <w:rFonts w:hint="eastAsia" w:ascii="Times New Roman" w:hAnsi="Times New Roman"/>
                      <w:color w:val="0000FF"/>
                      <w:sz w:val="21"/>
                      <w:szCs w:val="21"/>
                      <w:lang w:val="en-US" w:eastAsia="zh-CN"/>
                    </w:rPr>
                    <w:t>凤城小区</w:t>
                  </w:r>
                </w:p>
              </w:tc>
              <w:tc>
                <w:tcPr>
                  <w:tcW w:w="938" w:type="pct"/>
                  <w:tcBorders>
                    <w:tl2br w:val="nil"/>
                    <w:tr2bl w:val="nil"/>
                  </w:tcBorders>
                  <w:noWrap w:val="0"/>
                  <w:vAlign w:val="center"/>
                </w:tcPr>
                <w:p w14:paraId="6D08CD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olor w:val="0000FF"/>
                      <w:kern w:val="2"/>
                      <w:sz w:val="21"/>
                      <w:szCs w:val="21"/>
                      <w:lang w:val="en-US" w:eastAsia="zh-CN" w:bidi="ar-SA"/>
                    </w:rPr>
                  </w:pPr>
                  <w:r>
                    <w:rPr>
                      <w:rFonts w:hint="eastAsia" w:ascii="Times New Roman" w:hAnsi="Times New Roman"/>
                      <w:color w:val="0000FF"/>
                      <w:kern w:val="2"/>
                      <w:sz w:val="21"/>
                      <w:szCs w:val="21"/>
                      <w:lang w:val="en-US" w:eastAsia="zh-CN" w:bidi="ar-SA"/>
                    </w:rPr>
                    <w:t>北侧，最近距离30m</w:t>
                  </w:r>
                </w:p>
              </w:tc>
              <w:tc>
                <w:tcPr>
                  <w:tcW w:w="529" w:type="pct"/>
                  <w:tcBorders>
                    <w:tl2br w:val="nil"/>
                    <w:tr2bl w:val="nil"/>
                  </w:tcBorders>
                  <w:shd w:val="clear" w:color="auto" w:fill="auto"/>
                  <w:noWrap w:val="0"/>
                  <w:vAlign w:val="center"/>
                </w:tcPr>
                <w:p w14:paraId="0E3B135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color w:val="0000FF"/>
                      <w:sz w:val="21"/>
                      <w:szCs w:val="21"/>
                      <w:lang w:val="en-US" w:eastAsia="zh-CN"/>
                    </w:rPr>
                    <w:t>1500人</w:t>
                  </w:r>
                </w:p>
              </w:tc>
              <w:tc>
                <w:tcPr>
                  <w:tcW w:w="588" w:type="pct"/>
                  <w:tcBorders>
                    <w:tl2br w:val="nil"/>
                    <w:tr2bl w:val="nil"/>
                  </w:tcBorders>
                  <w:shd w:val="clear" w:color="auto" w:fill="auto"/>
                  <w:noWrap w:val="0"/>
                  <w:vAlign w:val="center"/>
                </w:tcPr>
                <w:p w14:paraId="5428C4F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color w:val="0000FF"/>
                      <w:sz w:val="21"/>
                      <w:szCs w:val="21"/>
                      <w:lang w:eastAsia="zh-CN"/>
                    </w:rPr>
                    <w:t>居民</w:t>
                  </w:r>
                </w:p>
              </w:tc>
              <w:tc>
                <w:tcPr>
                  <w:tcW w:w="1642" w:type="pct"/>
                  <w:tcBorders>
                    <w:tl2br w:val="nil"/>
                    <w:tr2bl w:val="nil"/>
                  </w:tcBorders>
                  <w:shd w:val="clear" w:color="auto" w:fill="auto"/>
                  <w:noWrap w:val="0"/>
                  <w:vAlign w:val="center"/>
                </w:tcPr>
                <w:p w14:paraId="422E10A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0000FF"/>
                      <w:kern w:val="2"/>
                      <w:sz w:val="21"/>
                      <w:szCs w:val="21"/>
                      <w:lang w:val="en-US" w:eastAsia="zh-CN" w:bidi="ar-SA"/>
                    </w:rPr>
                  </w:pPr>
                  <w:r>
                    <w:rPr>
                      <w:rFonts w:ascii="Times New Roman" w:hAnsi="Times New Roman"/>
                      <w:color w:val="0000FF"/>
                      <w:sz w:val="21"/>
                      <w:szCs w:val="21"/>
                    </w:rPr>
                    <w:t>《声环境质量标准》（GB3096-2008）</w:t>
                  </w:r>
                  <w:r>
                    <w:rPr>
                      <w:rFonts w:hint="eastAsia"/>
                      <w:color w:val="0000FF"/>
                      <w:sz w:val="21"/>
                      <w:szCs w:val="21"/>
                      <w:lang w:val="en-US" w:eastAsia="zh-CN"/>
                    </w:rPr>
                    <w:t>2</w:t>
                  </w:r>
                  <w:r>
                    <w:rPr>
                      <w:rFonts w:hint="eastAsia" w:ascii="Times New Roman" w:hAnsi="Times New Roman"/>
                      <w:color w:val="0000FF"/>
                      <w:sz w:val="21"/>
                      <w:szCs w:val="21"/>
                      <w:lang w:eastAsia="zh-CN"/>
                    </w:rPr>
                    <w:t>类</w:t>
                  </w:r>
                  <w:r>
                    <w:rPr>
                      <w:rFonts w:ascii="Times New Roman" w:hAnsi="Times New Roman"/>
                      <w:color w:val="0000FF"/>
                      <w:sz w:val="21"/>
                      <w:szCs w:val="21"/>
                    </w:rPr>
                    <w:t>区标准</w:t>
                  </w:r>
                </w:p>
              </w:tc>
            </w:tr>
            <w:tr w14:paraId="3BA59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restart"/>
                  <w:tcBorders>
                    <w:tl2br w:val="nil"/>
                    <w:tr2bl w:val="nil"/>
                  </w:tcBorders>
                  <w:noWrap w:val="0"/>
                  <w:vAlign w:val="center"/>
                </w:tcPr>
                <w:p w14:paraId="7408D2AE">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0000FF"/>
                      <w:sz w:val="21"/>
                      <w:szCs w:val="21"/>
                    </w:rPr>
                  </w:pPr>
                  <w:r>
                    <w:rPr>
                      <w:rFonts w:ascii="Times New Roman" w:hAnsi="Times New Roman"/>
                      <w:color w:val="0000FF"/>
                      <w:sz w:val="21"/>
                      <w:szCs w:val="21"/>
                    </w:rPr>
                    <w:t>大气环境</w:t>
                  </w:r>
                </w:p>
              </w:tc>
              <w:tc>
                <w:tcPr>
                  <w:tcW w:w="784" w:type="pct"/>
                  <w:tcBorders>
                    <w:tl2br w:val="nil"/>
                    <w:tr2bl w:val="nil"/>
                  </w:tcBorders>
                  <w:shd w:val="clear" w:color="auto" w:fill="auto"/>
                  <w:noWrap w:val="0"/>
                  <w:vAlign w:val="center"/>
                </w:tcPr>
                <w:p w14:paraId="10263AC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color w:val="0000FF"/>
                      <w:sz w:val="21"/>
                      <w:szCs w:val="21"/>
                      <w:lang w:val="en-US" w:eastAsia="zh-CN"/>
                    </w:rPr>
                    <w:t>凤城小区</w:t>
                  </w:r>
                </w:p>
              </w:tc>
              <w:tc>
                <w:tcPr>
                  <w:tcW w:w="938" w:type="pct"/>
                  <w:tcBorders>
                    <w:tl2br w:val="nil"/>
                    <w:tr2bl w:val="nil"/>
                  </w:tcBorders>
                  <w:shd w:val="clear" w:color="auto" w:fill="auto"/>
                  <w:noWrap w:val="0"/>
                  <w:vAlign w:val="center"/>
                </w:tcPr>
                <w:p w14:paraId="466483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color w:val="0000FF"/>
                      <w:kern w:val="2"/>
                      <w:sz w:val="21"/>
                      <w:szCs w:val="21"/>
                      <w:lang w:val="en-US" w:eastAsia="zh-CN" w:bidi="ar-SA"/>
                    </w:rPr>
                    <w:t>北侧，最近距离30m</w:t>
                  </w:r>
                </w:p>
              </w:tc>
              <w:tc>
                <w:tcPr>
                  <w:tcW w:w="529" w:type="pct"/>
                  <w:tcBorders>
                    <w:tl2br w:val="nil"/>
                    <w:tr2bl w:val="nil"/>
                  </w:tcBorders>
                  <w:noWrap w:val="0"/>
                  <w:vAlign w:val="center"/>
                </w:tcPr>
                <w:p w14:paraId="21C498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0000FF"/>
                      <w:sz w:val="21"/>
                      <w:szCs w:val="21"/>
                      <w:lang w:val="en-US" w:eastAsia="zh-CN"/>
                    </w:rPr>
                  </w:pPr>
                  <w:r>
                    <w:rPr>
                      <w:rFonts w:hint="eastAsia" w:ascii="Times New Roman" w:hAnsi="Times New Roman"/>
                      <w:color w:val="0000FF"/>
                      <w:sz w:val="21"/>
                      <w:szCs w:val="21"/>
                      <w:lang w:val="en-US" w:eastAsia="zh-CN"/>
                    </w:rPr>
                    <w:t>6500人</w:t>
                  </w:r>
                </w:p>
              </w:tc>
              <w:tc>
                <w:tcPr>
                  <w:tcW w:w="588" w:type="pct"/>
                  <w:tcBorders>
                    <w:tl2br w:val="nil"/>
                    <w:tr2bl w:val="nil"/>
                  </w:tcBorders>
                  <w:noWrap w:val="0"/>
                  <w:vAlign w:val="center"/>
                </w:tcPr>
                <w:p w14:paraId="57C6D1C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0000FF"/>
                      <w:sz w:val="21"/>
                      <w:szCs w:val="21"/>
                      <w:lang w:eastAsia="zh-CN"/>
                    </w:rPr>
                  </w:pPr>
                  <w:r>
                    <w:rPr>
                      <w:rFonts w:hint="eastAsia" w:ascii="Times New Roman" w:hAnsi="Times New Roman"/>
                      <w:color w:val="0000FF"/>
                      <w:sz w:val="21"/>
                      <w:szCs w:val="21"/>
                      <w:lang w:eastAsia="zh-CN"/>
                    </w:rPr>
                    <w:t>居民</w:t>
                  </w:r>
                </w:p>
              </w:tc>
              <w:tc>
                <w:tcPr>
                  <w:tcW w:w="1642" w:type="pct"/>
                  <w:vMerge w:val="restart"/>
                  <w:tcBorders>
                    <w:tl2br w:val="nil"/>
                    <w:tr2bl w:val="nil"/>
                  </w:tcBorders>
                  <w:noWrap w:val="0"/>
                  <w:vAlign w:val="center"/>
                </w:tcPr>
                <w:p w14:paraId="4F6240E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0000FF"/>
                      <w:sz w:val="21"/>
                      <w:szCs w:val="21"/>
                    </w:rPr>
                  </w:pPr>
                  <w:r>
                    <w:rPr>
                      <w:rFonts w:ascii="Times New Roman" w:hAnsi="Times New Roman"/>
                      <w:color w:val="0000FF"/>
                      <w:sz w:val="21"/>
                      <w:szCs w:val="21"/>
                    </w:rPr>
                    <w:t>《环境空气质量标准》（GB3095-2012）及修改单中二级标准</w:t>
                  </w:r>
                </w:p>
              </w:tc>
            </w:tr>
            <w:tr w14:paraId="22ED8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tcBorders>
                    <w:tl2br w:val="nil"/>
                    <w:tr2bl w:val="nil"/>
                  </w:tcBorders>
                  <w:noWrap w:val="0"/>
                  <w:vAlign w:val="center"/>
                </w:tcPr>
                <w:p w14:paraId="4CC00A0F">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0000FF"/>
                      <w:sz w:val="21"/>
                      <w:szCs w:val="21"/>
                    </w:rPr>
                  </w:pPr>
                </w:p>
              </w:tc>
              <w:tc>
                <w:tcPr>
                  <w:tcW w:w="784" w:type="pct"/>
                  <w:tcBorders>
                    <w:tl2br w:val="nil"/>
                    <w:tr2bl w:val="nil"/>
                  </w:tcBorders>
                  <w:noWrap w:val="0"/>
                  <w:vAlign w:val="center"/>
                </w:tcPr>
                <w:p w14:paraId="5758FB7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玉缘新城</w:t>
                  </w:r>
                </w:p>
              </w:tc>
              <w:tc>
                <w:tcPr>
                  <w:tcW w:w="938" w:type="pct"/>
                  <w:tcBorders>
                    <w:tl2br w:val="nil"/>
                    <w:tr2bl w:val="nil"/>
                  </w:tcBorders>
                  <w:noWrap w:val="0"/>
                  <w:vAlign w:val="center"/>
                </w:tcPr>
                <w:p w14:paraId="0ABA91B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color w:val="0000FF"/>
                      <w:kern w:val="2"/>
                      <w:sz w:val="21"/>
                      <w:szCs w:val="21"/>
                      <w:lang w:val="en-US" w:eastAsia="zh-CN" w:bidi="ar-SA"/>
                    </w:rPr>
                    <w:t>西南侧，最近距离300m</w:t>
                  </w:r>
                </w:p>
              </w:tc>
              <w:tc>
                <w:tcPr>
                  <w:tcW w:w="529" w:type="pct"/>
                  <w:tcBorders>
                    <w:tl2br w:val="nil"/>
                    <w:tr2bl w:val="nil"/>
                  </w:tcBorders>
                  <w:noWrap w:val="0"/>
                  <w:vAlign w:val="center"/>
                </w:tcPr>
                <w:p w14:paraId="2488F0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5500人</w:t>
                  </w:r>
                </w:p>
              </w:tc>
              <w:tc>
                <w:tcPr>
                  <w:tcW w:w="588" w:type="pct"/>
                  <w:tcBorders>
                    <w:tl2br w:val="nil"/>
                    <w:tr2bl w:val="nil"/>
                  </w:tcBorders>
                  <w:noWrap w:val="0"/>
                  <w:vAlign w:val="center"/>
                </w:tcPr>
                <w:p w14:paraId="7A90F8E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color w:val="0000FF"/>
                      <w:sz w:val="21"/>
                      <w:szCs w:val="21"/>
                      <w:lang w:eastAsia="zh-CN"/>
                    </w:rPr>
                    <w:t>居民</w:t>
                  </w:r>
                </w:p>
              </w:tc>
              <w:tc>
                <w:tcPr>
                  <w:tcW w:w="1642" w:type="pct"/>
                  <w:vMerge w:val="continue"/>
                  <w:tcBorders>
                    <w:tl2br w:val="nil"/>
                    <w:tr2bl w:val="nil"/>
                  </w:tcBorders>
                  <w:noWrap w:val="0"/>
                  <w:vAlign w:val="center"/>
                </w:tcPr>
                <w:p w14:paraId="184D2DD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0000FF"/>
                      <w:sz w:val="21"/>
                      <w:szCs w:val="21"/>
                    </w:rPr>
                  </w:pPr>
                </w:p>
              </w:tc>
            </w:tr>
            <w:tr w14:paraId="065FE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tcBorders>
                    <w:tl2br w:val="nil"/>
                    <w:tr2bl w:val="nil"/>
                  </w:tcBorders>
                  <w:noWrap w:val="0"/>
                  <w:vAlign w:val="center"/>
                </w:tcPr>
                <w:p w14:paraId="0860FFF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0000FF"/>
                      <w:sz w:val="21"/>
                      <w:szCs w:val="21"/>
                    </w:rPr>
                  </w:pPr>
                </w:p>
              </w:tc>
              <w:tc>
                <w:tcPr>
                  <w:tcW w:w="784" w:type="pct"/>
                  <w:tcBorders>
                    <w:tl2br w:val="nil"/>
                    <w:tr2bl w:val="nil"/>
                  </w:tcBorders>
                  <w:noWrap w:val="0"/>
                  <w:vAlign w:val="center"/>
                </w:tcPr>
                <w:p w14:paraId="63D463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小区</w:t>
                  </w:r>
                </w:p>
              </w:tc>
              <w:tc>
                <w:tcPr>
                  <w:tcW w:w="938" w:type="pct"/>
                  <w:tcBorders>
                    <w:tl2br w:val="nil"/>
                    <w:tr2bl w:val="nil"/>
                  </w:tcBorders>
                  <w:noWrap w:val="0"/>
                  <w:vAlign w:val="center"/>
                </w:tcPr>
                <w:p w14:paraId="61EDA38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color w:val="0000FF"/>
                      <w:kern w:val="2"/>
                      <w:sz w:val="21"/>
                      <w:szCs w:val="21"/>
                      <w:lang w:val="en-US" w:eastAsia="zh-CN" w:bidi="ar-SA"/>
                    </w:rPr>
                    <w:t>南侧，最近距离380m</w:t>
                  </w:r>
                </w:p>
              </w:tc>
              <w:tc>
                <w:tcPr>
                  <w:tcW w:w="529" w:type="pct"/>
                  <w:tcBorders>
                    <w:tl2br w:val="nil"/>
                    <w:tr2bl w:val="nil"/>
                  </w:tcBorders>
                  <w:noWrap w:val="0"/>
                  <w:vAlign w:val="center"/>
                </w:tcPr>
                <w:p w14:paraId="0E8471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4500人</w:t>
                  </w:r>
                </w:p>
              </w:tc>
              <w:tc>
                <w:tcPr>
                  <w:tcW w:w="588" w:type="pct"/>
                  <w:tcBorders>
                    <w:tl2br w:val="nil"/>
                    <w:tr2bl w:val="nil"/>
                  </w:tcBorders>
                  <w:noWrap w:val="0"/>
                  <w:vAlign w:val="center"/>
                </w:tcPr>
                <w:p w14:paraId="2C74FC4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color w:val="0000FF"/>
                      <w:sz w:val="21"/>
                      <w:szCs w:val="21"/>
                      <w:lang w:eastAsia="zh-CN"/>
                    </w:rPr>
                    <w:t>居民</w:t>
                  </w:r>
                </w:p>
              </w:tc>
              <w:tc>
                <w:tcPr>
                  <w:tcW w:w="1642" w:type="pct"/>
                  <w:vMerge w:val="continue"/>
                  <w:tcBorders>
                    <w:tl2br w:val="nil"/>
                    <w:tr2bl w:val="nil"/>
                  </w:tcBorders>
                  <w:noWrap w:val="0"/>
                  <w:vAlign w:val="center"/>
                </w:tcPr>
                <w:p w14:paraId="1EDF6241">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0000FF"/>
                      <w:sz w:val="21"/>
                      <w:szCs w:val="21"/>
                    </w:rPr>
                  </w:pPr>
                </w:p>
              </w:tc>
            </w:tr>
            <w:tr w14:paraId="11BB5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tcBorders>
                    <w:tl2br w:val="nil"/>
                    <w:tr2bl w:val="nil"/>
                  </w:tcBorders>
                  <w:noWrap w:val="0"/>
                  <w:vAlign w:val="center"/>
                </w:tcPr>
                <w:p w14:paraId="7F43263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0000FF"/>
                      <w:sz w:val="21"/>
                      <w:szCs w:val="21"/>
                    </w:rPr>
                  </w:pPr>
                </w:p>
              </w:tc>
              <w:tc>
                <w:tcPr>
                  <w:tcW w:w="784" w:type="pct"/>
                  <w:tcBorders>
                    <w:tl2br w:val="nil"/>
                    <w:tr2bl w:val="nil"/>
                  </w:tcBorders>
                  <w:noWrap w:val="0"/>
                  <w:vAlign w:val="center"/>
                </w:tcPr>
                <w:p w14:paraId="76BB5CD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玛纳斯县第一小学</w:t>
                  </w:r>
                </w:p>
              </w:tc>
              <w:tc>
                <w:tcPr>
                  <w:tcW w:w="938" w:type="pct"/>
                  <w:tcBorders>
                    <w:tl2br w:val="nil"/>
                    <w:tr2bl w:val="nil"/>
                  </w:tcBorders>
                  <w:noWrap w:val="0"/>
                  <w:vAlign w:val="center"/>
                </w:tcPr>
                <w:p w14:paraId="574F24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东北侧</w:t>
                  </w:r>
                  <w:r>
                    <w:rPr>
                      <w:rFonts w:hint="eastAsia" w:ascii="Times New Roman" w:hAnsi="Times New Roman"/>
                      <w:color w:val="0000FF"/>
                      <w:kern w:val="2"/>
                      <w:sz w:val="21"/>
                      <w:szCs w:val="21"/>
                      <w:lang w:val="en-US" w:eastAsia="zh-CN" w:bidi="ar-SA"/>
                    </w:rPr>
                    <w:t>，最近距离380m</w:t>
                  </w:r>
                </w:p>
              </w:tc>
              <w:tc>
                <w:tcPr>
                  <w:tcW w:w="529" w:type="pct"/>
                  <w:tcBorders>
                    <w:tl2br w:val="nil"/>
                    <w:tr2bl w:val="nil"/>
                  </w:tcBorders>
                  <w:noWrap w:val="0"/>
                  <w:vAlign w:val="center"/>
                </w:tcPr>
                <w:p w14:paraId="1B4F73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1500人</w:t>
                  </w:r>
                </w:p>
              </w:tc>
              <w:tc>
                <w:tcPr>
                  <w:tcW w:w="588" w:type="pct"/>
                  <w:tcBorders>
                    <w:tl2br w:val="nil"/>
                    <w:tr2bl w:val="nil"/>
                  </w:tcBorders>
                  <w:noWrap w:val="0"/>
                  <w:vAlign w:val="center"/>
                </w:tcPr>
                <w:p w14:paraId="6DB6F23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color w:val="0000FF"/>
                      <w:sz w:val="21"/>
                      <w:szCs w:val="21"/>
                      <w:lang w:val="en-US" w:eastAsia="zh-CN"/>
                    </w:rPr>
                    <w:t>师生</w:t>
                  </w:r>
                </w:p>
              </w:tc>
              <w:tc>
                <w:tcPr>
                  <w:tcW w:w="1642" w:type="pct"/>
                  <w:vMerge w:val="continue"/>
                  <w:tcBorders>
                    <w:tl2br w:val="nil"/>
                    <w:tr2bl w:val="nil"/>
                  </w:tcBorders>
                  <w:noWrap w:val="0"/>
                  <w:vAlign w:val="center"/>
                </w:tcPr>
                <w:p w14:paraId="357FD90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0000FF"/>
                      <w:sz w:val="21"/>
                      <w:szCs w:val="21"/>
                    </w:rPr>
                  </w:pPr>
                </w:p>
              </w:tc>
            </w:tr>
          </w:tbl>
          <w:p w14:paraId="762FB895">
            <w:pPr>
              <w:pStyle w:val="25"/>
              <w:keepNext w:val="0"/>
              <w:keepLines w:val="0"/>
              <w:pageBreakBefore w:val="0"/>
              <w:widowControl w:val="0"/>
              <w:wordWrap/>
              <w:bidi w:val="0"/>
              <w:adjustRightInd w:val="0"/>
              <w:snapToGrid w:val="0"/>
              <w:rPr>
                <w:rFonts w:hint="eastAsia"/>
                <w:color w:val="000000" w:themeColor="text1"/>
                <w:lang w:eastAsia="zh-CN"/>
                <w14:textFill>
                  <w14:solidFill>
                    <w14:schemeClr w14:val="tx1"/>
                  </w14:solidFill>
                </w14:textFill>
              </w:rPr>
            </w:pPr>
          </w:p>
        </w:tc>
      </w:tr>
      <w:tr w14:paraId="0BB5D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9" w:type="dxa"/>
            <w:noWrap w:val="0"/>
            <w:tcMar>
              <w:left w:w="28" w:type="dxa"/>
              <w:right w:w="28" w:type="dxa"/>
            </w:tcMar>
            <w:vAlign w:val="center"/>
          </w:tcPr>
          <w:p w14:paraId="4F934BB7">
            <w:pPr>
              <w:keepNext w:val="0"/>
              <w:keepLines w:val="0"/>
              <w:pageBreakBefore w:val="0"/>
              <w:widowControl w:val="0"/>
              <w:wordWrap/>
              <w:bidi w:val="0"/>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污染物排放控制标准</w:t>
            </w:r>
          </w:p>
        </w:tc>
        <w:tc>
          <w:tcPr>
            <w:tcW w:w="8612" w:type="dxa"/>
            <w:noWrap w:val="0"/>
            <w:vAlign w:val="center"/>
          </w:tcPr>
          <w:p w14:paraId="529A2AAF">
            <w:pPr>
              <w:numPr>
                <w:ilvl w:val="0"/>
                <w:numId w:val="0"/>
              </w:numPr>
              <w:snapToGrid w:val="0"/>
              <w:spacing w:line="360" w:lineRule="auto"/>
              <w:ind w:firstLine="480" w:firstLineChars="200"/>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1.废气排放标准：</w:t>
            </w:r>
            <w:r>
              <w:rPr>
                <w:rFonts w:ascii="Times New Roman" w:hAnsi="Times New Roman" w:cs="Times New Roman"/>
                <w:color w:val="000000" w:themeColor="text1"/>
                <w:kern w:val="0"/>
                <w:sz w:val="24"/>
                <w:szCs w:val="21"/>
                <w:lang w:eastAsia="zh-CN"/>
                <w14:textFill>
                  <w14:solidFill>
                    <w14:schemeClr w14:val="tx1"/>
                  </w14:solidFill>
                </w14:textFill>
              </w:rPr>
              <w:t>油气处理装置油气排放浓度</w:t>
            </w:r>
            <w:r>
              <w:rPr>
                <w:rFonts w:hint="eastAsia" w:ascii="Times New Roman" w:hAnsi="Times New Roman" w:cs="Times New Roman"/>
                <w:color w:val="000000" w:themeColor="text1"/>
                <w:kern w:val="0"/>
                <w:sz w:val="24"/>
                <w:szCs w:val="21"/>
                <w:lang w:val="en-US" w:eastAsia="zh-CN"/>
                <w14:textFill>
                  <w14:solidFill>
                    <w14:schemeClr w14:val="tx1"/>
                  </w14:solidFill>
                </w14:textFill>
              </w:rPr>
              <w:t>及</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厂界非甲烷总烃执行</w:t>
            </w:r>
            <w:r>
              <w:rPr>
                <w:rFonts w:hint="default" w:ascii="Times New Roman" w:hAnsi="Times New Roman" w:eastAsia="宋体" w:cs="Times New Roman"/>
                <w:b w:val="0"/>
                <w:bCs w:val="0"/>
                <w:color w:val="000000" w:themeColor="text1"/>
                <w:sz w:val="24"/>
                <w:szCs w:val="24"/>
                <w14:textFill>
                  <w14:solidFill>
                    <w14:schemeClr w14:val="tx1"/>
                  </w14:solidFill>
                </w14:textFill>
              </w:rPr>
              <w:t>《加油站大气污染物排放标准》（GB20952-20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中标准要求</w:t>
            </w:r>
            <w:r>
              <w:rPr>
                <w:rFonts w:hint="eastAsia" w:cs="Times New Roman"/>
                <w:b w:val="0"/>
                <w:bCs w:val="0"/>
                <w:color w:val="000000" w:themeColor="text1"/>
                <w:kern w:val="0"/>
                <w:sz w:val="24"/>
                <w:szCs w:val="24"/>
                <w:lang w:eastAsia="zh-CN"/>
                <w14:textFill>
                  <w14:solidFill>
                    <w14:schemeClr w14:val="tx1"/>
                  </w14:solidFill>
                </w14:textFill>
              </w:rPr>
              <w:t>，</w:t>
            </w:r>
            <w:r>
              <w:rPr>
                <w:rFonts w:hint="eastAsia" w:cs="Times New Roman"/>
                <w:b w:val="0"/>
                <w:bCs w:val="0"/>
                <w:color w:val="000000" w:themeColor="text1"/>
                <w:kern w:val="0"/>
                <w:sz w:val="24"/>
                <w:szCs w:val="24"/>
                <w:lang w:val="en-US" w:eastAsia="zh-CN"/>
                <w14:textFill>
                  <w14:solidFill>
                    <w14:schemeClr w14:val="tx1"/>
                  </w14:solidFill>
                </w14:textFill>
              </w:rPr>
              <w:t>见表3-8</w:t>
            </w:r>
            <w:r>
              <w:rPr>
                <w:rFonts w:hint="default" w:ascii="Times New Roman" w:hAnsi="Times New Roman" w:eastAsia="宋体" w:cs="Times New Roman"/>
                <w:b w:val="0"/>
                <w:bCs w:val="0"/>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厂内非甲烷总烃排放浓度满足《挥发性有机物无组织排放控制标准》（GB37822-2019）中表A.1厂区内VOCs无组织</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特别</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排放限值（监控点处1h平均浓度：</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；监控点处任意一次浓度值：</w:t>
            </w:r>
            <w:r>
              <w:rPr>
                <w:rFonts w:hint="eastAsia"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0mg/m</w:t>
            </w:r>
            <w:r>
              <w:rPr>
                <w:rFonts w:hint="default" w:ascii="Times New Roman" w:hAnsi="Times New Roman" w:eastAsia="宋体" w:cs="Times New Roman"/>
                <w:b w:val="0"/>
                <w:bCs w:val="0"/>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）的要求</w:t>
            </w:r>
            <w:r>
              <w:rPr>
                <w:rFonts w:hint="eastAsia" w:cs="Times New Roman"/>
                <w:b w:val="0"/>
                <w:bCs w:val="0"/>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color w:val="0000FF"/>
                <w:sz w:val="24"/>
                <w:szCs w:val="24"/>
                <w:lang w:val="en-US" w:eastAsia="zh-CN"/>
              </w:rPr>
              <w:t>加油站油气回收处理装置各项检测指标（气液比、油气回收系统的密闭性和管线液阻）需满足《加油站大气污染物排放标准》（GB20952-2020）中相关要求，加油油气回收系统的气液比均应在大于等于1.0和小于等于1.2范围内，采用氢火焰离子化检测仪（以甲烷或丙烷为校准气体）检测油气回收系统密闭点位，油气泄漏检测值应小于等</w:t>
            </w:r>
            <w:r>
              <w:rPr>
                <w:rFonts w:hint="default" w:ascii="Times New Roman" w:hAnsi="Times New Roman" w:eastAsia="宋体" w:cs="Times New Roman"/>
                <w:color w:val="0000FF"/>
                <w:sz w:val="24"/>
                <w:szCs w:val="24"/>
                <w:lang w:val="en-US" w:eastAsia="zh-CN"/>
              </w:rPr>
              <w:t>于500μmol/mol。</w:t>
            </w:r>
            <w:r>
              <w:rPr>
                <w:rFonts w:hint="eastAsia" w:ascii="Times New Roman" w:hAnsi="Times New Roman" w:eastAsia="宋体" w:cs="Times New Roman"/>
                <w:color w:val="0000FF"/>
                <w:sz w:val="24"/>
                <w:szCs w:val="24"/>
                <w:lang w:val="en-US" w:eastAsia="zh-CN"/>
              </w:rPr>
              <w:t>管线液阻、油气回收系统的密闭性压力限值见下表3-</w:t>
            </w:r>
            <w:r>
              <w:rPr>
                <w:rFonts w:hint="eastAsia" w:cs="Times New Roman"/>
                <w:color w:val="0000FF"/>
                <w:sz w:val="24"/>
                <w:szCs w:val="24"/>
                <w:lang w:val="en-US" w:eastAsia="zh-CN"/>
              </w:rPr>
              <w:t>9</w:t>
            </w:r>
            <w:r>
              <w:rPr>
                <w:rFonts w:hint="eastAsia" w:ascii="Times New Roman" w:hAnsi="Times New Roman" w:eastAsia="宋体" w:cs="Times New Roman"/>
                <w:color w:val="0000FF"/>
                <w:sz w:val="24"/>
                <w:szCs w:val="24"/>
                <w:lang w:val="en-US" w:eastAsia="zh-CN"/>
              </w:rPr>
              <w:t>、3</w:t>
            </w:r>
            <w:r>
              <w:rPr>
                <w:rFonts w:hint="eastAsia" w:cs="Times New Roman"/>
                <w:color w:val="0000FF"/>
                <w:sz w:val="24"/>
                <w:szCs w:val="24"/>
                <w:lang w:val="en-US" w:eastAsia="zh-CN"/>
              </w:rPr>
              <w:t>-10</w:t>
            </w:r>
            <w:r>
              <w:rPr>
                <w:rFonts w:hint="eastAsia" w:ascii="Times New Roman" w:hAnsi="Times New Roman" w:eastAsia="宋体" w:cs="Times New Roman"/>
                <w:color w:val="0000FF"/>
                <w:sz w:val="24"/>
                <w:szCs w:val="24"/>
                <w:lang w:val="en-US" w:eastAsia="zh-CN"/>
              </w:rPr>
              <w:t>。</w:t>
            </w:r>
          </w:p>
          <w:p w14:paraId="2BD63AA0">
            <w:pPr>
              <w:tabs>
                <w:tab w:val="left" w:pos="0"/>
              </w:tabs>
              <w:spacing w:after="0" w:line="240" w:lineRule="auto"/>
              <w:jc w:val="center"/>
              <w:rPr>
                <w:b/>
                <w:bCs/>
                <w:color w:val="0000FF"/>
                <w:szCs w:val="21"/>
              </w:rPr>
            </w:pPr>
            <w:r>
              <w:rPr>
                <w:rFonts w:hint="default" w:ascii="Times New Roman" w:hAnsi="Times New Roman" w:eastAsia="宋体" w:cs="Times New Roman"/>
                <w:b/>
                <w:bCs/>
                <w:color w:val="0000FF"/>
                <w:sz w:val="21"/>
                <w:szCs w:val="21"/>
                <w:lang w:val="en-US" w:eastAsia="zh-CN"/>
              </w:rPr>
              <w:t>表3-</w:t>
            </w:r>
            <w:r>
              <w:rPr>
                <w:rFonts w:hint="eastAsia" w:eastAsia="宋体" w:cs="Times New Roman"/>
                <w:b/>
                <w:bCs/>
                <w:color w:val="0000FF"/>
                <w:sz w:val="21"/>
                <w:szCs w:val="21"/>
                <w:lang w:val="en-US" w:eastAsia="zh-CN"/>
              </w:rPr>
              <w:t>8</w:t>
            </w:r>
            <w:r>
              <w:rPr>
                <w:rFonts w:hint="default" w:ascii="Times New Roman" w:hAnsi="Times New Roman" w:eastAsia="宋体" w:cs="Times New Roman"/>
                <w:b/>
                <w:bCs/>
                <w:color w:val="0000FF"/>
                <w:sz w:val="21"/>
                <w:szCs w:val="21"/>
                <w:lang w:val="en-US" w:eastAsia="zh-CN"/>
              </w:rPr>
              <w:t xml:space="preserve"> </w:t>
            </w:r>
            <w:r>
              <w:rPr>
                <w:rFonts w:hint="eastAsia" w:cs="Times New Roman"/>
                <w:b/>
                <w:bCs/>
                <w:color w:val="0000FF"/>
                <w:sz w:val="21"/>
                <w:szCs w:val="21"/>
                <w:lang w:val="en-US" w:eastAsia="zh-CN"/>
              </w:rPr>
              <w:t xml:space="preserve"> </w:t>
            </w:r>
            <w:r>
              <w:rPr>
                <w:b/>
                <w:bCs/>
                <w:color w:val="0000FF"/>
                <w:szCs w:val="21"/>
              </w:rPr>
              <w:t>废气排放标准一览表</w:t>
            </w:r>
          </w:p>
          <w:tbl>
            <w:tblPr>
              <w:tblStyle w:val="10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19"/>
              <w:gridCol w:w="1052"/>
              <w:gridCol w:w="1215"/>
              <w:gridCol w:w="1235"/>
              <w:gridCol w:w="4265"/>
            </w:tblGrid>
            <w:tr w14:paraId="34AB2A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20" w:type="pct"/>
                  <w:gridSpan w:val="3"/>
                  <w:tcBorders>
                    <w:tl2br w:val="nil"/>
                    <w:tr2bl w:val="nil"/>
                  </w:tcBorders>
                  <w:vAlign w:val="center"/>
                </w:tcPr>
                <w:p w14:paraId="5493D7B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b/>
                      <w:bCs/>
                      <w:color w:val="0000FF"/>
                      <w:sz w:val="21"/>
                      <w:szCs w:val="21"/>
                    </w:rPr>
                  </w:pPr>
                  <w:r>
                    <w:rPr>
                      <w:b/>
                      <w:bCs/>
                      <w:color w:val="0000FF"/>
                      <w:sz w:val="21"/>
                      <w:szCs w:val="21"/>
                    </w:rPr>
                    <w:t>污染物</w:t>
                  </w:r>
                </w:p>
              </w:tc>
              <w:tc>
                <w:tcPr>
                  <w:tcW w:w="736" w:type="pct"/>
                  <w:tcBorders>
                    <w:tl2br w:val="nil"/>
                    <w:tr2bl w:val="nil"/>
                  </w:tcBorders>
                  <w:vAlign w:val="center"/>
                </w:tcPr>
                <w:p w14:paraId="46C7DEF9">
                  <w:pPr>
                    <w:pStyle w:val="104"/>
                    <w:keepNext w:val="0"/>
                    <w:keepLines w:val="0"/>
                    <w:pageBreakBefore w:val="0"/>
                    <w:widowControl w:val="0"/>
                    <w:kinsoku/>
                    <w:wordWrap/>
                    <w:overflowPunct/>
                    <w:topLinePunct w:val="0"/>
                    <w:autoSpaceDE/>
                    <w:autoSpaceDN/>
                    <w:bidi w:val="0"/>
                    <w:spacing w:after="0" w:line="240" w:lineRule="auto"/>
                    <w:jc w:val="center"/>
                    <w:textAlignment w:val="auto"/>
                    <w:rPr>
                      <w:rFonts w:ascii="Times New Roman" w:hAnsi="Times New Roman" w:cs="Times New Roman"/>
                      <w:b/>
                      <w:bCs/>
                      <w:color w:val="0000FF"/>
                      <w:sz w:val="21"/>
                      <w:szCs w:val="21"/>
                      <w:lang w:eastAsia="zh-CN"/>
                    </w:rPr>
                  </w:pPr>
                  <w:r>
                    <w:rPr>
                      <w:rFonts w:ascii="Times New Roman" w:hAnsi="Times New Roman" w:cs="Times New Roman"/>
                      <w:b/>
                      <w:bCs/>
                      <w:color w:val="0000FF"/>
                      <w:sz w:val="21"/>
                      <w:szCs w:val="21"/>
                      <w:lang w:eastAsia="zh-CN"/>
                    </w:rPr>
                    <w:t>排放浓度</w:t>
                  </w:r>
                </w:p>
              </w:tc>
              <w:tc>
                <w:tcPr>
                  <w:tcW w:w="2542" w:type="pct"/>
                  <w:tcBorders>
                    <w:tl2br w:val="nil"/>
                    <w:tr2bl w:val="nil"/>
                  </w:tcBorders>
                  <w:vAlign w:val="center"/>
                </w:tcPr>
                <w:p w14:paraId="7CC1DF94">
                  <w:pPr>
                    <w:pStyle w:val="104"/>
                    <w:keepNext w:val="0"/>
                    <w:keepLines w:val="0"/>
                    <w:pageBreakBefore w:val="0"/>
                    <w:widowControl w:val="0"/>
                    <w:kinsoku/>
                    <w:wordWrap/>
                    <w:overflowPunct/>
                    <w:topLinePunct w:val="0"/>
                    <w:autoSpaceDE/>
                    <w:autoSpaceDN/>
                    <w:bidi w:val="0"/>
                    <w:spacing w:after="0" w:line="240" w:lineRule="auto"/>
                    <w:jc w:val="center"/>
                    <w:textAlignment w:val="auto"/>
                    <w:rPr>
                      <w:rFonts w:ascii="Times New Roman" w:hAnsi="Times New Roman" w:cs="Times New Roman"/>
                      <w:b/>
                      <w:bCs/>
                      <w:color w:val="0000FF"/>
                      <w:sz w:val="21"/>
                      <w:szCs w:val="21"/>
                      <w:lang w:eastAsia="zh-CN"/>
                    </w:rPr>
                  </w:pPr>
                  <w:r>
                    <w:rPr>
                      <w:rFonts w:ascii="Times New Roman" w:hAnsi="Times New Roman" w:cs="Times New Roman"/>
                      <w:b/>
                      <w:bCs/>
                      <w:color w:val="0000FF"/>
                      <w:sz w:val="21"/>
                      <w:szCs w:val="21"/>
                      <w:lang w:eastAsia="zh-CN"/>
                    </w:rPr>
                    <w:t>执行标准</w:t>
                  </w:r>
                </w:p>
              </w:tc>
            </w:tr>
            <w:tr w14:paraId="3D44ED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9" w:type="pct"/>
                  <w:vMerge w:val="restart"/>
                  <w:tcBorders>
                    <w:tl2br w:val="nil"/>
                    <w:tr2bl w:val="nil"/>
                  </w:tcBorders>
                  <w:vAlign w:val="center"/>
                </w:tcPr>
                <w:p w14:paraId="25999665">
                  <w:pPr>
                    <w:pStyle w:val="104"/>
                    <w:keepNext w:val="0"/>
                    <w:keepLines w:val="0"/>
                    <w:pageBreakBefore w:val="0"/>
                    <w:widowControl w:val="0"/>
                    <w:kinsoku/>
                    <w:wordWrap/>
                    <w:overflowPunct/>
                    <w:topLinePunct w:val="0"/>
                    <w:autoSpaceDE/>
                    <w:autoSpaceDN/>
                    <w:bidi w:val="0"/>
                    <w:spacing w:after="0" w:line="240" w:lineRule="auto"/>
                    <w:jc w:val="center"/>
                    <w:textAlignment w:val="auto"/>
                    <w:rPr>
                      <w:rFonts w:ascii="Times New Roman" w:hAnsi="Times New Roman" w:cs="Times New Roman"/>
                      <w:color w:val="0000FF"/>
                      <w:sz w:val="21"/>
                      <w:szCs w:val="21"/>
                    </w:rPr>
                  </w:pPr>
                  <w:r>
                    <w:rPr>
                      <w:rFonts w:ascii="Times New Roman" w:hAnsi="Times New Roman" w:cs="Times New Roman"/>
                      <w:color w:val="0000FF"/>
                      <w:spacing w:val="5"/>
                      <w:sz w:val="21"/>
                      <w:szCs w:val="21"/>
                    </w:rPr>
                    <w:t>非甲烷</w:t>
                  </w:r>
                  <w:r>
                    <w:rPr>
                      <w:rFonts w:ascii="Times New Roman" w:hAnsi="Times New Roman" w:cs="Times New Roman"/>
                      <w:color w:val="0000FF"/>
                      <w:spacing w:val="2"/>
                      <w:sz w:val="21"/>
                      <w:szCs w:val="21"/>
                    </w:rPr>
                    <w:t>总烃</w:t>
                  </w:r>
                </w:p>
              </w:tc>
              <w:tc>
                <w:tcPr>
                  <w:tcW w:w="1351" w:type="pct"/>
                  <w:gridSpan w:val="2"/>
                  <w:tcBorders>
                    <w:tl2br w:val="nil"/>
                    <w:tr2bl w:val="nil"/>
                  </w:tcBorders>
                  <w:vAlign w:val="center"/>
                </w:tcPr>
                <w:p w14:paraId="102B563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FF"/>
                      <w:sz w:val="21"/>
                      <w:szCs w:val="21"/>
                    </w:rPr>
                  </w:pPr>
                  <w:r>
                    <w:rPr>
                      <w:color w:val="0000FF"/>
                      <w:sz w:val="21"/>
                      <w:szCs w:val="21"/>
                    </w:rPr>
                    <w:t>汽油储油罐呼吸管排放口</w:t>
                  </w:r>
                </w:p>
              </w:tc>
              <w:tc>
                <w:tcPr>
                  <w:tcW w:w="736" w:type="pct"/>
                  <w:tcBorders>
                    <w:tl2br w:val="nil"/>
                    <w:tr2bl w:val="nil"/>
                  </w:tcBorders>
                  <w:vAlign w:val="center"/>
                </w:tcPr>
                <w:p w14:paraId="699663C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FF"/>
                      <w:sz w:val="21"/>
                      <w:szCs w:val="21"/>
                    </w:rPr>
                  </w:pPr>
                  <w:r>
                    <w:rPr>
                      <w:color w:val="0000FF"/>
                      <w:sz w:val="21"/>
                      <w:szCs w:val="21"/>
                    </w:rPr>
                    <w:t>25g/m</w:t>
                  </w:r>
                  <w:r>
                    <w:rPr>
                      <w:color w:val="0000FF"/>
                      <w:sz w:val="21"/>
                      <w:szCs w:val="21"/>
                      <w:vertAlign w:val="superscript"/>
                    </w:rPr>
                    <w:t>3</w:t>
                  </w:r>
                </w:p>
              </w:tc>
              <w:tc>
                <w:tcPr>
                  <w:tcW w:w="2542" w:type="pct"/>
                  <w:tcBorders>
                    <w:tl2br w:val="nil"/>
                    <w:tr2bl w:val="nil"/>
                  </w:tcBorders>
                  <w:vAlign w:val="center"/>
                </w:tcPr>
                <w:p w14:paraId="497F8CA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FF"/>
                      <w:sz w:val="21"/>
                      <w:szCs w:val="21"/>
                    </w:rPr>
                  </w:pPr>
                  <w:r>
                    <w:rPr>
                      <w:color w:val="0000FF"/>
                      <w:sz w:val="21"/>
                      <w:szCs w:val="21"/>
                    </w:rPr>
                    <w:t>《加油站大气污染物排放标准》（GB20952-2020）（排放口距地平面高度应不低于4m）</w:t>
                  </w:r>
                </w:p>
              </w:tc>
            </w:tr>
            <w:tr w14:paraId="668A66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369" w:type="pct"/>
                  <w:vMerge w:val="continue"/>
                  <w:tcBorders>
                    <w:tl2br w:val="nil"/>
                    <w:tr2bl w:val="nil"/>
                  </w:tcBorders>
                  <w:vAlign w:val="center"/>
                </w:tcPr>
                <w:p w14:paraId="186809C5">
                  <w:pPr>
                    <w:keepNext w:val="0"/>
                    <w:keepLines w:val="0"/>
                    <w:pageBreakBefore w:val="0"/>
                    <w:widowControl w:val="0"/>
                    <w:kinsoku/>
                    <w:wordWrap/>
                    <w:overflowPunct/>
                    <w:topLinePunct w:val="0"/>
                    <w:autoSpaceDE/>
                    <w:autoSpaceDN/>
                    <w:bidi w:val="0"/>
                    <w:spacing w:after="0" w:line="240" w:lineRule="auto"/>
                    <w:jc w:val="center"/>
                    <w:textAlignment w:val="auto"/>
                    <w:rPr>
                      <w:color w:val="0000FF"/>
                      <w:sz w:val="21"/>
                      <w:szCs w:val="21"/>
                    </w:rPr>
                  </w:pPr>
                </w:p>
              </w:tc>
              <w:tc>
                <w:tcPr>
                  <w:tcW w:w="627" w:type="pct"/>
                  <w:vMerge w:val="restart"/>
                  <w:tcBorders>
                    <w:tl2br w:val="nil"/>
                    <w:tr2bl w:val="nil"/>
                  </w:tcBorders>
                  <w:vAlign w:val="center"/>
                </w:tcPr>
                <w:p w14:paraId="6A4B834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FF"/>
                      <w:sz w:val="21"/>
                      <w:szCs w:val="21"/>
                    </w:rPr>
                  </w:pPr>
                  <w:r>
                    <w:rPr>
                      <w:color w:val="0000FF"/>
                      <w:sz w:val="21"/>
                      <w:szCs w:val="21"/>
                    </w:rPr>
                    <w:t>无组织排放浓度值</w:t>
                  </w:r>
                </w:p>
              </w:tc>
              <w:tc>
                <w:tcPr>
                  <w:tcW w:w="724" w:type="pct"/>
                  <w:tcBorders>
                    <w:tl2br w:val="nil"/>
                    <w:tr2bl w:val="nil"/>
                  </w:tcBorders>
                  <w:vAlign w:val="center"/>
                </w:tcPr>
                <w:p w14:paraId="6DF8749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FF"/>
                      <w:sz w:val="21"/>
                      <w:szCs w:val="21"/>
                    </w:rPr>
                  </w:pPr>
                  <w:r>
                    <w:rPr>
                      <w:color w:val="0000FF"/>
                      <w:sz w:val="21"/>
                      <w:szCs w:val="21"/>
                    </w:rPr>
                    <w:t>厂界</w:t>
                  </w:r>
                </w:p>
              </w:tc>
              <w:tc>
                <w:tcPr>
                  <w:tcW w:w="736" w:type="pct"/>
                  <w:tcBorders>
                    <w:tl2br w:val="nil"/>
                    <w:tr2bl w:val="nil"/>
                  </w:tcBorders>
                  <w:vAlign w:val="center"/>
                </w:tcPr>
                <w:p w14:paraId="6F9E96D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FF"/>
                      <w:sz w:val="21"/>
                      <w:szCs w:val="21"/>
                    </w:rPr>
                  </w:pPr>
                  <w:r>
                    <w:rPr>
                      <w:color w:val="0000FF"/>
                      <w:sz w:val="21"/>
                      <w:szCs w:val="21"/>
                    </w:rPr>
                    <w:t>4.0mg/m</w:t>
                  </w:r>
                  <w:r>
                    <w:rPr>
                      <w:color w:val="0000FF"/>
                      <w:sz w:val="21"/>
                      <w:szCs w:val="21"/>
                      <w:vertAlign w:val="superscript"/>
                    </w:rPr>
                    <w:t>3</w:t>
                  </w:r>
                </w:p>
              </w:tc>
              <w:tc>
                <w:tcPr>
                  <w:tcW w:w="2542" w:type="pct"/>
                  <w:tcBorders>
                    <w:tl2br w:val="nil"/>
                    <w:tr2bl w:val="nil"/>
                  </w:tcBorders>
                  <w:vAlign w:val="center"/>
                </w:tcPr>
                <w:p w14:paraId="320E381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FF"/>
                      <w:sz w:val="21"/>
                      <w:szCs w:val="21"/>
                    </w:rPr>
                  </w:pPr>
                  <w:r>
                    <w:rPr>
                      <w:color w:val="0000FF"/>
                      <w:sz w:val="21"/>
                      <w:szCs w:val="21"/>
                    </w:rPr>
                    <w:t>《加油站大气污染物排放标准》（GB20952-2020）表3油气浓度无组织排放限值</w:t>
                  </w:r>
                </w:p>
              </w:tc>
            </w:tr>
            <w:tr w14:paraId="769A28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9" w:type="pct"/>
                  <w:vMerge w:val="continue"/>
                  <w:tcBorders>
                    <w:tl2br w:val="nil"/>
                    <w:tr2bl w:val="nil"/>
                  </w:tcBorders>
                  <w:vAlign w:val="center"/>
                </w:tcPr>
                <w:p w14:paraId="6422DC65">
                  <w:pPr>
                    <w:keepNext w:val="0"/>
                    <w:keepLines w:val="0"/>
                    <w:pageBreakBefore w:val="0"/>
                    <w:widowControl w:val="0"/>
                    <w:kinsoku/>
                    <w:wordWrap/>
                    <w:overflowPunct/>
                    <w:topLinePunct w:val="0"/>
                    <w:autoSpaceDE/>
                    <w:autoSpaceDN/>
                    <w:bidi w:val="0"/>
                    <w:spacing w:after="0" w:line="240" w:lineRule="auto"/>
                    <w:jc w:val="center"/>
                    <w:textAlignment w:val="auto"/>
                    <w:rPr>
                      <w:color w:val="0000FF"/>
                      <w:sz w:val="21"/>
                      <w:szCs w:val="21"/>
                    </w:rPr>
                  </w:pPr>
                </w:p>
              </w:tc>
              <w:tc>
                <w:tcPr>
                  <w:tcW w:w="627" w:type="pct"/>
                  <w:vMerge w:val="continue"/>
                  <w:tcBorders>
                    <w:tl2br w:val="nil"/>
                    <w:tr2bl w:val="nil"/>
                  </w:tcBorders>
                  <w:vAlign w:val="center"/>
                </w:tcPr>
                <w:p w14:paraId="564784A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FF"/>
                      <w:sz w:val="21"/>
                      <w:szCs w:val="21"/>
                    </w:rPr>
                  </w:pPr>
                </w:p>
              </w:tc>
              <w:tc>
                <w:tcPr>
                  <w:tcW w:w="724" w:type="pct"/>
                  <w:tcBorders>
                    <w:tl2br w:val="nil"/>
                    <w:tr2bl w:val="nil"/>
                  </w:tcBorders>
                  <w:vAlign w:val="center"/>
                </w:tcPr>
                <w:p w14:paraId="04FA5C7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olor w:val="0000FF"/>
                      <w:sz w:val="21"/>
                      <w:szCs w:val="21"/>
                      <w:lang w:val="en-US" w:eastAsia="zh-CN"/>
                    </w:rPr>
                  </w:pPr>
                  <w:r>
                    <w:rPr>
                      <w:rFonts w:hint="eastAsia"/>
                      <w:color w:val="0000FF"/>
                      <w:sz w:val="21"/>
                      <w:szCs w:val="21"/>
                      <w:lang w:val="en-US" w:eastAsia="zh-CN"/>
                    </w:rPr>
                    <w:t>站内监控点处1h平均浓度</w:t>
                  </w:r>
                </w:p>
              </w:tc>
              <w:tc>
                <w:tcPr>
                  <w:tcW w:w="736" w:type="pct"/>
                  <w:tcBorders>
                    <w:tl2br w:val="nil"/>
                    <w:tr2bl w:val="nil"/>
                  </w:tcBorders>
                  <w:vAlign w:val="center"/>
                </w:tcPr>
                <w:p w14:paraId="25A2E18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eastAsia="宋体"/>
                      <w:color w:val="0000FF"/>
                      <w:sz w:val="21"/>
                      <w:szCs w:val="21"/>
                      <w:lang w:val="en-US" w:eastAsia="zh-CN"/>
                    </w:rPr>
                  </w:pPr>
                  <w:r>
                    <w:rPr>
                      <w:rFonts w:hint="eastAsia"/>
                      <w:color w:val="0000FF"/>
                      <w:sz w:val="21"/>
                      <w:szCs w:val="21"/>
                      <w:lang w:val="en-US" w:eastAsia="zh-CN"/>
                    </w:rPr>
                    <w:t>6</w:t>
                  </w:r>
                  <w:r>
                    <w:rPr>
                      <w:color w:val="0000FF"/>
                      <w:sz w:val="21"/>
                      <w:szCs w:val="21"/>
                    </w:rPr>
                    <w:t>mg/m</w:t>
                  </w:r>
                  <w:r>
                    <w:rPr>
                      <w:color w:val="0000FF"/>
                      <w:sz w:val="21"/>
                      <w:szCs w:val="21"/>
                      <w:vertAlign w:val="superscript"/>
                    </w:rPr>
                    <w:t>3</w:t>
                  </w:r>
                </w:p>
              </w:tc>
              <w:tc>
                <w:tcPr>
                  <w:tcW w:w="2542" w:type="pct"/>
                  <w:vMerge w:val="restart"/>
                  <w:tcBorders>
                    <w:tl2br w:val="nil"/>
                    <w:tr2bl w:val="nil"/>
                  </w:tcBorders>
                  <w:vAlign w:val="center"/>
                </w:tcPr>
                <w:p w14:paraId="0620BB6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FF"/>
                      <w:sz w:val="21"/>
                      <w:szCs w:val="21"/>
                    </w:rPr>
                  </w:pPr>
                  <w:r>
                    <w:rPr>
                      <w:rFonts w:hint="eastAsia"/>
                      <w:color w:val="0000FF"/>
                      <w:sz w:val="21"/>
                      <w:szCs w:val="21"/>
                    </w:rPr>
                    <w:t>《挥发性有机物无组织排放控制标准》（GB37822-2019）</w:t>
                  </w:r>
                </w:p>
              </w:tc>
            </w:tr>
            <w:tr w14:paraId="7B83CE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9" w:type="pct"/>
                  <w:vMerge w:val="continue"/>
                  <w:tcBorders>
                    <w:tl2br w:val="nil"/>
                    <w:tr2bl w:val="nil"/>
                  </w:tcBorders>
                  <w:vAlign w:val="center"/>
                </w:tcPr>
                <w:p w14:paraId="13F0DE1A">
                  <w:pPr>
                    <w:keepNext w:val="0"/>
                    <w:keepLines w:val="0"/>
                    <w:pageBreakBefore w:val="0"/>
                    <w:widowControl w:val="0"/>
                    <w:kinsoku/>
                    <w:wordWrap/>
                    <w:overflowPunct/>
                    <w:topLinePunct w:val="0"/>
                    <w:autoSpaceDE/>
                    <w:autoSpaceDN/>
                    <w:bidi w:val="0"/>
                    <w:spacing w:after="0" w:line="240" w:lineRule="auto"/>
                    <w:jc w:val="center"/>
                    <w:textAlignment w:val="auto"/>
                    <w:rPr>
                      <w:color w:val="0000FF"/>
                      <w:sz w:val="21"/>
                      <w:szCs w:val="21"/>
                    </w:rPr>
                  </w:pPr>
                </w:p>
              </w:tc>
              <w:tc>
                <w:tcPr>
                  <w:tcW w:w="627" w:type="pct"/>
                  <w:vMerge w:val="continue"/>
                  <w:tcBorders>
                    <w:tl2br w:val="nil"/>
                    <w:tr2bl w:val="nil"/>
                  </w:tcBorders>
                  <w:vAlign w:val="center"/>
                </w:tcPr>
                <w:p w14:paraId="2C8150B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FF"/>
                      <w:sz w:val="21"/>
                      <w:szCs w:val="21"/>
                    </w:rPr>
                  </w:pPr>
                </w:p>
              </w:tc>
              <w:tc>
                <w:tcPr>
                  <w:tcW w:w="724" w:type="pct"/>
                  <w:tcBorders>
                    <w:tl2br w:val="nil"/>
                    <w:tr2bl w:val="nil"/>
                  </w:tcBorders>
                  <w:vAlign w:val="center"/>
                </w:tcPr>
                <w:p w14:paraId="0D62EFA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olor w:val="0000FF"/>
                      <w:sz w:val="21"/>
                      <w:szCs w:val="21"/>
                      <w:lang w:val="en-US" w:eastAsia="zh-CN"/>
                    </w:rPr>
                  </w:pPr>
                  <w:r>
                    <w:rPr>
                      <w:rFonts w:hint="eastAsia"/>
                      <w:color w:val="0000FF"/>
                      <w:sz w:val="21"/>
                      <w:szCs w:val="21"/>
                      <w:lang w:val="en-US" w:eastAsia="zh-CN"/>
                    </w:rPr>
                    <w:t>站内监控点处任意一次浓度值</w:t>
                  </w:r>
                </w:p>
              </w:tc>
              <w:tc>
                <w:tcPr>
                  <w:tcW w:w="736" w:type="pct"/>
                  <w:tcBorders>
                    <w:tl2br w:val="nil"/>
                    <w:tr2bl w:val="nil"/>
                  </w:tcBorders>
                  <w:vAlign w:val="center"/>
                </w:tcPr>
                <w:p w14:paraId="1EBD3FA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FF"/>
                      <w:sz w:val="21"/>
                      <w:szCs w:val="21"/>
                    </w:rPr>
                  </w:pPr>
                  <w:r>
                    <w:rPr>
                      <w:rFonts w:hint="eastAsia"/>
                      <w:color w:val="0000FF"/>
                      <w:sz w:val="21"/>
                      <w:szCs w:val="21"/>
                      <w:lang w:val="en-US" w:eastAsia="zh-CN"/>
                    </w:rPr>
                    <w:t>20</w:t>
                  </w:r>
                  <w:r>
                    <w:rPr>
                      <w:color w:val="0000FF"/>
                      <w:sz w:val="21"/>
                      <w:szCs w:val="21"/>
                    </w:rPr>
                    <w:t>mg/m</w:t>
                  </w:r>
                  <w:r>
                    <w:rPr>
                      <w:color w:val="0000FF"/>
                      <w:sz w:val="21"/>
                      <w:szCs w:val="21"/>
                      <w:vertAlign w:val="superscript"/>
                    </w:rPr>
                    <w:t>3</w:t>
                  </w:r>
                </w:p>
              </w:tc>
              <w:tc>
                <w:tcPr>
                  <w:tcW w:w="2542" w:type="pct"/>
                  <w:vMerge w:val="continue"/>
                  <w:tcBorders>
                    <w:tl2br w:val="nil"/>
                    <w:tr2bl w:val="nil"/>
                  </w:tcBorders>
                  <w:vAlign w:val="center"/>
                </w:tcPr>
                <w:p w14:paraId="008EAD8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FF"/>
                      <w:sz w:val="21"/>
                      <w:szCs w:val="21"/>
                    </w:rPr>
                  </w:pPr>
                </w:p>
              </w:tc>
            </w:tr>
          </w:tbl>
          <w:p w14:paraId="206A53A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firstLine="0"/>
              <w:jc w:val="center"/>
              <w:textAlignment w:val="auto"/>
              <w:outlineLvl w:val="9"/>
              <w:rPr>
                <w:rFonts w:hint="default" w:ascii="Times New Roman" w:hAnsi="Times New Roman" w:eastAsia="宋体" w:cs="Times New Roman"/>
                <w:b/>
                <w:bCs/>
                <w:color w:val="0000FF"/>
                <w:sz w:val="21"/>
                <w:szCs w:val="21"/>
                <w:lang w:val="en-US" w:eastAsia="zh-CN"/>
              </w:rPr>
            </w:pPr>
            <w:r>
              <w:rPr>
                <w:rFonts w:hint="eastAsia" w:cs="Times New Roman"/>
                <w:b/>
                <w:bCs/>
                <w:color w:val="0000FF"/>
                <w:sz w:val="21"/>
                <w:szCs w:val="21"/>
                <w:lang w:val="en-US" w:eastAsia="zh-CN"/>
              </w:rPr>
              <w:t xml:space="preserve">表3-9 </w:t>
            </w:r>
            <w:r>
              <w:rPr>
                <w:rFonts w:hint="default" w:ascii="Times New Roman" w:hAnsi="Times New Roman" w:eastAsia="宋体" w:cs="Times New Roman"/>
                <w:b/>
                <w:bCs/>
                <w:color w:val="0000FF"/>
                <w:sz w:val="21"/>
                <w:szCs w:val="21"/>
                <w:lang w:val="en-US" w:eastAsia="zh-CN"/>
              </w:rPr>
              <w:t>加油站油气回收管线液阻最大压力限值</w:t>
            </w:r>
          </w:p>
          <w:tbl>
            <w:tblPr>
              <w:tblStyle w:val="32"/>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93"/>
              <w:gridCol w:w="4194"/>
            </w:tblGrid>
            <w:tr w14:paraId="2D9A6F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703A2EFE">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bCs/>
                      <w:color w:val="0000FF"/>
                      <w:sz w:val="21"/>
                      <w:szCs w:val="21"/>
                      <w:vertAlign w:val="baseline"/>
                      <w:lang w:eastAsia="zh-CN"/>
                    </w:rPr>
                  </w:pPr>
                  <w:r>
                    <w:rPr>
                      <w:rFonts w:hint="default" w:ascii="Times New Roman" w:hAnsi="Times New Roman" w:eastAsia="宋体" w:cs="Times New Roman"/>
                      <w:b/>
                      <w:bCs/>
                      <w:color w:val="0000FF"/>
                      <w:sz w:val="21"/>
                      <w:szCs w:val="21"/>
                      <w:vertAlign w:val="baseline"/>
                      <w:lang w:eastAsia="zh-CN"/>
                    </w:rPr>
                    <w:t>通入氮气流量</w:t>
                  </w:r>
                  <w:r>
                    <w:rPr>
                      <w:rFonts w:hint="default" w:ascii="Times New Roman" w:hAnsi="Times New Roman" w:eastAsia="宋体" w:cs="Times New Roman"/>
                      <w:b/>
                      <w:bCs/>
                      <w:color w:val="0000FF"/>
                      <w:sz w:val="21"/>
                      <w:szCs w:val="21"/>
                      <w:vertAlign w:val="baseline"/>
                      <w:lang w:val="en-US" w:eastAsia="zh-CN"/>
                    </w:rPr>
                    <w:t>/</w:t>
                  </w:r>
                  <w:r>
                    <w:rPr>
                      <w:rFonts w:hint="default" w:ascii="Times New Roman" w:hAnsi="Times New Roman" w:eastAsia="宋体" w:cs="Times New Roman"/>
                      <w:b/>
                      <w:bCs/>
                      <w:color w:val="0000FF"/>
                      <w:sz w:val="21"/>
                      <w:szCs w:val="21"/>
                      <w:vertAlign w:val="baseline"/>
                      <w:lang w:eastAsia="zh-CN"/>
                    </w:rPr>
                    <w:t>（L/min）</w:t>
                  </w:r>
                </w:p>
              </w:tc>
              <w:tc>
                <w:tcPr>
                  <w:tcW w:w="2500" w:type="pct"/>
                  <w:tcBorders>
                    <w:tl2br w:val="nil"/>
                    <w:tr2bl w:val="nil"/>
                  </w:tcBorders>
                  <w:noWrap w:val="0"/>
                  <w:vAlign w:val="center"/>
                </w:tcPr>
                <w:p w14:paraId="538F66CC">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bCs/>
                      <w:color w:val="0000FF"/>
                      <w:sz w:val="21"/>
                      <w:szCs w:val="21"/>
                      <w:vertAlign w:val="baseline"/>
                      <w:lang w:eastAsia="zh-CN"/>
                    </w:rPr>
                  </w:pPr>
                  <w:r>
                    <w:rPr>
                      <w:rFonts w:hint="default" w:ascii="Times New Roman" w:hAnsi="Times New Roman" w:eastAsia="宋体" w:cs="Times New Roman"/>
                      <w:b/>
                      <w:bCs/>
                      <w:color w:val="0000FF"/>
                      <w:sz w:val="21"/>
                      <w:szCs w:val="21"/>
                      <w:vertAlign w:val="baseline"/>
                      <w:lang w:eastAsia="zh-CN"/>
                    </w:rPr>
                    <w:t>最大压力</w:t>
                  </w:r>
                  <w:r>
                    <w:rPr>
                      <w:rFonts w:hint="default" w:ascii="Times New Roman" w:hAnsi="Times New Roman" w:eastAsia="宋体" w:cs="Times New Roman"/>
                      <w:b/>
                      <w:bCs/>
                      <w:color w:val="0000FF"/>
                      <w:sz w:val="21"/>
                      <w:szCs w:val="21"/>
                      <w:vertAlign w:val="baseline"/>
                      <w:lang w:val="en-US" w:eastAsia="zh-CN"/>
                    </w:rPr>
                    <w:t>/</w:t>
                  </w:r>
                  <w:r>
                    <w:rPr>
                      <w:rFonts w:hint="default" w:ascii="Times New Roman" w:hAnsi="Times New Roman" w:eastAsia="宋体" w:cs="Times New Roman"/>
                      <w:b/>
                      <w:bCs/>
                      <w:color w:val="0000FF"/>
                      <w:sz w:val="21"/>
                      <w:szCs w:val="21"/>
                      <w:vertAlign w:val="baseline"/>
                      <w:lang w:eastAsia="zh-CN"/>
                    </w:rPr>
                    <w:t>Pa</w:t>
                  </w:r>
                </w:p>
              </w:tc>
            </w:tr>
            <w:tr w14:paraId="681366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2500" w:type="pct"/>
                  <w:tcBorders>
                    <w:tl2br w:val="nil"/>
                    <w:tr2bl w:val="nil"/>
                  </w:tcBorders>
                  <w:noWrap w:val="0"/>
                  <w:vAlign w:val="center"/>
                </w:tcPr>
                <w:p w14:paraId="69F2858D">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18</w:t>
                  </w:r>
                </w:p>
              </w:tc>
              <w:tc>
                <w:tcPr>
                  <w:tcW w:w="2500" w:type="pct"/>
                  <w:tcBorders>
                    <w:tl2br w:val="nil"/>
                    <w:tr2bl w:val="nil"/>
                  </w:tcBorders>
                  <w:noWrap w:val="0"/>
                  <w:vAlign w:val="center"/>
                </w:tcPr>
                <w:p w14:paraId="7C5071F1">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40</w:t>
                  </w:r>
                </w:p>
              </w:tc>
            </w:tr>
            <w:tr w14:paraId="68854D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262973A2">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28</w:t>
                  </w:r>
                </w:p>
              </w:tc>
              <w:tc>
                <w:tcPr>
                  <w:tcW w:w="2500" w:type="pct"/>
                  <w:tcBorders>
                    <w:tl2br w:val="nil"/>
                    <w:tr2bl w:val="nil"/>
                  </w:tcBorders>
                  <w:noWrap w:val="0"/>
                  <w:vAlign w:val="center"/>
                </w:tcPr>
                <w:p w14:paraId="6F836631">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90</w:t>
                  </w:r>
                </w:p>
              </w:tc>
            </w:tr>
            <w:tr w14:paraId="2C6430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00" w:type="pct"/>
                  <w:tcBorders>
                    <w:tl2br w:val="nil"/>
                    <w:tr2bl w:val="nil"/>
                  </w:tcBorders>
                  <w:noWrap w:val="0"/>
                  <w:vAlign w:val="center"/>
                </w:tcPr>
                <w:p w14:paraId="332DA722">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38</w:t>
                  </w:r>
                </w:p>
              </w:tc>
              <w:tc>
                <w:tcPr>
                  <w:tcW w:w="2500" w:type="pct"/>
                  <w:tcBorders>
                    <w:tl2br w:val="nil"/>
                    <w:tr2bl w:val="nil"/>
                  </w:tcBorders>
                  <w:noWrap w:val="0"/>
                  <w:vAlign w:val="center"/>
                </w:tcPr>
                <w:p w14:paraId="1C64E444">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outlineLvl w:val="9"/>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155</w:t>
                  </w:r>
                </w:p>
              </w:tc>
            </w:tr>
          </w:tbl>
          <w:p w14:paraId="0A2D5F0C">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240" w:lineRule="auto"/>
              <w:ind w:left="0" w:firstLine="0"/>
              <w:jc w:val="center"/>
              <w:textAlignment w:val="auto"/>
              <w:outlineLvl w:val="9"/>
              <w:rPr>
                <w:rFonts w:hint="default" w:ascii="Times New Roman" w:hAnsi="Times New Roman" w:eastAsia="宋体" w:cs="Times New Roman"/>
                <w:b/>
                <w:bCs/>
                <w:color w:val="0000FF"/>
                <w:sz w:val="21"/>
                <w:szCs w:val="21"/>
                <w:lang w:val="en-US" w:eastAsia="zh-CN"/>
              </w:rPr>
            </w:pPr>
            <w:r>
              <w:rPr>
                <w:rFonts w:hint="default" w:ascii="Times New Roman" w:hAnsi="Times New Roman" w:eastAsia="宋体" w:cs="Times New Roman"/>
                <w:b/>
                <w:bCs/>
                <w:color w:val="0000FF"/>
                <w:sz w:val="21"/>
                <w:szCs w:val="21"/>
                <w:lang w:val="en-US" w:eastAsia="zh-CN"/>
              </w:rPr>
              <w:t>表3-</w:t>
            </w:r>
            <w:r>
              <w:rPr>
                <w:rFonts w:hint="eastAsia" w:cs="Times New Roman"/>
                <w:b/>
                <w:bCs/>
                <w:color w:val="0000FF"/>
                <w:sz w:val="21"/>
                <w:szCs w:val="21"/>
                <w:lang w:val="en-US" w:eastAsia="zh-CN"/>
              </w:rPr>
              <w:t>10</w:t>
            </w:r>
            <w:r>
              <w:rPr>
                <w:rFonts w:hint="default" w:ascii="Times New Roman" w:hAnsi="Times New Roman" w:eastAsia="宋体" w:cs="Times New Roman"/>
                <w:b/>
                <w:bCs/>
                <w:color w:val="0000FF"/>
                <w:sz w:val="21"/>
                <w:szCs w:val="21"/>
                <w:lang w:val="en-US" w:eastAsia="zh-CN"/>
              </w:rPr>
              <w:t xml:space="preserve">  加油站油气回收系统密闭性检测最小剩余压力限值  </w:t>
            </w:r>
            <w:r>
              <w:rPr>
                <w:rFonts w:hint="default" w:ascii="Times New Roman" w:hAnsi="Times New Roman" w:eastAsia="宋体" w:cs="Times New Roman"/>
                <w:b/>
                <w:bCs/>
                <w:color w:val="0000FF"/>
                <w:kern w:val="0"/>
                <w:sz w:val="21"/>
                <w:szCs w:val="21"/>
                <w:lang w:val="en-US" w:eastAsia="zh-CN" w:bidi="ar"/>
              </w:rPr>
              <w:t>单位：Pa</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99"/>
              <w:gridCol w:w="997"/>
              <w:gridCol w:w="1388"/>
              <w:gridCol w:w="1201"/>
              <w:gridCol w:w="1406"/>
              <w:gridCol w:w="1396"/>
            </w:tblGrid>
            <w:tr w14:paraId="25FC04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1192" w:type="pct"/>
                  <w:vMerge w:val="restart"/>
                  <w:tcBorders>
                    <w:tl2br w:val="nil"/>
                    <w:tr2bl w:val="nil"/>
                  </w:tcBorders>
                  <w:noWrap w:val="0"/>
                  <w:vAlign w:val="center"/>
                </w:tcPr>
                <w:p w14:paraId="619F7ED3">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
                      <w:color w:val="0000FF"/>
                      <w:sz w:val="21"/>
                      <w:szCs w:val="21"/>
                    </w:rPr>
                  </w:pPr>
                  <w:r>
                    <w:rPr>
                      <w:rFonts w:hint="default" w:ascii="Times New Roman" w:hAnsi="Times New Roman" w:eastAsia="宋体" w:cs="Times New Roman"/>
                      <w:b/>
                      <w:color w:val="0000FF"/>
                      <w:sz w:val="21"/>
                      <w:szCs w:val="21"/>
                    </w:rPr>
                    <w:t>储罐油气空间/L</w:t>
                  </w:r>
                </w:p>
              </w:tc>
              <w:tc>
                <w:tcPr>
                  <w:tcW w:w="3807" w:type="pct"/>
                  <w:gridSpan w:val="5"/>
                  <w:tcBorders>
                    <w:tl2br w:val="nil"/>
                    <w:tr2bl w:val="nil"/>
                  </w:tcBorders>
                  <w:noWrap w:val="0"/>
                  <w:vAlign w:val="center"/>
                </w:tcPr>
                <w:p w14:paraId="2C6BD1FB">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
                      <w:color w:val="0000FF"/>
                      <w:sz w:val="21"/>
                      <w:szCs w:val="21"/>
                    </w:rPr>
                  </w:pPr>
                  <w:r>
                    <w:rPr>
                      <w:rFonts w:hint="default" w:ascii="Times New Roman" w:hAnsi="Times New Roman" w:eastAsia="宋体" w:cs="Times New Roman"/>
                      <w:b/>
                      <w:color w:val="0000FF"/>
                      <w:sz w:val="21"/>
                      <w:szCs w:val="21"/>
                    </w:rPr>
                    <w:t>受影响的加油枪数</w:t>
                  </w:r>
                </w:p>
              </w:tc>
            </w:tr>
            <w:tr w14:paraId="55B57E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1192" w:type="pct"/>
                  <w:vMerge w:val="continue"/>
                  <w:tcBorders>
                    <w:tl2br w:val="nil"/>
                    <w:tr2bl w:val="nil"/>
                  </w:tcBorders>
                  <w:noWrap w:val="0"/>
                  <w:vAlign w:val="center"/>
                </w:tcPr>
                <w:p w14:paraId="2641C596">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p>
              </w:tc>
              <w:tc>
                <w:tcPr>
                  <w:tcW w:w="594" w:type="pct"/>
                  <w:tcBorders>
                    <w:tl2br w:val="nil"/>
                    <w:tr2bl w:val="nil"/>
                  </w:tcBorders>
                  <w:noWrap w:val="0"/>
                  <w:vAlign w:val="center"/>
                </w:tcPr>
                <w:p w14:paraId="1C881FA0">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1～6</w:t>
                  </w:r>
                </w:p>
              </w:tc>
              <w:tc>
                <w:tcPr>
                  <w:tcW w:w="827" w:type="pct"/>
                  <w:tcBorders>
                    <w:tl2br w:val="nil"/>
                    <w:tr2bl w:val="nil"/>
                  </w:tcBorders>
                  <w:noWrap w:val="0"/>
                  <w:vAlign w:val="center"/>
                </w:tcPr>
                <w:p w14:paraId="44FDB411">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7～12</w:t>
                  </w:r>
                </w:p>
              </w:tc>
              <w:tc>
                <w:tcPr>
                  <w:tcW w:w="716" w:type="pct"/>
                  <w:tcBorders>
                    <w:tl2br w:val="nil"/>
                    <w:tr2bl w:val="nil"/>
                  </w:tcBorders>
                  <w:noWrap w:val="0"/>
                  <w:vAlign w:val="center"/>
                </w:tcPr>
                <w:p w14:paraId="57FC5B76">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13～18</w:t>
                  </w:r>
                </w:p>
              </w:tc>
              <w:tc>
                <w:tcPr>
                  <w:tcW w:w="838" w:type="pct"/>
                  <w:tcBorders>
                    <w:tl2br w:val="nil"/>
                    <w:tr2bl w:val="nil"/>
                  </w:tcBorders>
                  <w:noWrap w:val="0"/>
                  <w:vAlign w:val="center"/>
                </w:tcPr>
                <w:p w14:paraId="3D8C3FA7">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19～24</w:t>
                  </w:r>
                </w:p>
              </w:tc>
              <w:tc>
                <w:tcPr>
                  <w:tcW w:w="830" w:type="pct"/>
                  <w:tcBorders>
                    <w:tl2br w:val="nil"/>
                    <w:tr2bl w:val="nil"/>
                  </w:tcBorders>
                  <w:noWrap w:val="0"/>
                  <w:vAlign w:val="center"/>
                </w:tcPr>
                <w:p w14:paraId="54F79025">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＞24</w:t>
                  </w:r>
                </w:p>
              </w:tc>
            </w:tr>
            <w:tr w14:paraId="0F46F8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1192" w:type="pct"/>
                  <w:tcBorders>
                    <w:tl2br w:val="nil"/>
                    <w:tr2bl w:val="nil"/>
                  </w:tcBorders>
                  <w:noWrap w:val="0"/>
                  <w:vAlign w:val="center"/>
                </w:tcPr>
                <w:p w14:paraId="3B80DDDD">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1893</w:t>
                  </w:r>
                </w:p>
              </w:tc>
              <w:tc>
                <w:tcPr>
                  <w:tcW w:w="594" w:type="pct"/>
                  <w:tcBorders>
                    <w:tl2br w:val="nil"/>
                    <w:tr2bl w:val="nil"/>
                  </w:tcBorders>
                  <w:noWrap w:val="0"/>
                  <w:vAlign w:val="center"/>
                </w:tcPr>
                <w:p w14:paraId="5E8820DD">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cr/>
                  </w:r>
                  <w:r>
                    <w:rPr>
                      <w:rFonts w:hint="default" w:ascii="Times New Roman" w:hAnsi="Times New Roman" w:eastAsia="宋体" w:cs="Times New Roman"/>
                      <w:bCs/>
                      <w:color w:val="0000FF"/>
                      <w:sz w:val="21"/>
                      <w:szCs w:val="21"/>
                    </w:rPr>
                    <w:t>82</w:t>
                  </w:r>
                </w:p>
              </w:tc>
              <w:tc>
                <w:tcPr>
                  <w:tcW w:w="827" w:type="pct"/>
                  <w:tcBorders>
                    <w:tl2br w:val="nil"/>
                    <w:tr2bl w:val="nil"/>
                  </w:tcBorders>
                  <w:noWrap w:val="0"/>
                  <w:vAlign w:val="center"/>
                </w:tcPr>
                <w:p w14:paraId="5030FDD2">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172</w:t>
                  </w:r>
                </w:p>
              </w:tc>
              <w:tc>
                <w:tcPr>
                  <w:tcW w:w="716" w:type="pct"/>
                  <w:tcBorders>
                    <w:tl2br w:val="nil"/>
                    <w:tr2bl w:val="nil"/>
                  </w:tcBorders>
                  <w:noWrap w:val="0"/>
                  <w:vAlign w:val="center"/>
                </w:tcPr>
                <w:p w14:paraId="261687C6">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162</w:t>
                  </w:r>
                </w:p>
              </w:tc>
              <w:tc>
                <w:tcPr>
                  <w:tcW w:w="838" w:type="pct"/>
                  <w:tcBorders>
                    <w:tl2br w:val="nil"/>
                    <w:tr2bl w:val="nil"/>
                  </w:tcBorders>
                  <w:noWrap w:val="0"/>
                  <w:vAlign w:val="center"/>
                </w:tcPr>
                <w:p w14:paraId="7ECD90C1">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152</w:t>
                  </w:r>
                </w:p>
              </w:tc>
              <w:tc>
                <w:tcPr>
                  <w:tcW w:w="830" w:type="pct"/>
                  <w:tcBorders>
                    <w:tl2br w:val="nil"/>
                    <w:tr2bl w:val="nil"/>
                  </w:tcBorders>
                  <w:noWrap w:val="0"/>
                  <w:vAlign w:val="center"/>
                </w:tcPr>
                <w:p w14:paraId="6BF895CB">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142</w:t>
                  </w:r>
                </w:p>
              </w:tc>
            </w:tr>
            <w:tr w14:paraId="72123C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192" w:type="pct"/>
                  <w:tcBorders>
                    <w:tl2br w:val="nil"/>
                    <w:tr2bl w:val="nil"/>
                  </w:tcBorders>
                  <w:noWrap w:val="0"/>
                  <w:vAlign w:val="center"/>
                </w:tcPr>
                <w:p w14:paraId="13BC4E75">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2082</w:t>
                  </w:r>
                </w:p>
              </w:tc>
              <w:tc>
                <w:tcPr>
                  <w:tcW w:w="594" w:type="pct"/>
                  <w:tcBorders>
                    <w:tl2br w:val="nil"/>
                    <w:tr2bl w:val="nil"/>
                  </w:tcBorders>
                  <w:noWrap w:val="0"/>
                  <w:vAlign w:val="center"/>
                </w:tcPr>
                <w:p w14:paraId="0B0F6775">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199</w:t>
                  </w:r>
                </w:p>
              </w:tc>
              <w:tc>
                <w:tcPr>
                  <w:tcW w:w="827" w:type="pct"/>
                  <w:tcBorders>
                    <w:tl2br w:val="nil"/>
                    <w:tr2bl w:val="nil"/>
                  </w:tcBorders>
                  <w:noWrap w:val="0"/>
                  <w:vAlign w:val="center"/>
                </w:tcPr>
                <w:p w14:paraId="33D383CF">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189</w:t>
                  </w:r>
                </w:p>
              </w:tc>
              <w:tc>
                <w:tcPr>
                  <w:tcW w:w="716" w:type="pct"/>
                  <w:tcBorders>
                    <w:tl2br w:val="nil"/>
                    <w:tr2bl w:val="nil"/>
                  </w:tcBorders>
                  <w:noWrap w:val="0"/>
                  <w:vAlign w:val="center"/>
                </w:tcPr>
                <w:p w14:paraId="3CC43272">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179</w:t>
                  </w:r>
                </w:p>
              </w:tc>
              <w:tc>
                <w:tcPr>
                  <w:tcW w:w="838" w:type="pct"/>
                  <w:tcBorders>
                    <w:tl2br w:val="nil"/>
                    <w:tr2bl w:val="nil"/>
                  </w:tcBorders>
                  <w:noWrap w:val="0"/>
                  <w:vAlign w:val="center"/>
                </w:tcPr>
                <w:p w14:paraId="171AEEAF">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169</w:t>
                  </w:r>
                </w:p>
              </w:tc>
              <w:tc>
                <w:tcPr>
                  <w:tcW w:w="830" w:type="pct"/>
                  <w:tcBorders>
                    <w:tl2br w:val="nil"/>
                    <w:tr2bl w:val="nil"/>
                  </w:tcBorders>
                  <w:noWrap w:val="0"/>
                  <w:vAlign w:val="center"/>
                </w:tcPr>
                <w:p w14:paraId="2625BC79">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159</w:t>
                  </w:r>
                </w:p>
              </w:tc>
            </w:tr>
            <w:tr w14:paraId="2A8420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1192" w:type="pct"/>
                  <w:tcBorders>
                    <w:tl2br w:val="nil"/>
                    <w:tr2bl w:val="nil"/>
                  </w:tcBorders>
                  <w:noWrap w:val="0"/>
                  <w:vAlign w:val="center"/>
                </w:tcPr>
                <w:p w14:paraId="1F27FECE">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2271</w:t>
                  </w:r>
                </w:p>
              </w:tc>
              <w:tc>
                <w:tcPr>
                  <w:tcW w:w="594" w:type="pct"/>
                  <w:tcBorders>
                    <w:tl2br w:val="nil"/>
                    <w:tr2bl w:val="nil"/>
                  </w:tcBorders>
                  <w:noWrap w:val="0"/>
                  <w:vAlign w:val="center"/>
                </w:tcPr>
                <w:p w14:paraId="7120BD0A">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217</w:t>
                  </w:r>
                </w:p>
              </w:tc>
              <w:tc>
                <w:tcPr>
                  <w:tcW w:w="827" w:type="pct"/>
                  <w:tcBorders>
                    <w:tl2br w:val="nil"/>
                    <w:tr2bl w:val="nil"/>
                  </w:tcBorders>
                  <w:noWrap w:val="0"/>
                  <w:vAlign w:val="center"/>
                </w:tcPr>
                <w:p w14:paraId="48B8E223">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204</w:t>
                  </w:r>
                </w:p>
              </w:tc>
              <w:tc>
                <w:tcPr>
                  <w:tcW w:w="716" w:type="pct"/>
                  <w:tcBorders>
                    <w:tl2br w:val="nil"/>
                    <w:tr2bl w:val="nil"/>
                  </w:tcBorders>
                  <w:noWrap w:val="0"/>
                  <w:vAlign w:val="center"/>
                </w:tcPr>
                <w:p w14:paraId="63FA5B45">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194</w:t>
                  </w:r>
                </w:p>
              </w:tc>
              <w:tc>
                <w:tcPr>
                  <w:tcW w:w="838" w:type="pct"/>
                  <w:tcBorders>
                    <w:tl2br w:val="nil"/>
                    <w:tr2bl w:val="nil"/>
                  </w:tcBorders>
                  <w:noWrap w:val="0"/>
                  <w:vAlign w:val="center"/>
                </w:tcPr>
                <w:p w14:paraId="0B3564EB">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184</w:t>
                  </w:r>
                </w:p>
              </w:tc>
              <w:tc>
                <w:tcPr>
                  <w:tcW w:w="830" w:type="pct"/>
                  <w:tcBorders>
                    <w:tl2br w:val="nil"/>
                    <w:tr2bl w:val="nil"/>
                  </w:tcBorders>
                  <w:noWrap w:val="0"/>
                  <w:vAlign w:val="center"/>
                </w:tcPr>
                <w:p w14:paraId="78678171">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177</w:t>
                  </w:r>
                </w:p>
              </w:tc>
            </w:tr>
            <w:tr w14:paraId="770C3E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1192" w:type="pct"/>
                  <w:tcBorders>
                    <w:tl2br w:val="nil"/>
                    <w:tr2bl w:val="nil"/>
                  </w:tcBorders>
                  <w:noWrap w:val="0"/>
                  <w:vAlign w:val="center"/>
                </w:tcPr>
                <w:p w14:paraId="43528BE7">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2460</w:t>
                  </w:r>
                </w:p>
              </w:tc>
              <w:tc>
                <w:tcPr>
                  <w:tcW w:w="594" w:type="pct"/>
                  <w:tcBorders>
                    <w:tl2br w:val="nil"/>
                    <w:tr2bl w:val="nil"/>
                  </w:tcBorders>
                  <w:noWrap w:val="0"/>
                  <w:vAlign w:val="center"/>
                </w:tcPr>
                <w:p w14:paraId="74AC9D5C">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232</w:t>
                  </w:r>
                </w:p>
              </w:tc>
              <w:tc>
                <w:tcPr>
                  <w:tcW w:w="827" w:type="pct"/>
                  <w:tcBorders>
                    <w:tl2br w:val="nil"/>
                    <w:tr2bl w:val="nil"/>
                  </w:tcBorders>
                  <w:noWrap w:val="0"/>
                  <w:vAlign w:val="center"/>
                </w:tcPr>
                <w:p w14:paraId="4C76032D">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219</w:t>
                  </w:r>
                </w:p>
              </w:tc>
              <w:tc>
                <w:tcPr>
                  <w:tcW w:w="716" w:type="pct"/>
                  <w:tcBorders>
                    <w:tl2br w:val="nil"/>
                    <w:tr2bl w:val="nil"/>
                  </w:tcBorders>
                  <w:noWrap w:val="0"/>
                  <w:vAlign w:val="center"/>
                </w:tcPr>
                <w:p w14:paraId="7017B7DF">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209</w:t>
                  </w:r>
                </w:p>
              </w:tc>
              <w:tc>
                <w:tcPr>
                  <w:tcW w:w="838" w:type="pct"/>
                  <w:tcBorders>
                    <w:tl2br w:val="nil"/>
                    <w:tr2bl w:val="nil"/>
                  </w:tcBorders>
                  <w:noWrap w:val="0"/>
                  <w:vAlign w:val="center"/>
                </w:tcPr>
                <w:p w14:paraId="3CB3704C">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199</w:t>
                  </w:r>
                </w:p>
              </w:tc>
              <w:tc>
                <w:tcPr>
                  <w:tcW w:w="830" w:type="pct"/>
                  <w:tcBorders>
                    <w:tl2br w:val="nil"/>
                    <w:tr2bl w:val="nil"/>
                  </w:tcBorders>
                  <w:noWrap w:val="0"/>
                  <w:vAlign w:val="center"/>
                </w:tcPr>
                <w:p w14:paraId="308DDB99">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192</w:t>
                  </w:r>
                </w:p>
              </w:tc>
            </w:tr>
            <w:tr w14:paraId="101DED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1192" w:type="pct"/>
                  <w:tcBorders>
                    <w:tl2br w:val="nil"/>
                    <w:tr2bl w:val="nil"/>
                  </w:tcBorders>
                  <w:noWrap w:val="0"/>
                  <w:vAlign w:val="center"/>
                </w:tcPr>
                <w:p w14:paraId="09B633E8">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2650</w:t>
                  </w:r>
                </w:p>
              </w:tc>
              <w:tc>
                <w:tcPr>
                  <w:tcW w:w="594" w:type="pct"/>
                  <w:tcBorders>
                    <w:tl2br w:val="nil"/>
                    <w:tr2bl w:val="nil"/>
                  </w:tcBorders>
                  <w:noWrap w:val="0"/>
                  <w:vAlign w:val="center"/>
                </w:tcPr>
                <w:p w14:paraId="56BE2625">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244</w:t>
                  </w:r>
                </w:p>
              </w:tc>
              <w:tc>
                <w:tcPr>
                  <w:tcW w:w="827" w:type="pct"/>
                  <w:tcBorders>
                    <w:tl2br w:val="nil"/>
                    <w:tr2bl w:val="nil"/>
                  </w:tcBorders>
                  <w:noWrap w:val="0"/>
                  <w:vAlign w:val="center"/>
                </w:tcPr>
                <w:p w14:paraId="686937CD">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234</w:t>
                  </w:r>
                </w:p>
              </w:tc>
              <w:tc>
                <w:tcPr>
                  <w:tcW w:w="716" w:type="pct"/>
                  <w:tcBorders>
                    <w:tl2br w:val="nil"/>
                    <w:tr2bl w:val="nil"/>
                  </w:tcBorders>
                  <w:noWrap w:val="0"/>
                  <w:vAlign w:val="center"/>
                </w:tcPr>
                <w:p w14:paraId="5D1C690F">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224</w:t>
                  </w:r>
                </w:p>
              </w:tc>
              <w:tc>
                <w:tcPr>
                  <w:tcW w:w="838" w:type="pct"/>
                  <w:tcBorders>
                    <w:tl2br w:val="nil"/>
                    <w:tr2bl w:val="nil"/>
                  </w:tcBorders>
                  <w:noWrap w:val="0"/>
                  <w:vAlign w:val="center"/>
                </w:tcPr>
                <w:p w14:paraId="3D381093">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214</w:t>
                  </w:r>
                </w:p>
              </w:tc>
              <w:tc>
                <w:tcPr>
                  <w:tcW w:w="830" w:type="pct"/>
                  <w:tcBorders>
                    <w:tl2br w:val="nil"/>
                    <w:tr2bl w:val="nil"/>
                  </w:tcBorders>
                  <w:noWrap w:val="0"/>
                  <w:vAlign w:val="center"/>
                </w:tcPr>
                <w:p w14:paraId="73242048">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204</w:t>
                  </w:r>
                </w:p>
              </w:tc>
            </w:tr>
            <w:tr w14:paraId="279A49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1192" w:type="pct"/>
                  <w:tcBorders>
                    <w:tl2br w:val="nil"/>
                    <w:tr2bl w:val="nil"/>
                  </w:tcBorders>
                  <w:noWrap w:val="0"/>
                  <w:vAlign w:val="center"/>
                </w:tcPr>
                <w:p w14:paraId="55B771C7">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2839</w:t>
                  </w:r>
                </w:p>
              </w:tc>
              <w:tc>
                <w:tcPr>
                  <w:tcW w:w="594" w:type="pct"/>
                  <w:tcBorders>
                    <w:tl2br w:val="nil"/>
                    <w:tr2bl w:val="nil"/>
                  </w:tcBorders>
                  <w:noWrap w:val="0"/>
                  <w:vAlign w:val="center"/>
                </w:tcPr>
                <w:p w14:paraId="650D3728">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257</w:t>
                  </w:r>
                </w:p>
              </w:tc>
              <w:tc>
                <w:tcPr>
                  <w:tcW w:w="827" w:type="pct"/>
                  <w:tcBorders>
                    <w:tl2br w:val="nil"/>
                    <w:tr2bl w:val="nil"/>
                  </w:tcBorders>
                  <w:noWrap w:val="0"/>
                  <w:vAlign w:val="center"/>
                </w:tcPr>
                <w:p w14:paraId="68BAFC35">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344</w:t>
                  </w:r>
                </w:p>
              </w:tc>
              <w:tc>
                <w:tcPr>
                  <w:tcW w:w="716" w:type="pct"/>
                  <w:tcBorders>
                    <w:tl2br w:val="nil"/>
                    <w:tr2bl w:val="nil"/>
                  </w:tcBorders>
                  <w:noWrap w:val="0"/>
                  <w:vAlign w:val="center"/>
                </w:tcPr>
                <w:p w14:paraId="3A4AA90C">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234</w:t>
                  </w:r>
                </w:p>
              </w:tc>
              <w:tc>
                <w:tcPr>
                  <w:tcW w:w="838" w:type="pct"/>
                  <w:tcBorders>
                    <w:tl2br w:val="nil"/>
                    <w:tr2bl w:val="nil"/>
                  </w:tcBorders>
                  <w:noWrap w:val="0"/>
                  <w:vAlign w:val="center"/>
                </w:tcPr>
                <w:p w14:paraId="745DA7F9">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227</w:t>
                  </w:r>
                </w:p>
              </w:tc>
              <w:tc>
                <w:tcPr>
                  <w:tcW w:w="830" w:type="pct"/>
                  <w:tcBorders>
                    <w:tl2br w:val="nil"/>
                    <w:tr2bl w:val="nil"/>
                  </w:tcBorders>
                  <w:noWrap w:val="0"/>
                  <w:vAlign w:val="center"/>
                </w:tcPr>
                <w:p w14:paraId="2426D95E">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217</w:t>
                  </w:r>
                </w:p>
              </w:tc>
            </w:tr>
            <w:tr w14:paraId="342150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1192" w:type="pct"/>
                  <w:tcBorders>
                    <w:tl2br w:val="nil"/>
                    <w:tr2bl w:val="nil"/>
                  </w:tcBorders>
                  <w:noWrap w:val="0"/>
                  <w:vAlign w:val="center"/>
                </w:tcPr>
                <w:p w14:paraId="359F2153">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3028</w:t>
                  </w:r>
                </w:p>
              </w:tc>
              <w:tc>
                <w:tcPr>
                  <w:tcW w:w="594" w:type="pct"/>
                  <w:tcBorders>
                    <w:tl2br w:val="nil"/>
                    <w:tr2bl w:val="nil"/>
                  </w:tcBorders>
                  <w:noWrap w:val="0"/>
                  <w:vAlign w:val="center"/>
                </w:tcPr>
                <w:p w14:paraId="18607417">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267</w:t>
                  </w:r>
                </w:p>
              </w:tc>
              <w:tc>
                <w:tcPr>
                  <w:tcW w:w="827" w:type="pct"/>
                  <w:tcBorders>
                    <w:tl2br w:val="nil"/>
                    <w:tr2bl w:val="nil"/>
                  </w:tcBorders>
                  <w:noWrap w:val="0"/>
                  <w:vAlign w:val="center"/>
                </w:tcPr>
                <w:p w14:paraId="1D59041B">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257</w:t>
                  </w:r>
                </w:p>
              </w:tc>
              <w:tc>
                <w:tcPr>
                  <w:tcW w:w="716" w:type="pct"/>
                  <w:tcBorders>
                    <w:tl2br w:val="nil"/>
                    <w:tr2bl w:val="nil"/>
                  </w:tcBorders>
                  <w:noWrap w:val="0"/>
                  <w:vAlign w:val="center"/>
                </w:tcPr>
                <w:p w14:paraId="780A4DFC">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247</w:t>
                  </w:r>
                </w:p>
              </w:tc>
              <w:tc>
                <w:tcPr>
                  <w:tcW w:w="838" w:type="pct"/>
                  <w:tcBorders>
                    <w:tl2br w:val="nil"/>
                    <w:tr2bl w:val="nil"/>
                  </w:tcBorders>
                  <w:noWrap w:val="0"/>
                  <w:vAlign w:val="center"/>
                </w:tcPr>
                <w:p w14:paraId="6A495F5A">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237</w:t>
                  </w:r>
                </w:p>
              </w:tc>
              <w:tc>
                <w:tcPr>
                  <w:tcW w:w="830" w:type="pct"/>
                  <w:tcBorders>
                    <w:tl2br w:val="nil"/>
                    <w:tr2bl w:val="nil"/>
                  </w:tcBorders>
                  <w:noWrap w:val="0"/>
                  <w:vAlign w:val="center"/>
                </w:tcPr>
                <w:p w14:paraId="55E26EDD">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229</w:t>
                  </w:r>
                </w:p>
              </w:tc>
            </w:tr>
            <w:tr w14:paraId="692855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1192" w:type="pct"/>
                  <w:tcBorders>
                    <w:tl2br w:val="nil"/>
                    <w:tr2bl w:val="nil"/>
                  </w:tcBorders>
                  <w:noWrap w:val="0"/>
                  <w:vAlign w:val="center"/>
                </w:tcPr>
                <w:p w14:paraId="7DC4CE94">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3217</w:t>
                  </w:r>
                </w:p>
              </w:tc>
              <w:tc>
                <w:tcPr>
                  <w:tcW w:w="594" w:type="pct"/>
                  <w:tcBorders>
                    <w:tl2br w:val="nil"/>
                    <w:tr2bl w:val="nil"/>
                  </w:tcBorders>
                  <w:noWrap w:val="0"/>
                  <w:vAlign w:val="center"/>
                </w:tcPr>
                <w:p w14:paraId="72547582">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277</w:t>
                  </w:r>
                </w:p>
              </w:tc>
              <w:tc>
                <w:tcPr>
                  <w:tcW w:w="827" w:type="pct"/>
                  <w:tcBorders>
                    <w:tl2br w:val="nil"/>
                    <w:tr2bl w:val="nil"/>
                  </w:tcBorders>
                  <w:noWrap w:val="0"/>
                  <w:vAlign w:val="center"/>
                </w:tcPr>
                <w:p w14:paraId="4CEE1727">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267</w:t>
                  </w:r>
                </w:p>
              </w:tc>
              <w:tc>
                <w:tcPr>
                  <w:tcW w:w="716" w:type="pct"/>
                  <w:tcBorders>
                    <w:tl2br w:val="nil"/>
                    <w:tr2bl w:val="nil"/>
                  </w:tcBorders>
                  <w:noWrap w:val="0"/>
                  <w:vAlign w:val="center"/>
                </w:tcPr>
                <w:p w14:paraId="0A605033">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257</w:t>
                  </w:r>
                </w:p>
              </w:tc>
              <w:tc>
                <w:tcPr>
                  <w:tcW w:w="838" w:type="pct"/>
                  <w:tcBorders>
                    <w:tl2br w:val="nil"/>
                    <w:tr2bl w:val="nil"/>
                  </w:tcBorders>
                  <w:noWrap w:val="0"/>
                  <w:vAlign w:val="center"/>
                </w:tcPr>
                <w:p w14:paraId="0FBE4A17">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249</w:t>
                  </w:r>
                </w:p>
              </w:tc>
              <w:tc>
                <w:tcPr>
                  <w:tcW w:w="830" w:type="pct"/>
                  <w:tcBorders>
                    <w:tl2br w:val="nil"/>
                    <w:tr2bl w:val="nil"/>
                  </w:tcBorders>
                  <w:noWrap w:val="0"/>
                  <w:vAlign w:val="center"/>
                </w:tcPr>
                <w:p w14:paraId="20A5D96D">
                  <w:pPr>
                    <w:keepNext w:val="0"/>
                    <w:keepLines w:val="0"/>
                    <w:pageBreakBefore w:val="0"/>
                    <w:widowControl w:val="0"/>
                    <w:kinsoku/>
                    <w:wordWrap/>
                    <w:overflowPunct/>
                    <w:topLinePunct w:val="0"/>
                    <w:autoSpaceDE/>
                    <w:autoSpaceDN/>
                    <w:bidi w:val="0"/>
                    <w:adjustRightInd w:val="0"/>
                    <w:snapToGrid w:val="0"/>
                    <w:ind w:left="0" w:firstLine="0"/>
                    <w:jc w:val="center"/>
                    <w:textAlignment w:val="auto"/>
                    <w:outlineLvl w:val="9"/>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sz w:val="21"/>
                      <w:szCs w:val="21"/>
                      <w:lang w:val="en-US" w:eastAsia="zh-CN"/>
                    </w:rPr>
                    <w:t>239</w:t>
                  </w:r>
                </w:p>
              </w:tc>
            </w:tr>
          </w:tbl>
          <w:p w14:paraId="1829B59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噪声排放标准</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营运期</w:t>
            </w:r>
            <w:r>
              <w:rPr>
                <w:rFonts w:hint="default" w:ascii="Times New Roman" w:hAnsi="Times New Roman" w:eastAsia="宋体" w:cs="Times New Roman"/>
                <w:color w:val="000000" w:themeColor="text1"/>
                <w:sz w:val="24"/>
                <w:szCs w:val="24"/>
                <w:lang w:eastAsia="zh-CN"/>
                <w14:textFill>
                  <w14:solidFill>
                    <w14:schemeClr w14:val="tx1"/>
                  </w14:solidFill>
                </w14:textFill>
              </w:rPr>
              <w:t>设备</w:t>
            </w:r>
            <w:r>
              <w:rPr>
                <w:rFonts w:hint="default" w:ascii="Times New Roman" w:hAnsi="Times New Roman" w:eastAsia="宋体" w:cs="Times New Roman"/>
                <w:color w:val="000000" w:themeColor="text1"/>
                <w:sz w:val="24"/>
                <w:szCs w:val="24"/>
                <w14:textFill>
                  <w14:solidFill>
                    <w14:schemeClr w14:val="tx1"/>
                  </w14:solidFill>
                </w14:textFill>
              </w:rPr>
              <w:t>噪声拟执行《工业企业厂界环境噪声排放标准》（GB12348-2008）中的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类</w:t>
            </w:r>
            <w:r>
              <w:rPr>
                <w:rFonts w:hint="default" w:ascii="Times New Roman" w:hAnsi="Times New Roman" w:eastAsia="宋体" w:cs="Times New Roman"/>
                <w:color w:val="000000" w:themeColor="text1"/>
                <w:sz w:val="24"/>
                <w:szCs w:val="24"/>
                <w14:textFill>
                  <w14:solidFill>
                    <w14:schemeClr w14:val="tx1"/>
                  </w14:solidFill>
                </w14:textFill>
              </w:rPr>
              <w:t>标准</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14:paraId="6F5D26B6">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w:t>
            </w:r>
            <w:r>
              <w:rPr>
                <w:rFonts w:hint="eastAsia" w:cs="Times New Roman"/>
                <w:b/>
                <w:bCs/>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 xml:space="preserve">厂界环境噪声排放标准 </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单位：dB（A）</w:t>
            </w:r>
          </w:p>
          <w:tbl>
            <w:tblPr>
              <w:tblStyle w:val="3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200"/>
              <w:gridCol w:w="1418"/>
              <w:gridCol w:w="4771"/>
            </w:tblGrid>
            <w:tr w14:paraId="0A245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5" w:type="dxa"/>
                  <w:gridSpan w:val="3"/>
                  <w:noWrap w:val="0"/>
                  <w:vAlign w:val="center"/>
                </w:tcPr>
                <w:p w14:paraId="4961854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标准值dB</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A</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c>
                <w:tcPr>
                  <w:tcW w:w="4771" w:type="dxa"/>
                  <w:noWrap w:val="0"/>
                  <w:vAlign w:val="center"/>
                </w:tcPr>
                <w:p w14:paraId="716B7B15">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执行标准</w:t>
                  </w:r>
                </w:p>
              </w:tc>
            </w:tr>
            <w:tr w14:paraId="1467A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7" w:type="dxa"/>
                  <w:noWrap w:val="0"/>
                  <w:vAlign w:val="center"/>
                </w:tcPr>
                <w:p w14:paraId="01709C9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运营期</w:t>
                  </w:r>
                </w:p>
              </w:tc>
              <w:tc>
                <w:tcPr>
                  <w:tcW w:w="1200" w:type="dxa"/>
                  <w:noWrap w:val="0"/>
                  <w:vAlign w:val="center"/>
                </w:tcPr>
                <w:p w14:paraId="2E96AB1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昼间60</w:t>
                  </w:r>
                </w:p>
              </w:tc>
              <w:tc>
                <w:tcPr>
                  <w:tcW w:w="1418" w:type="dxa"/>
                  <w:noWrap w:val="0"/>
                  <w:vAlign w:val="center"/>
                </w:tcPr>
                <w:p w14:paraId="0AF2C00F">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夜间50</w:t>
                  </w:r>
                </w:p>
              </w:tc>
              <w:tc>
                <w:tcPr>
                  <w:tcW w:w="4771" w:type="dxa"/>
                  <w:noWrap w:val="0"/>
                  <w:vAlign w:val="center"/>
                </w:tcPr>
                <w:p w14:paraId="38B303FE">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《工业企业厂界环境噪声排放标准》（GB12348-2008）2类标准</w:t>
                  </w:r>
                </w:p>
              </w:tc>
            </w:tr>
          </w:tbl>
          <w:p w14:paraId="0435300F">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3.废水排放标准：</w:t>
            </w:r>
            <w:r>
              <w:rPr>
                <w:rFonts w:hint="default" w:ascii="Times New Roman" w:hAnsi="Times New Roman" w:eastAsia="宋体" w:cs="Times New Roman"/>
                <w:b w:val="0"/>
                <w:bCs w:val="0"/>
                <w:color w:val="0000FF"/>
                <w:sz w:val="24"/>
                <w:szCs w:val="24"/>
              </w:rPr>
              <w:t>运营</w:t>
            </w:r>
            <w:r>
              <w:rPr>
                <w:rFonts w:hint="default" w:ascii="Times New Roman" w:hAnsi="Times New Roman" w:eastAsia="宋体" w:cs="Times New Roman"/>
                <w:color w:val="0000FF"/>
                <w:sz w:val="24"/>
                <w:szCs w:val="24"/>
              </w:rPr>
              <w:t>期生活污水</w:t>
            </w:r>
            <w:r>
              <w:rPr>
                <w:rFonts w:hint="eastAsia" w:cs="Times New Roman"/>
                <w:color w:val="0000FF"/>
                <w:sz w:val="24"/>
                <w:szCs w:val="24"/>
                <w:lang w:eastAsia="zh-CN"/>
              </w:rPr>
              <w:t>及洗车废水排放</w:t>
            </w:r>
            <w:r>
              <w:rPr>
                <w:rFonts w:hint="default" w:ascii="Times New Roman" w:hAnsi="Times New Roman" w:eastAsia="宋体" w:cs="Times New Roman"/>
                <w:color w:val="0000FF"/>
                <w:sz w:val="24"/>
                <w:szCs w:val="24"/>
              </w:rPr>
              <w:t>执行《污水综合排放标准》</w:t>
            </w:r>
            <w:r>
              <w:rPr>
                <w:rFonts w:hint="default"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sz w:val="24"/>
                <w:szCs w:val="24"/>
              </w:rPr>
              <w:t>GB8978-1996</w:t>
            </w:r>
            <w:r>
              <w:rPr>
                <w:rFonts w:hint="default"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sz w:val="24"/>
                <w:szCs w:val="24"/>
              </w:rPr>
              <w:t>表4中三级标准限值，具体指标详见表3-</w:t>
            </w:r>
            <w:r>
              <w:rPr>
                <w:rFonts w:hint="eastAsia" w:cs="Times New Roman"/>
                <w:color w:val="0000FF"/>
                <w:sz w:val="24"/>
                <w:szCs w:val="24"/>
                <w:lang w:val="en-US" w:eastAsia="zh-CN"/>
              </w:rPr>
              <w:t>11</w:t>
            </w:r>
            <w:r>
              <w:rPr>
                <w:rFonts w:hint="default" w:ascii="Times New Roman" w:hAnsi="Times New Roman" w:eastAsia="宋体" w:cs="Times New Roman"/>
                <w:color w:val="0000FF"/>
                <w:sz w:val="24"/>
                <w:szCs w:val="24"/>
              </w:rPr>
              <w:t>。</w:t>
            </w:r>
          </w:p>
          <w:p w14:paraId="2532966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w:t>
            </w:r>
            <w:r>
              <w:rPr>
                <w:rFonts w:hint="eastAsia" w:cs="Times New Roman"/>
                <w:b/>
                <w:bCs/>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污水综合排放标准</w:t>
            </w:r>
            <w:r>
              <w:rPr>
                <w:rFonts w:hint="eastAsia"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（单位：mg/L）</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21"/>
              <w:gridCol w:w="1452"/>
              <w:gridCol w:w="1331"/>
              <w:gridCol w:w="1554"/>
              <w:gridCol w:w="1363"/>
              <w:gridCol w:w="1363"/>
            </w:tblGrid>
            <w:tr w14:paraId="05993F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8" w:type="pct"/>
                  <w:noWrap w:val="0"/>
                  <w:vAlign w:val="center"/>
                </w:tcPr>
                <w:p w14:paraId="7831BCB4">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w:t>
                  </w:r>
                </w:p>
              </w:tc>
              <w:tc>
                <w:tcPr>
                  <w:tcW w:w="865" w:type="pct"/>
                  <w:noWrap w:val="0"/>
                  <w:vAlign w:val="center"/>
                </w:tcPr>
                <w:p w14:paraId="5923CE1E">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793" w:type="pct"/>
                  <w:noWrap w:val="0"/>
                  <w:vAlign w:val="center"/>
                </w:tcPr>
                <w:p w14:paraId="2D1C507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p>
              </w:tc>
              <w:tc>
                <w:tcPr>
                  <w:tcW w:w="926" w:type="pct"/>
                  <w:noWrap w:val="0"/>
                  <w:vAlign w:val="center"/>
                </w:tcPr>
                <w:p w14:paraId="4959D2E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氨氮</w:t>
                  </w:r>
                </w:p>
              </w:tc>
              <w:tc>
                <w:tcPr>
                  <w:tcW w:w="812" w:type="pct"/>
                  <w:noWrap w:val="0"/>
                  <w:vAlign w:val="center"/>
                </w:tcPr>
                <w:p w14:paraId="5511944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812" w:type="pct"/>
                  <w:noWrap w:val="0"/>
                  <w:vAlign w:val="center"/>
                </w:tcPr>
                <w:p w14:paraId="31C533C6">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石油类</w:t>
                  </w:r>
                </w:p>
              </w:tc>
            </w:tr>
            <w:tr w14:paraId="51ABCF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8" w:type="pct"/>
                  <w:noWrap w:val="0"/>
                  <w:vAlign w:val="center"/>
                </w:tcPr>
                <w:p w14:paraId="3AA31A8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6.0~9.0</w:t>
                  </w:r>
                </w:p>
              </w:tc>
              <w:tc>
                <w:tcPr>
                  <w:tcW w:w="865" w:type="pct"/>
                  <w:noWrap w:val="0"/>
                  <w:vAlign w:val="center"/>
                </w:tcPr>
                <w:p w14:paraId="1E6000C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c>
                <w:tcPr>
                  <w:tcW w:w="793" w:type="pct"/>
                  <w:noWrap w:val="0"/>
                  <w:vAlign w:val="center"/>
                </w:tcPr>
                <w:p w14:paraId="1DFAEB2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300</w:t>
                  </w:r>
                </w:p>
              </w:tc>
              <w:tc>
                <w:tcPr>
                  <w:tcW w:w="926" w:type="pct"/>
                  <w:noWrap w:val="0"/>
                  <w:vAlign w:val="center"/>
                </w:tcPr>
                <w:p w14:paraId="6E087A4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12" w:type="pct"/>
                  <w:noWrap w:val="0"/>
                  <w:vAlign w:val="center"/>
                </w:tcPr>
                <w:p w14:paraId="5427267F">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p>
              </w:tc>
              <w:tc>
                <w:tcPr>
                  <w:tcW w:w="812" w:type="pct"/>
                  <w:noWrap w:val="0"/>
                  <w:vAlign w:val="center"/>
                </w:tcPr>
                <w:p w14:paraId="23F4B4A9">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r>
          </w:tbl>
          <w:p w14:paraId="42CB0EBA">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4.一般固废处置执行《一般工业固体废物贮存和填埋污染控制标准》（GB18599-2020）要求</w:t>
            </w:r>
            <w:r>
              <w:rPr>
                <w:rFonts w:hint="eastAsia" w:cs="Times New Roman"/>
                <w:color w:val="000000" w:themeColor="text1"/>
                <w:sz w:val="24"/>
                <w:szCs w:val="24"/>
                <w:lang w:val="en-US" w:eastAsia="zh-CN"/>
                <w14:textFill>
                  <w14:solidFill>
                    <w14:schemeClr w14:val="tx1"/>
                  </w14:solidFill>
                </w14:textFill>
              </w:rPr>
              <w:t>；</w:t>
            </w:r>
            <w:r>
              <w:rPr>
                <w:rFonts w:hint="eastAsia" w:cs="Times New Roman"/>
                <w:color w:val="0000FF"/>
                <w:sz w:val="24"/>
                <w:szCs w:val="24"/>
                <w:lang w:val="en-US" w:eastAsia="zh-CN"/>
              </w:rPr>
              <w:t>危险废物处置执行《危险废物贮存污染控制标准》（GB18597-2023）要求</w:t>
            </w:r>
            <w:r>
              <w:rPr>
                <w:rFonts w:hint="default" w:ascii="Times New Roman" w:hAnsi="Times New Roman" w:eastAsia="宋体" w:cs="Times New Roman"/>
                <w:color w:val="0000FF"/>
                <w:sz w:val="24"/>
                <w:szCs w:val="24"/>
                <w:lang w:eastAsia="zh-CN"/>
              </w:rPr>
              <w:t>。</w:t>
            </w:r>
          </w:p>
        </w:tc>
      </w:tr>
      <w:tr w14:paraId="04CEE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49" w:type="dxa"/>
            <w:noWrap w:val="0"/>
            <w:vAlign w:val="center"/>
          </w:tcPr>
          <w:p w14:paraId="7C3A87A9">
            <w:pPr>
              <w:keepNext w:val="0"/>
              <w:keepLines w:val="0"/>
              <w:pageBreakBefore w:val="0"/>
              <w:widowControl w:val="0"/>
              <w:wordWrap/>
              <w:bidi w:val="0"/>
              <w:adjustRightInd w:val="0"/>
              <w:snapToGrid w:val="0"/>
              <w:jc w:val="center"/>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总量</w:t>
            </w:r>
          </w:p>
          <w:p w14:paraId="1A4B355F">
            <w:pPr>
              <w:keepNext w:val="0"/>
              <w:keepLines w:val="0"/>
              <w:pageBreakBefore w:val="0"/>
              <w:widowControl w:val="0"/>
              <w:wordWrap/>
              <w:bidi w:val="0"/>
              <w:adjustRightInd w:val="0"/>
              <w:snapToGrid w:val="0"/>
              <w:jc w:val="center"/>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控制</w:t>
            </w:r>
          </w:p>
          <w:p w14:paraId="05DAC263">
            <w:pPr>
              <w:keepNext w:val="0"/>
              <w:keepLines w:val="0"/>
              <w:pageBreakBefore w:val="0"/>
              <w:widowControl w:val="0"/>
              <w:wordWrap/>
              <w:bidi w:val="0"/>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指标</w:t>
            </w:r>
          </w:p>
        </w:tc>
        <w:tc>
          <w:tcPr>
            <w:tcW w:w="8612" w:type="dxa"/>
            <w:noWrap w:val="0"/>
            <w:vAlign w:val="center"/>
          </w:tcPr>
          <w:p w14:paraId="3DB0495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outlineLvl w:val="9"/>
            </w:pPr>
            <w:r>
              <w:rPr>
                <w:rFonts w:hint="default"/>
                <w:color w:val="000000" w:themeColor="text1"/>
                <w:kern w:val="24"/>
                <w:sz w:val="24"/>
                <w:szCs w:val="24"/>
                <w:highlight w:val="none"/>
                <w14:textFill>
                  <w14:solidFill>
                    <w14:schemeClr w14:val="tx1"/>
                  </w14:solidFill>
                </w14:textFill>
              </w:rPr>
              <w:t>根据国家规定的总量控制指标，并结合本项目的排污特点、所在区域环境质量现状等因素，本项目</w:t>
            </w:r>
            <w:r>
              <w:rPr>
                <w:rFonts w:hint="eastAsia"/>
                <w:color w:val="000000" w:themeColor="text1"/>
                <w:kern w:val="24"/>
                <w:sz w:val="24"/>
                <w:szCs w:val="24"/>
                <w:highlight w:val="none"/>
                <w:lang w:eastAsia="zh-CN"/>
                <w14:textFill>
                  <w14:solidFill>
                    <w14:schemeClr w14:val="tx1"/>
                  </w14:solidFill>
                </w14:textFill>
              </w:rPr>
              <w:t>污水</w:t>
            </w:r>
            <w:r>
              <w:rPr>
                <w:rFonts w:hint="default"/>
                <w:color w:val="000000" w:themeColor="text1"/>
                <w:kern w:val="24"/>
                <w:sz w:val="24"/>
                <w:szCs w:val="24"/>
                <w:highlight w:val="none"/>
                <w14:textFill>
                  <w14:solidFill>
                    <w14:schemeClr w14:val="tx1"/>
                  </w14:solidFill>
                </w14:textFill>
              </w:rPr>
              <w:t>排入污水管网，最终纳入</w:t>
            </w:r>
            <w:r>
              <w:rPr>
                <w:rFonts w:hint="eastAsia"/>
                <w:color w:val="000000" w:themeColor="text1"/>
                <w:kern w:val="24"/>
                <w:sz w:val="24"/>
                <w:szCs w:val="24"/>
                <w:highlight w:val="none"/>
                <w:lang w:val="en-US" w:eastAsia="zh-CN"/>
                <w14:textFill>
                  <w14:solidFill>
                    <w14:schemeClr w14:val="tx1"/>
                  </w14:solidFill>
                </w14:textFill>
              </w:rPr>
              <w:t>玛纳斯县城镇污水处理厂</w:t>
            </w:r>
            <w:r>
              <w:rPr>
                <w:rFonts w:hint="default"/>
                <w:color w:val="000000" w:themeColor="text1"/>
                <w:kern w:val="24"/>
                <w:sz w:val="24"/>
                <w:szCs w:val="24"/>
                <w:highlight w:val="none"/>
                <w14:textFill>
                  <w14:solidFill>
                    <w14:schemeClr w14:val="tx1"/>
                  </w14:solidFill>
                </w14:textFill>
              </w:rPr>
              <w:t>处理</w:t>
            </w:r>
            <w:r>
              <w:rPr>
                <w:rFonts w:hint="eastAsia"/>
                <w:color w:val="000000" w:themeColor="text1"/>
                <w:kern w:val="24"/>
                <w:sz w:val="24"/>
                <w:szCs w:val="24"/>
                <w:highlight w:val="none"/>
                <w:lang w:eastAsia="zh-CN"/>
                <w14:textFill>
                  <w14:solidFill>
                    <w14:schemeClr w14:val="tx1"/>
                  </w14:solidFill>
                </w14:textFill>
              </w:rPr>
              <w:t>。</w:t>
            </w:r>
            <w:r>
              <w:rPr>
                <w:rFonts w:hint="default"/>
                <w:color w:val="000000" w:themeColor="text1"/>
                <w:kern w:val="24"/>
                <w:sz w:val="24"/>
                <w:szCs w:val="24"/>
                <w:highlight w:val="none"/>
                <w14:textFill>
                  <w14:solidFill>
                    <w14:schemeClr w14:val="tx1"/>
                  </w14:solidFill>
                </w14:textFill>
              </w:rPr>
              <w:t>根据国家对污染物排放实行总量控制的有关规定及本项目特点，</w:t>
            </w:r>
            <w:r>
              <w:rPr>
                <w:rFonts w:ascii="Times New Roman" w:hAnsi="Times New Roman" w:eastAsia="宋体" w:cs="Times New Roman"/>
                <w:color w:val="auto"/>
                <w:sz w:val="24"/>
                <w:szCs w:val="24"/>
              </w:rPr>
              <w:t>本项目</w:t>
            </w:r>
            <w:r>
              <w:rPr>
                <w:rFonts w:hint="eastAsia" w:cs="Times New Roman"/>
                <w:color w:val="auto"/>
                <w:sz w:val="24"/>
                <w:szCs w:val="24"/>
                <w:lang w:val="en-US" w:eastAsia="zh-CN"/>
              </w:rPr>
              <w:t>不</w:t>
            </w:r>
            <w:r>
              <w:rPr>
                <w:rFonts w:ascii="Times New Roman" w:hAnsi="Times New Roman" w:eastAsia="宋体" w:cs="Times New Roman"/>
                <w:color w:val="auto"/>
                <w:sz w:val="24"/>
                <w:szCs w:val="24"/>
              </w:rPr>
              <w:t>涉及总量控制因子。</w:t>
            </w:r>
          </w:p>
        </w:tc>
      </w:tr>
    </w:tbl>
    <w:p w14:paraId="5E7C7173">
      <w:pPr>
        <w:pStyle w:val="26"/>
        <w:keepNext w:val="0"/>
        <w:keepLines w:val="0"/>
        <w:pageBreakBefore w:val="0"/>
        <w:widowControl w:val="0"/>
        <w:wordWrap/>
        <w:bidi w:val="0"/>
        <w:adjustRightInd w:val="0"/>
        <w:snapToGrid w:val="0"/>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sz w:val="36"/>
          <w:szCs w:val="36"/>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四、主要环境影响和保护措施</w:t>
      </w:r>
    </w:p>
    <w:tbl>
      <w:tblPr>
        <w:tblStyle w:val="31"/>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8469"/>
      </w:tblGrid>
      <w:tr w14:paraId="019652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439" w:type="dxa"/>
            <w:noWrap w:val="0"/>
            <w:tcMar>
              <w:left w:w="28" w:type="dxa"/>
              <w:right w:w="28" w:type="dxa"/>
            </w:tcMar>
            <w:vAlign w:val="center"/>
          </w:tcPr>
          <w:p w14:paraId="59862EEC">
            <w:pPr>
              <w:pStyle w:val="26"/>
              <w:keepNext w:val="0"/>
              <w:keepLines w:val="0"/>
              <w:pageBreakBefore w:val="0"/>
              <w:widowControl w:val="0"/>
              <w:wordWrap/>
              <w:bidi w:val="0"/>
              <w:adjustRightInd w:val="0"/>
              <w:snapToGrid w:val="0"/>
              <w:spacing w:before="0" w:beforeAutospacing="0" w:after="0" w:afterAutospacing="0"/>
              <w:jc w:val="center"/>
              <w:rPr>
                <w:rFonts w:hint="default" w:ascii="Times New Roman" w:hAnsi="Times New Roman" w:eastAsia="宋体" w:cs="Times New Roman"/>
                <w:bCs/>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施工期环境保护措施</w:t>
            </w:r>
          </w:p>
        </w:tc>
        <w:tc>
          <w:tcPr>
            <w:tcW w:w="8469" w:type="dxa"/>
            <w:noWrap w:val="0"/>
            <w:vAlign w:val="top"/>
          </w:tcPr>
          <w:p w14:paraId="577DD4A5">
            <w:pPr>
              <w:keepNext w:val="0"/>
              <w:keepLines w:val="0"/>
              <w:pageBreakBefore w:val="0"/>
              <w:widowControl w:val="0"/>
              <w:kinsoku/>
              <w:wordWrap/>
              <w:overflowPunct/>
              <w:topLinePunct/>
              <w:autoSpaceDE/>
              <w:autoSpaceDN/>
              <w:bidi w:val="0"/>
              <w:adjustRightInd w:val="0"/>
              <w:snapToGrid w:val="0"/>
              <w:spacing w:before="157" w:beforeLines="50" w:line="360" w:lineRule="auto"/>
              <w:ind w:left="0" w:leftChars="0" w:right="0" w:rightChars="0"/>
              <w:jc w:val="both"/>
              <w:textAlignment w:val="baseline"/>
              <w:outlineLvl w:val="9"/>
              <w:rPr>
                <w:rFonts w:hint="eastAsia"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4.1 施工期环境保护措施</w:t>
            </w:r>
          </w:p>
          <w:p w14:paraId="18CB267A">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jc w:val="both"/>
              <w:textAlignment w:val="baseline"/>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 xml:space="preserve">4.1.1 </w:t>
            </w:r>
            <w:r>
              <w:rPr>
                <w:rFonts w:hint="default" w:ascii="Times New Roman" w:hAnsi="Times New Roman" w:eastAsia="宋体" w:cs="Times New Roman"/>
                <w:b/>
                <w:color w:val="000000" w:themeColor="text1"/>
                <w:sz w:val="24"/>
                <w:szCs w:val="24"/>
                <w14:textFill>
                  <w14:solidFill>
                    <w14:schemeClr w14:val="tx1"/>
                  </w14:solidFill>
                </w14:textFill>
              </w:rPr>
              <w:t>施工期大气环境保护措施</w:t>
            </w:r>
          </w:p>
          <w:p w14:paraId="5BB9946A">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2" w:firstLineChars="200"/>
              <w:jc w:val="both"/>
              <w:textAlignment w:val="baseline"/>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14:textFill>
                  <w14:solidFill>
                    <w14:schemeClr w14:val="tx1"/>
                  </w14:solidFill>
                </w14:textFill>
              </w:rPr>
              <w:t>扬尘</w:t>
            </w:r>
          </w:p>
          <w:p w14:paraId="713D9365">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施工现场扬尘主要来源于施工运输车辆产生的道路扬尘和场地清理平整、挖方填方、物料装卸等环节产生的二次扬尘。</w:t>
            </w:r>
          </w:p>
          <w:p w14:paraId="49E471E6">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1.对建设施工期间的车辆和机械扬尘，建议采取洒水湿法抑尘。利用洒水车对施工现场和进出道路洒水，以利于减少扬尘的产量。</w:t>
            </w:r>
          </w:p>
          <w:p w14:paraId="13F8FDD1">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对离开工地的运输车，应该安装清洗车轮的清洗装置，不能将大量有土、泥、碎片等类似物体带到公共道路上。</w:t>
            </w:r>
          </w:p>
          <w:p w14:paraId="4F0C1ED3">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对于装运含尘物料的运输车辆必须进行密封运输，严格控制和规范车辆运输量和运输方式，容易产生粉尘的物料不能够装的高过于车辆两边和尾部的挡板，严格控制物料的洒落。</w:t>
            </w:r>
          </w:p>
          <w:p w14:paraId="65F171C0">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限制施工区内运输车辆的速度，将卡车在施工场地的车速减少到10km/h，将其它区域减少至30km/h。</w:t>
            </w:r>
          </w:p>
          <w:p w14:paraId="411F1E79">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要注意堆料的保护，加盖篷布密封保存，避免造成大范围的空气污染。</w:t>
            </w:r>
          </w:p>
          <w:p w14:paraId="1A23D30D">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施工现场周边应设置符合要求的围栏，围栏高度最少不能低于2m，且围挡要坚固、稳定、整洁、规范、美观。</w:t>
            </w:r>
          </w:p>
          <w:p w14:paraId="7471CE23">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建筑工地脚手架外侧必须用密目式安全网封闭，封闭高度应高出作业面15m。</w:t>
            </w:r>
          </w:p>
          <w:p w14:paraId="3189006D">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8.建筑工程施工应当按照有关规定使用预拌混凝土、预拌砂浆、预拌级配碎石和预拌水稳混合料，严禁现场搅拌。</w:t>
            </w:r>
          </w:p>
          <w:p w14:paraId="7C417BF0">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市政府发布重污染天气黄色预警时施工现场应停止土石方作业，检查物料和裸露场地的覆盖状况</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市政府发布重污染天气橙色预警或风速达到五级以上(含五级)大风天气时，施工现场应停止工地室外作业及室内喷涂粉刷作业，并对作业面进行覆盖。同时，施工单位应启动重污染天气应急预案，采取应急措施</w:t>
            </w:r>
            <w:r>
              <w:rPr>
                <w:rFonts w:hint="default" w:ascii="Times New Roman" w:hAnsi="Times New Roman" w:eastAsia="宋体" w:cs="Times New Roman"/>
                <w:color w:val="000000" w:themeColor="text1"/>
                <w:sz w:val="24"/>
                <w:szCs w:val="24"/>
                <w14:textFill>
                  <w14:solidFill>
                    <w14:schemeClr w14:val="tx1"/>
                  </w14:solidFill>
                </w14:textFill>
              </w:rPr>
              <w:t>。</w:t>
            </w:r>
          </w:p>
          <w:p w14:paraId="770B4CAB">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工地应设专职人员负责扬尘控制措施的实施和监督。由专人负责逸散性材料、垃圾、渣土、裸地等密闭、覆盖、洒水作业以及车辆清洗作业等，并记录扬尘控制措施的实施情况。</w:t>
            </w:r>
          </w:p>
          <w:p w14:paraId="46D86C23">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11.扬尘防治单位应做好扬尘防治工作记录和数据监测记录，建立完善的扬尘防治管理台账，保存完整的扬尘防治档案资料。</w:t>
            </w:r>
          </w:p>
          <w:p w14:paraId="0ECC7598">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12.扬尘防治各方责任主体应积极配合并接受建设、环保、城管等相关主管部门对扬尘污染防治工作的检查指导及监督管理。</w:t>
            </w:r>
          </w:p>
          <w:p w14:paraId="638C4D6F">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2" w:firstLineChars="200"/>
              <w:jc w:val="both"/>
              <w:textAlignment w:val="baseline"/>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t>汽车尾气</w:t>
            </w:r>
          </w:p>
          <w:p w14:paraId="786B95AE">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在施工期间，施工运输设备和一些动力设备运行将排放尾气，尾气中主要污染物为CO、NO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x</w:t>
            </w:r>
            <w:r>
              <w:rPr>
                <w:rFonts w:hint="default" w:ascii="Times New Roman" w:hAnsi="Times New Roman" w:eastAsia="宋体" w:cs="Times New Roman"/>
                <w:color w:val="000000" w:themeColor="text1"/>
                <w:sz w:val="24"/>
                <w:szCs w:val="24"/>
                <w14:textFill>
                  <w14:solidFill>
                    <w14:schemeClr w14:val="tx1"/>
                  </w14:solidFill>
                </w14:textFill>
              </w:rPr>
              <w:t>、THC。本项目施工期使用的运输设备和动力设备较少，排放量较小，加之场地空气流动性好，因此不会对区域环境空气质量产生不利的影响。</w:t>
            </w:r>
          </w:p>
          <w:p w14:paraId="4FA53FE7">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jc w:val="both"/>
              <w:textAlignment w:val="baseline"/>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 xml:space="preserve">4.1.2 </w:t>
            </w:r>
            <w:r>
              <w:rPr>
                <w:rFonts w:hint="default" w:ascii="Times New Roman" w:hAnsi="Times New Roman" w:eastAsia="宋体" w:cs="Times New Roman"/>
                <w:b/>
                <w:color w:val="000000" w:themeColor="text1"/>
                <w:sz w:val="24"/>
                <w:szCs w:val="24"/>
                <w14:textFill>
                  <w14:solidFill>
                    <w14:schemeClr w14:val="tx1"/>
                  </w14:solidFill>
                </w14:textFill>
              </w:rPr>
              <w:t>施工期水环境保护措施</w:t>
            </w:r>
          </w:p>
          <w:p w14:paraId="6F3A93B4">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施工期间污水主要是施工场地和运土道路时施工人员产生的生活污水以及施工过程产生的施工废水。</w:t>
            </w:r>
          </w:p>
          <w:p w14:paraId="169C520B">
            <w:pPr>
              <w:pStyle w:val="15"/>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施工期高峰期每天人数约</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0人，施工期</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个月（</w:t>
            </w:r>
            <w:r>
              <w:rPr>
                <w:rFonts w:hint="eastAsia" w:ascii="Times New Roman" w:hAnsi="Times New Roman" w:cs="Times New Roman"/>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14:textFill>
                  <w14:solidFill>
                    <w14:schemeClr w14:val="tx1"/>
                  </w14:solidFill>
                </w14:textFill>
              </w:rPr>
              <w:t>0天），施工人员均为当地居民，租用当地现有房屋，生活污水为施工人员产生的生活污水，主要污染物指标为COD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cr</w:t>
            </w:r>
            <w:r>
              <w:rPr>
                <w:rFonts w:hint="default" w:ascii="Times New Roman" w:hAnsi="Times New Roman" w:eastAsia="宋体" w:cs="Times New Roman"/>
                <w:color w:val="000000" w:themeColor="text1"/>
                <w:sz w:val="24"/>
                <w:szCs w:val="24"/>
                <w14:textFill>
                  <w14:solidFill>
                    <w14:schemeClr w14:val="tx1"/>
                  </w14:solidFill>
                </w14:textFill>
              </w:rPr>
              <w:t>、BOD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和SS等，本项目不设临时生活区，施工生活污水</w:t>
            </w:r>
            <w:r>
              <w:rPr>
                <w:rFonts w:hint="eastAsia" w:ascii="Times New Roman" w:hAnsi="Times New Roman" w:eastAsia="宋体" w:cs="Times New Roman"/>
                <w:color w:val="000000" w:themeColor="text1"/>
                <w:sz w:val="24"/>
                <w:szCs w:val="24"/>
                <w:lang w:eastAsia="zh-CN"/>
                <w14:textFill>
                  <w14:solidFill>
                    <w14:schemeClr w14:val="tx1"/>
                  </w14:solidFill>
                </w14:textFill>
              </w:rPr>
              <w:t>依托周边现有污水处理设施处理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对周围水环境产生影响较小。</w:t>
            </w:r>
          </w:p>
          <w:p w14:paraId="25D5EE7C">
            <w:pPr>
              <w:pStyle w:val="15"/>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施工废水主要是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基础工程以及主体工程</w:t>
            </w:r>
            <w:r>
              <w:rPr>
                <w:rFonts w:hint="default" w:ascii="Times New Roman" w:hAnsi="Times New Roman" w:eastAsia="宋体" w:cs="Times New Roman"/>
                <w:color w:val="000000" w:themeColor="text1"/>
                <w:sz w:val="24"/>
                <w:szCs w:val="24"/>
                <w14:textFill>
                  <w14:solidFill>
                    <w14:schemeClr w14:val="tx1"/>
                  </w14:solidFill>
                </w14:textFill>
              </w:rPr>
              <w:t>施工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期间</w:t>
            </w:r>
            <w:r>
              <w:rPr>
                <w:rFonts w:hint="default" w:ascii="Times New Roman" w:hAnsi="Times New Roman" w:eastAsia="宋体" w:cs="Times New Roman"/>
                <w:color w:val="000000" w:themeColor="text1"/>
                <w:sz w:val="24"/>
                <w:szCs w:val="24"/>
                <w14:textFill>
                  <w14:solidFill>
                    <w14:schemeClr w14:val="tx1"/>
                  </w14:solidFill>
                </w14:textFill>
              </w:rPr>
              <w:t>现场清洗、混凝土养护等产生的废水，含有泥沙和悬浮物等，该部分废水先经沉淀池</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处理后循环使用，不外排。</w:t>
            </w:r>
          </w:p>
          <w:p w14:paraId="08D643DE">
            <w:pPr>
              <w:pStyle w:val="15"/>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项目施工期间，环评要求施工废水和生活废水不得以渗坑、渗井或漫流的方式直接排放。为进一步减少施工废水对周围环境的影响，本评价要求建设方加强工地用水管理，节约用水，避免施工用水过程中的</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跑、冒、滴、漏</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，减少施工废水产生量。施工期废水的影响会随施工期的结束而结束。</w:t>
            </w:r>
          </w:p>
          <w:p w14:paraId="22A90DF5">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jc w:val="both"/>
              <w:textAlignment w:val="baseline"/>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 xml:space="preserve">4.1.3 </w:t>
            </w:r>
            <w:r>
              <w:rPr>
                <w:rFonts w:hint="default" w:ascii="Times New Roman" w:hAnsi="Times New Roman" w:eastAsia="宋体" w:cs="Times New Roman"/>
                <w:b/>
                <w:color w:val="000000" w:themeColor="text1"/>
                <w:sz w:val="24"/>
                <w:szCs w:val="24"/>
                <w14:textFill>
                  <w14:solidFill>
                    <w14:schemeClr w14:val="tx1"/>
                  </w14:solidFill>
                </w14:textFill>
              </w:rPr>
              <w:t>施工期声环境保护措施</w:t>
            </w:r>
          </w:p>
          <w:p w14:paraId="52821ACC">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该项目施工时间较长，为减少施工对周边环境的影响，施工单位应严格执行《中华人民共和国噪声污染防治法》和《建筑施工场界环境噪声排放标准》（GB12523-2011）、《建筑施工噪声管理办法》相关要求，做好以下几点：</w:t>
            </w:r>
          </w:p>
          <w:p w14:paraId="08F1279E">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禁止使用冲击式打桩机，所有打桩工序均采用沉管灌注桩；</w:t>
            </w:r>
          </w:p>
          <w:p w14:paraId="623276AB">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施工单位要加强操作人员的环境意识，对一些零星的手工作业。如拆装模板、装卸建材，尽可能做到轻拿轻放，并辅以一定的减缓措施，如铺设草包等；</w:t>
            </w:r>
          </w:p>
          <w:p w14:paraId="7046C638">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施工期间对于噪声值较高的搅拌机等设备需放置于远离居民的地方，对于固定设备需设操作棚或临时声屏障；</w:t>
            </w:r>
          </w:p>
          <w:p w14:paraId="2D6EA507">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14:textFill>
                  <w14:solidFill>
                    <w14:schemeClr w14:val="tx1"/>
                  </w14:solidFill>
                </w14:textFill>
              </w:rPr>
              <w:t>4.</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禁止在夜间施工，因工艺因素或其它特殊原因确需夜间施工的应提前向当地生态环境部门申请夜间施工许可，并依法接受监督。</w:t>
            </w:r>
          </w:p>
          <w:p w14:paraId="189FCEFB">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施工设备选型上尽量选用低噪声设备；</w:t>
            </w:r>
          </w:p>
          <w:p w14:paraId="22014944">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14:textFill>
                  <w14:solidFill>
                    <w14:schemeClr w14:val="tx1"/>
                  </w14:solidFill>
                </w14:textFill>
              </w:rPr>
              <w:t>6.</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对人为的施工噪声加强管理；</w:t>
            </w:r>
          </w:p>
          <w:p w14:paraId="7D9A0245">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14:textFill>
                  <w14:solidFill>
                    <w14:schemeClr w14:val="tx1"/>
                  </w14:solidFill>
                </w14:textFill>
              </w:rPr>
              <w:t>7.</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高噪声建筑施工机械在施工时应采取隔声或基础减振等降噪措施；</w:t>
            </w:r>
          </w:p>
          <w:p w14:paraId="6C96BD3C">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对机械设备进行定期的维护、养护，物料装卸时轻拿轻放；</w:t>
            </w:r>
          </w:p>
          <w:p w14:paraId="775DB8F4">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lang w:val="en-US" w:eastAsia="zh-CN"/>
                <w14:textFill>
                  <w14:solidFill>
                    <w14:schemeClr w14:val="tx1"/>
                  </w14:solidFill>
                </w14:textFill>
              </w:rPr>
              <w:t>9.</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承担原材料及建筑垃圾运输的车辆，进出施工场地时要做到减速慢行，禁止鸣笛。</w:t>
            </w:r>
          </w:p>
          <w:p w14:paraId="2D0EB55E">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jc w:val="both"/>
              <w:textAlignment w:val="baseline"/>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 xml:space="preserve">4.1.4 </w:t>
            </w:r>
            <w:r>
              <w:rPr>
                <w:rFonts w:hint="default" w:ascii="Times New Roman" w:hAnsi="Times New Roman" w:eastAsia="宋体" w:cs="Times New Roman"/>
                <w:b/>
                <w:color w:val="000000" w:themeColor="text1"/>
                <w:sz w:val="24"/>
                <w:szCs w:val="24"/>
                <w14:textFill>
                  <w14:solidFill>
                    <w14:schemeClr w14:val="tx1"/>
                  </w14:solidFill>
                </w14:textFill>
              </w:rPr>
              <w:t>固体废物环境保护措施</w:t>
            </w:r>
          </w:p>
          <w:p w14:paraId="6E8DC752">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施工期内施工场地和运土道路过程中固体废物的来源主要是施工人员的生活垃圾、地表熟土、</w:t>
            </w:r>
            <w:r>
              <w:rPr>
                <w:rFonts w:hint="default" w:ascii="Times New Roman" w:hAnsi="Times New Roman" w:eastAsia="宋体" w:cs="Times New Roman"/>
                <w:bCs/>
                <w:color w:val="000000" w:themeColor="text1"/>
                <w:sz w:val="24"/>
                <w:szCs w:val="24"/>
                <w14:textFill>
                  <w14:solidFill>
                    <w14:schemeClr w14:val="tx1"/>
                  </w14:solidFill>
                </w14:textFill>
              </w:rPr>
              <w:t>包装袋</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废旧钢筋</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碎砖石</w:t>
            </w:r>
            <w:r>
              <w:rPr>
                <w:rFonts w:hint="eastAsia" w:cs="Times New Roman"/>
                <w:color w:val="000000" w:themeColor="text1"/>
                <w:sz w:val="24"/>
                <w:szCs w:val="24"/>
                <w:lang w:eastAsia="zh-CN"/>
                <w14:textFill>
                  <w14:solidFill>
                    <w14:schemeClr w14:val="tx1"/>
                  </w14:solidFill>
                </w14:textFill>
              </w:rPr>
              <w:t>、旧设备及清罐油污</w:t>
            </w:r>
            <w:r>
              <w:rPr>
                <w:rFonts w:hint="default" w:ascii="Times New Roman" w:hAnsi="Times New Roman" w:eastAsia="宋体" w:cs="Times New Roman"/>
                <w:color w:val="000000" w:themeColor="text1"/>
                <w:sz w:val="24"/>
                <w:szCs w:val="24"/>
                <w14:textFill>
                  <w14:solidFill>
                    <w14:schemeClr w14:val="tx1"/>
                  </w14:solidFill>
                </w14:textFill>
              </w:rPr>
              <w:t>等。</w:t>
            </w:r>
          </w:p>
          <w:p w14:paraId="68F1FF55">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地表熟土：项目场址平整过程开挖的地表熟土，暂存于合适位置，待将来</w:t>
            </w:r>
            <w:r>
              <w:rPr>
                <w:rFonts w:hint="default" w:ascii="Times New Roman" w:hAnsi="Times New Roman" w:eastAsia="宋体" w:cs="Times New Roman"/>
                <w:color w:val="000000" w:themeColor="text1"/>
                <w:kern w:val="0"/>
                <w:sz w:val="24"/>
                <w:szCs w:val="24"/>
                <w14:textFill>
                  <w14:solidFill>
                    <w14:schemeClr w14:val="tx1"/>
                  </w14:solidFill>
                </w14:textFill>
              </w:rPr>
              <w:t>就地用于绿化、道路等生态景观建设</w:t>
            </w:r>
            <w:r>
              <w:rPr>
                <w:rFonts w:hint="default" w:ascii="Times New Roman" w:hAnsi="Times New Roman" w:eastAsia="宋体" w:cs="Times New Roman"/>
                <w:color w:val="000000" w:themeColor="text1"/>
                <w:sz w:val="24"/>
                <w:szCs w:val="24"/>
                <w14:textFill>
                  <w14:solidFill>
                    <w14:schemeClr w14:val="tx1"/>
                  </w14:solidFill>
                </w14:textFill>
              </w:rPr>
              <w:t>。</w:t>
            </w:r>
          </w:p>
          <w:p w14:paraId="64D260D0">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包装袋：项目工程建设、装修过程产生大量水泥、管材等包装袋，可回收利用的作为废品外卖，不可回收利用的作为不可重复利用建筑垃圾处理。</w:t>
            </w:r>
          </w:p>
          <w:p w14:paraId="69A4FBE5">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废旧钢筋：项目工程施工期和建设期产生的废旧钢筋等钢材，集中收集后全部外卖。</w:t>
            </w:r>
          </w:p>
          <w:p w14:paraId="0F995DDA">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碎砖石等：项目施工期产生大量的碎砖石等无法重复利用的建筑垃圾，该部分垃圾暂存于</w:t>
            </w:r>
            <w:r>
              <w:rPr>
                <w:rFonts w:hint="default" w:ascii="Times New Roman" w:hAnsi="Times New Roman" w:eastAsia="宋体" w:cs="Times New Roman"/>
                <w:color w:val="000000" w:themeColor="text1"/>
                <w:kern w:val="0"/>
                <w:sz w:val="24"/>
                <w:szCs w:val="24"/>
                <w14:textFill>
                  <w14:solidFill>
                    <w14:schemeClr w14:val="tx1"/>
                  </w14:solidFill>
                </w14:textFill>
              </w:rPr>
              <w:t>有围栏和覆盖措施的堆放场地与设施，然后运至市政部门指定的建筑</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垃圾</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填埋场处理</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490392B7">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生活垃圾：禁止乱堆乱放，集中收集后定期清运，能够全部处理。生活垃圾收集后由环卫部门统一收集后集中处置。</w:t>
            </w:r>
          </w:p>
          <w:p w14:paraId="2D3925A4">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0000FF"/>
                <w:sz w:val="24"/>
                <w:szCs w:val="24"/>
                <w:lang w:val="en-US" w:eastAsia="zh-CN"/>
              </w:rPr>
              <w:t>6.</w:t>
            </w:r>
            <w:r>
              <w:rPr>
                <w:rFonts w:hint="eastAsia" w:cs="Times New Roman"/>
                <w:color w:val="0000FF"/>
                <w:kern w:val="0"/>
                <w:sz w:val="24"/>
                <w:szCs w:val="24"/>
                <w:lang w:val="en-US" w:eastAsia="zh-CN"/>
              </w:rPr>
              <w:t>油罐和加油管拆站前委托第三方清罐机构清理油污后出售物资回收单位处置。</w:t>
            </w:r>
          </w:p>
          <w:p w14:paraId="70E51969">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0000FF"/>
                <w:sz w:val="24"/>
                <w:szCs w:val="24"/>
                <w:lang w:val="en-US" w:eastAsia="zh-CN"/>
              </w:rPr>
              <w:t>7.</w:t>
            </w:r>
            <w:r>
              <w:rPr>
                <w:rFonts w:hint="eastAsia" w:cs="Times New Roman"/>
                <w:color w:val="0000FF"/>
                <w:sz w:val="24"/>
                <w:szCs w:val="24"/>
                <w:lang w:val="en-US" w:eastAsia="zh-CN"/>
              </w:rPr>
              <w:t>清罐</w:t>
            </w:r>
            <w:r>
              <w:rPr>
                <w:rFonts w:hint="eastAsia" w:cs="Times New Roman"/>
                <w:color w:val="0000FF"/>
                <w:kern w:val="0"/>
                <w:sz w:val="24"/>
                <w:szCs w:val="24"/>
                <w:lang w:val="en-US" w:eastAsia="zh-CN"/>
              </w:rPr>
              <w:t>油污委托清克拉玛依沃森环保科技有限公司理处置（处置协议见附件5）。</w:t>
            </w:r>
          </w:p>
          <w:p w14:paraId="52BD79C1">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0000FF"/>
                <w:sz w:val="24"/>
                <w:szCs w:val="24"/>
                <w:lang w:val="en-US" w:eastAsia="zh-CN"/>
              </w:rPr>
              <w:t>8.加油机交由中石油新疆销售有限公司石河子分公司作为备用件</w:t>
            </w:r>
            <w:r>
              <w:rPr>
                <w:rFonts w:hint="eastAsia" w:cs="Times New Roman"/>
                <w:color w:val="0000FF"/>
                <w:sz w:val="24"/>
                <w:szCs w:val="24"/>
                <w:lang w:val="en-US" w:eastAsia="zh-CN"/>
              </w:rPr>
              <w:t>。</w:t>
            </w:r>
          </w:p>
          <w:p w14:paraId="75E3411A">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outlineLvl w:val="9"/>
              <w:rPr>
                <w:rFonts w:hint="eastAsia" w:ascii="Times New Roman" w:hAnsi="Times New Roman" w:cs="Times New Roman"/>
                <w:b w:val="0"/>
                <w:color w:val="000000" w:themeColor="text1"/>
                <w:sz w:val="24"/>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综上所述</w:t>
            </w:r>
            <w:r>
              <w:rPr>
                <w:rFonts w:hint="default" w:ascii="Times New Roman" w:hAnsi="Times New Roman" w:eastAsia="宋体" w:cs="Times New Roman"/>
                <w:b w:val="0"/>
                <w:bCs/>
                <w:color w:val="000000" w:themeColor="text1"/>
                <w:sz w:val="24"/>
                <w:szCs w:val="24"/>
                <w14:textFill>
                  <w14:solidFill>
                    <w14:schemeClr w14:val="tx1"/>
                  </w14:solidFill>
                </w14:textFill>
              </w:rPr>
              <w:t>，施工期各要素对环境的影响是暂时的、局部的，采取有效的控制措施，可将影响降至最低，施工结束后基本可消除。</w:t>
            </w:r>
          </w:p>
          <w:p w14:paraId="161FBEA8">
            <w:pPr>
              <w:pStyle w:val="11"/>
              <w:keepNext w:val="0"/>
              <w:keepLines w:val="0"/>
              <w:pageBreakBefore w:val="0"/>
              <w:widowControl w:val="0"/>
              <w:kinsoku/>
              <w:wordWrap/>
              <w:overflowPunct/>
              <w:topLinePunct w:val="0"/>
              <w:autoSpaceDE/>
              <w:autoSpaceDN/>
              <w:bidi w:val="0"/>
              <w:adjustRightInd w:val="0"/>
              <w:snapToGrid w:val="0"/>
              <w:spacing w:before="0" w:after="0" w:line="480" w:lineRule="exact"/>
              <w:ind w:left="0" w:right="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r>
      <w:tr w14:paraId="029FA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9" w:hRule="atLeast"/>
          <w:jc w:val="center"/>
        </w:trPr>
        <w:tc>
          <w:tcPr>
            <w:tcW w:w="439" w:type="dxa"/>
            <w:noWrap w:val="0"/>
            <w:tcMar>
              <w:left w:w="28" w:type="dxa"/>
              <w:right w:w="28" w:type="dxa"/>
            </w:tcMar>
            <w:vAlign w:val="center"/>
          </w:tcPr>
          <w:p w14:paraId="62986F39">
            <w:pPr>
              <w:keepNext w:val="0"/>
              <w:keepLines w:val="0"/>
              <w:pageBreakBefore w:val="0"/>
              <w:widowControl w:val="0"/>
              <w:wordWrap/>
              <w:bidi w:val="0"/>
              <w:adjustRightInd w:val="0"/>
              <w:snapToGrid w:val="0"/>
              <w:jc w:val="center"/>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运营期环境影响和保护措施</w:t>
            </w:r>
          </w:p>
        </w:tc>
        <w:tc>
          <w:tcPr>
            <w:tcW w:w="8469" w:type="dxa"/>
            <w:noWrap w:val="0"/>
            <w:vAlign w:val="top"/>
          </w:tcPr>
          <w:p w14:paraId="70C40E3B">
            <w:pPr>
              <w:keepNext w:val="0"/>
              <w:keepLines w:val="0"/>
              <w:pageBreakBefore w:val="0"/>
              <w:widowControl w:val="0"/>
              <w:kinsoku/>
              <w:wordWrap/>
              <w:overflowPunct/>
              <w:topLinePunct/>
              <w:autoSpaceDE/>
              <w:autoSpaceDN/>
              <w:bidi w:val="0"/>
              <w:adjustRightInd w:val="0"/>
              <w:snapToGrid w:val="0"/>
              <w:spacing w:before="157" w:beforeLines="50" w:line="360" w:lineRule="auto"/>
              <w:ind w:left="0" w:leftChars="0" w:right="0" w:rightChars="0"/>
              <w:textAlignment w:val="auto"/>
              <w:rPr>
                <w:rFonts w:hint="default" w:ascii="Times New Roman" w:hAnsi="Times New Roman" w:eastAsia="宋体" w:cs="Times New Roman"/>
                <w:b/>
                <w:bCs w:val="0"/>
                <w:color w:val="000000" w:themeColor="text1"/>
                <w:spacing w:val="0"/>
                <w:kern w:val="21"/>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pacing w:val="0"/>
                <w:kern w:val="21"/>
                <w:sz w:val="24"/>
                <w:szCs w:val="24"/>
                <w:lang w:val="en-US" w:eastAsia="zh-CN"/>
                <w14:textFill>
                  <w14:solidFill>
                    <w14:schemeClr w14:val="tx1"/>
                  </w14:solidFill>
                </w14:textFill>
              </w:rPr>
              <w:t>4.2 运营期环境影响和保护措施</w:t>
            </w:r>
          </w:p>
          <w:p w14:paraId="4543D1F6">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val="0"/>
                <w:color w:val="000000" w:themeColor="text1"/>
                <w:spacing w:val="0"/>
                <w:kern w:val="21"/>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kern w:val="21"/>
                <w:sz w:val="24"/>
                <w:szCs w:val="24"/>
                <w:lang w:val="en-US" w:eastAsia="zh-CN"/>
                <w14:textFill>
                  <w14:solidFill>
                    <w14:schemeClr w14:val="tx1"/>
                  </w14:solidFill>
                </w14:textFill>
              </w:rPr>
              <w:t>4.2.1 废气环境影响和保护措施</w:t>
            </w:r>
          </w:p>
          <w:p w14:paraId="698AA00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default" w:ascii="宋体" w:hAnsi="宋体" w:eastAsia="宋体" w:cs="宋体"/>
                <w:b/>
                <w:bCs w:val="0"/>
                <w:color w:val="000000" w:themeColor="text1"/>
                <w:spacing w:val="0"/>
                <w:kern w:val="21"/>
                <w:sz w:val="24"/>
                <w:szCs w:val="24"/>
                <w:lang w:val="en-US" w:eastAsia="zh-CN"/>
                <w14:textFill>
                  <w14:solidFill>
                    <w14:schemeClr w14:val="tx1"/>
                  </w14:solidFill>
                </w14:textFill>
              </w:rPr>
            </w:pPr>
            <w:r>
              <w:rPr>
                <w:rFonts w:hint="eastAsia" w:ascii="宋体" w:hAnsi="宋体" w:cs="宋体"/>
                <w:b/>
                <w:bCs w:val="0"/>
                <w:color w:val="000000" w:themeColor="text1"/>
                <w:spacing w:val="0"/>
                <w:kern w:val="21"/>
                <w:sz w:val="24"/>
                <w:szCs w:val="24"/>
                <w:lang w:val="en-US" w:eastAsia="zh-CN"/>
                <w14:textFill>
                  <w14:solidFill>
                    <w14:schemeClr w14:val="tx1"/>
                  </w14:solidFill>
                </w14:textFill>
              </w:rPr>
              <w:t>1.</w:t>
            </w:r>
            <w:r>
              <w:rPr>
                <w:b/>
                <w:color w:val="000000" w:themeColor="text1"/>
                <w:kern w:val="24"/>
                <w:sz w:val="24"/>
                <w:szCs w:val="24"/>
                <w:highlight w:val="none"/>
                <w14:textFill>
                  <w14:solidFill>
                    <w14:schemeClr w14:val="tx1"/>
                  </w14:solidFill>
                </w14:textFill>
              </w:rPr>
              <w:t>正常工况废气源强核算</w:t>
            </w:r>
          </w:p>
          <w:p w14:paraId="1787DF7B">
            <w:pPr>
              <w:pStyle w:val="24"/>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t>（1）加油工艺废气</w:t>
            </w:r>
          </w:p>
          <w:p w14:paraId="7851808C">
            <w:pPr>
              <w:pStyle w:val="24"/>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t>加油工艺</w:t>
            </w:r>
            <w:r>
              <w:rPr>
                <w:rFonts w:hint="default"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t>主要大气污染物是</w:t>
            </w:r>
            <w:r>
              <w:rPr>
                <w:rFonts w:hint="eastAsia"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t>储存（</w:t>
            </w:r>
            <w:r>
              <w:rPr>
                <w:rFonts w:hint="default"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t>油罐小呼吸</w:t>
            </w:r>
            <w:r>
              <w:rPr>
                <w:rFonts w:hint="eastAsia"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t>）过程及</w:t>
            </w:r>
            <w:r>
              <w:rPr>
                <w:rFonts w:hint="default"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t>卸油</w:t>
            </w:r>
            <w:r>
              <w:rPr>
                <w:rFonts w:hint="eastAsia" w:eastAsia="Calibri" w:cs="Times New Roman"/>
                <w:b w:val="0"/>
                <w:bCs w:val="0"/>
                <w:color w:val="000000" w:themeColor="text1"/>
                <w:kern w:val="2"/>
                <w:sz w:val="24"/>
                <w:szCs w:val="24"/>
                <w:lang w:val="en-US" w:eastAsia="zh-CN" w:bidi="ar-SA"/>
                <w14:textFill>
                  <w14:solidFill>
                    <w14:schemeClr w14:val="tx1"/>
                  </w14:solidFill>
                </w14:textFill>
              </w:rPr>
              <w:t>（油罐小呼吸）</w:t>
            </w:r>
            <w:r>
              <w:rPr>
                <w:rFonts w:hint="default"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t>、加油作业等排放的非甲烷总烃。汽油主要挥发成分为C</w:t>
            </w:r>
            <w:r>
              <w:rPr>
                <w:rFonts w:hint="default" w:ascii="Times New Roman" w:hAnsi="Times New Roman" w:eastAsia="Calibri" w:cs="Times New Roman"/>
                <w:b w:val="0"/>
                <w:bCs w:val="0"/>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t>C</w:t>
            </w:r>
            <w:r>
              <w:rPr>
                <w:rFonts w:hint="default" w:ascii="Times New Roman" w:hAnsi="Times New Roman" w:eastAsia="Calibri" w:cs="Times New Roman"/>
                <w:b w:val="0"/>
                <w:bCs w:val="0"/>
                <w:color w:val="000000" w:themeColor="text1"/>
                <w:kern w:val="2"/>
                <w:sz w:val="24"/>
                <w:szCs w:val="24"/>
                <w:vertAlign w:val="subscript"/>
                <w:lang w:val="en-US" w:eastAsia="zh-CN" w:bidi="ar-SA"/>
                <w14:textFill>
                  <w14:solidFill>
                    <w14:schemeClr w14:val="tx1"/>
                  </w14:solidFill>
                </w14:textFill>
              </w:rPr>
              <w:t>12</w:t>
            </w:r>
            <w:r>
              <w:rPr>
                <w:rFonts w:hint="default"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t>脂肪烃和环烷烃类，以及一定量的芳香烃混合物。柴油是轻质石油产品，其主要挥发成分是复杂烃类混合物（C</w:t>
            </w:r>
            <w:r>
              <w:rPr>
                <w:rFonts w:hint="default" w:ascii="Times New Roman" w:hAnsi="Times New Roman" w:eastAsia="Calibri" w:cs="Times New Roman"/>
                <w:b w:val="0"/>
                <w:bCs w:val="0"/>
                <w:color w:val="000000" w:themeColor="text1"/>
                <w:kern w:val="2"/>
                <w:sz w:val="24"/>
                <w:szCs w:val="24"/>
                <w:vertAlign w:val="subscript"/>
                <w:lang w:val="en-US" w:eastAsia="zh-CN" w:bidi="ar-SA"/>
                <w14:textFill>
                  <w14:solidFill>
                    <w14:schemeClr w14:val="tx1"/>
                  </w14:solidFill>
                </w14:textFill>
              </w:rPr>
              <w:t>10</w:t>
            </w:r>
            <w:r>
              <w:rPr>
                <w:rFonts w:hint="default"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t>-C</w:t>
            </w:r>
            <w:r>
              <w:rPr>
                <w:rFonts w:hint="default" w:ascii="Times New Roman" w:hAnsi="Times New Roman" w:eastAsia="Calibri" w:cs="Times New Roman"/>
                <w:b w:val="0"/>
                <w:bCs w:val="0"/>
                <w:color w:val="000000" w:themeColor="text1"/>
                <w:kern w:val="2"/>
                <w:sz w:val="24"/>
                <w:szCs w:val="24"/>
                <w:vertAlign w:val="subscript"/>
                <w:lang w:val="en-US" w:eastAsia="zh-CN" w:bidi="ar-SA"/>
                <w14:textFill>
                  <w14:solidFill>
                    <w14:schemeClr w14:val="tx1"/>
                  </w14:solidFill>
                </w14:textFill>
              </w:rPr>
              <w:t>22</w:t>
            </w:r>
            <w:r>
              <w:rPr>
                <w:rFonts w:hint="default" w:ascii="Times New Roman" w:hAnsi="Times New Roman" w:eastAsia="Calibri" w:cs="Times New Roman"/>
                <w:b w:val="0"/>
                <w:bCs w:val="0"/>
                <w:color w:val="000000" w:themeColor="text1"/>
                <w:kern w:val="2"/>
                <w:sz w:val="24"/>
                <w:szCs w:val="24"/>
                <w:lang w:val="en-US" w:eastAsia="zh-CN" w:bidi="ar-SA"/>
                <w14:textFill>
                  <w14:solidFill>
                    <w14:schemeClr w14:val="tx1"/>
                  </w14:solidFill>
                </w14:textFill>
              </w:rPr>
              <w:t>），均属于非甲烷总烃。</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参考《散装液态石油产品损耗》（GB11085-89）等有关资料可知，①贮存损耗率：加油站油品储罐属于隐蔽罐，柴油、汽油储罐贮存损耗率均为0.01%；②卸油损耗率：汽油卸油损耗率为0.13%，柴油卸油损耗率为0.05%；③零售损耗率：汽油零售损耗率为0.29%，柴油卸油损耗率为0.08%。</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本项目</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加油站年</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规划</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最大加油量约为</w:t>
            </w:r>
            <w:r>
              <w:rPr>
                <w:rFonts w:hint="eastAsia" w:cs="Times New Roman"/>
                <w:b w:val="0"/>
                <w:bCs w:val="0"/>
                <w:color w:val="000000" w:themeColor="text1"/>
                <w:kern w:val="2"/>
                <w:sz w:val="24"/>
                <w:szCs w:val="24"/>
                <w:lang w:val="en-US" w:eastAsia="zh-CN" w:bidi="ar-SA"/>
                <w14:textFill>
                  <w14:solidFill>
                    <w14:schemeClr w14:val="tx1"/>
                  </w14:solidFill>
                </w14:textFill>
              </w:rPr>
              <w:t>4000.0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t/a，其中汽油约</w:t>
            </w:r>
            <w:r>
              <w:rPr>
                <w:rFonts w:hint="eastAsia" w:cs="Times New Roman"/>
                <w:b w:val="0"/>
                <w:bCs w:val="0"/>
                <w:color w:val="000000" w:themeColor="text1"/>
                <w:kern w:val="2"/>
                <w:sz w:val="24"/>
                <w:szCs w:val="24"/>
                <w:lang w:val="en-US" w:eastAsia="zh-CN" w:bidi="ar-SA"/>
                <w14:textFill>
                  <w14:solidFill>
                    <w14:schemeClr w14:val="tx1"/>
                  </w14:solidFill>
                </w14:textFill>
              </w:rPr>
              <w:t>3000.0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t/a，柴油约</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00t/a。综合以上油耗损失，项目采用卧式隐蔽罐</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和</w:t>
            </w:r>
            <w:r>
              <w:rPr>
                <w:rFonts w:hint="eastAsia"/>
                <w:bCs/>
                <w:color w:val="000000" w:themeColor="text1"/>
                <w:sz w:val="24"/>
                <w:lang w:val="en-US" w:eastAsia="zh-CN"/>
                <w14:textFill>
                  <w14:solidFill>
                    <w14:schemeClr w14:val="tx1"/>
                  </w14:solidFill>
                </w14:textFill>
              </w:rPr>
              <w:t>油气回收措施</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，则汽、柴油烃类有害气体的</w:t>
            </w:r>
            <w:r>
              <w:rPr>
                <w:rFonts w:hint="eastAsia" w:cs="Times New Roman"/>
                <w:b w:val="0"/>
                <w:bCs w:val="0"/>
                <w:color w:val="000000" w:themeColor="text1"/>
                <w:kern w:val="2"/>
                <w:sz w:val="24"/>
                <w:szCs w:val="24"/>
                <w:lang w:val="en-US" w:eastAsia="zh-CN" w:bidi="ar-SA"/>
                <w14:textFill>
                  <w14:solidFill>
                    <w14:schemeClr w14:val="tx1"/>
                  </w14:solidFill>
                </w14:textFill>
              </w:rPr>
              <w:t>产生</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量见表4-</w:t>
            </w:r>
            <w:r>
              <w:rPr>
                <w:rFonts w:hint="eastAsia" w:cs="Times New Roman"/>
                <w:b w:val="0"/>
                <w:bCs w:val="0"/>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14:paraId="05E0EA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0000FF"/>
                <w:sz w:val="21"/>
                <w:szCs w:val="21"/>
                <w:lang w:val="en-US" w:eastAsia="zh-CN"/>
              </w:rPr>
            </w:pPr>
            <w:r>
              <w:rPr>
                <w:rFonts w:hint="default" w:ascii="Times New Roman" w:hAnsi="Times New Roman" w:cs="Times New Roman"/>
                <w:b/>
                <w:color w:val="0000FF"/>
                <w:sz w:val="21"/>
                <w:szCs w:val="21"/>
                <w:lang w:val="en-US" w:eastAsia="zh-CN"/>
              </w:rPr>
              <w:t>表4-</w:t>
            </w:r>
            <w:r>
              <w:rPr>
                <w:rFonts w:hint="eastAsia" w:cs="Times New Roman"/>
                <w:b/>
                <w:color w:val="0000FF"/>
                <w:sz w:val="21"/>
                <w:szCs w:val="21"/>
                <w:lang w:val="en-US" w:eastAsia="zh-CN"/>
              </w:rPr>
              <w:t>1</w:t>
            </w:r>
            <w:r>
              <w:rPr>
                <w:rFonts w:hint="default" w:ascii="Times New Roman" w:hAnsi="Times New Roman" w:cs="Times New Roman"/>
                <w:b/>
                <w:color w:val="0000FF"/>
                <w:sz w:val="21"/>
                <w:szCs w:val="21"/>
                <w:lang w:val="en-US" w:eastAsia="zh-CN"/>
              </w:rPr>
              <w:t xml:space="preserve">    非甲烷总烃产生量一览表</w:t>
            </w:r>
          </w:p>
          <w:tbl>
            <w:tblPr>
              <w:tblStyle w:val="3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1228"/>
              <w:gridCol w:w="2908"/>
              <w:gridCol w:w="2606"/>
            </w:tblGrid>
            <w:tr w14:paraId="34116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58" w:type="pct"/>
                  <w:gridSpan w:val="2"/>
                  <w:tcBorders>
                    <w:tl2br w:val="nil"/>
                    <w:tr2bl w:val="nil"/>
                  </w:tcBorders>
                  <w:noWrap w:val="0"/>
                  <w:vAlign w:val="center"/>
                </w:tcPr>
                <w:p w14:paraId="6580F7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FF"/>
                      <w:sz w:val="21"/>
                      <w:szCs w:val="21"/>
                    </w:rPr>
                  </w:pPr>
                  <w:r>
                    <w:rPr>
                      <w:rFonts w:hint="default" w:ascii="Times New Roman" w:hAnsi="Times New Roman" w:cs="Times New Roman"/>
                      <w:b/>
                      <w:bCs/>
                      <w:color w:val="0000FF"/>
                      <w:sz w:val="21"/>
                      <w:szCs w:val="21"/>
                    </w:rPr>
                    <w:t>项目</w:t>
                  </w:r>
                </w:p>
              </w:tc>
              <w:tc>
                <w:tcPr>
                  <w:tcW w:w="1762" w:type="pct"/>
                  <w:tcBorders>
                    <w:tl2br w:val="nil"/>
                    <w:tr2bl w:val="nil"/>
                  </w:tcBorders>
                  <w:noWrap w:val="0"/>
                  <w:vAlign w:val="center"/>
                </w:tcPr>
                <w:p w14:paraId="3BA05D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FF"/>
                      <w:sz w:val="21"/>
                      <w:szCs w:val="21"/>
                      <w:lang w:eastAsia="zh-CN"/>
                    </w:rPr>
                  </w:pPr>
                  <w:r>
                    <w:rPr>
                      <w:rFonts w:hint="default" w:ascii="Times New Roman" w:hAnsi="Times New Roman" w:cs="Times New Roman"/>
                      <w:b/>
                      <w:bCs/>
                      <w:color w:val="0000FF"/>
                      <w:sz w:val="21"/>
                      <w:szCs w:val="21"/>
                    </w:rPr>
                    <w:t>产生系数</w:t>
                  </w:r>
                  <w:r>
                    <w:rPr>
                      <w:rFonts w:hint="default" w:ascii="Times New Roman" w:hAnsi="Times New Roman" w:cs="Times New Roman"/>
                      <w:b/>
                      <w:bCs/>
                      <w:color w:val="0000FF"/>
                      <w:sz w:val="21"/>
                      <w:szCs w:val="21"/>
                      <w:lang w:eastAsia="zh-CN"/>
                    </w:rPr>
                    <w:t>（</w:t>
                  </w:r>
                  <w:r>
                    <w:rPr>
                      <w:rFonts w:hint="default" w:ascii="Times New Roman" w:hAnsi="Times New Roman" w:cs="Times New Roman"/>
                      <w:b/>
                      <w:bCs/>
                      <w:color w:val="0000FF"/>
                      <w:sz w:val="21"/>
                      <w:szCs w:val="21"/>
                      <w:lang w:val="en-US" w:eastAsia="zh-CN"/>
                    </w:rPr>
                    <w:t>%</w:t>
                  </w:r>
                  <w:r>
                    <w:rPr>
                      <w:rFonts w:hint="default" w:ascii="Times New Roman" w:hAnsi="Times New Roman" w:cs="Times New Roman"/>
                      <w:b/>
                      <w:bCs/>
                      <w:color w:val="0000FF"/>
                      <w:sz w:val="21"/>
                      <w:szCs w:val="21"/>
                      <w:lang w:eastAsia="zh-CN"/>
                    </w:rPr>
                    <w:t>）</w:t>
                  </w:r>
                </w:p>
              </w:tc>
              <w:tc>
                <w:tcPr>
                  <w:tcW w:w="1579" w:type="pct"/>
                  <w:tcBorders>
                    <w:tl2br w:val="nil"/>
                    <w:tr2bl w:val="nil"/>
                  </w:tcBorders>
                  <w:noWrap w:val="0"/>
                  <w:vAlign w:val="center"/>
                </w:tcPr>
                <w:p w14:paraId="78F307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FF"/>
                      <w:sz w:val="21"/>
                      <w:szCs w:val="21"/>
                    </w:rPr>
                  </w:pPr>
                  <w:r>
                    <w:rPr>
                      <w:rFonts w:hint="default" w:ascii="Times New Roman" w:hAnsi="Times New Roman" w:cs="Times New Roman"/>
                      <w:b/>
                      <w:bCs/>
                      <w:color w:val="0000FF"/>
                      <w:sz w:val="21"/>
                      <w:szCs w:val="21"/>
                    </w:rPr>
                    <w:t>产生量</w:t>
                  </w:r>
                  <w:r>
                    <w:rPr>
                      <w:rFonts w:hint="default" w:ascii="Times New Roman" w:hAnsi="Times New Roman" w:cs="Times New Roman"/>
                      <w:b/>
                      <w:bCs/>
                      <w:color w:val="0000FF"/>
                      <w:sz w:val="21"/>
                      <w:szCs w:val="21"/>
                      <w:lang w:eastAsia="zh-CN"/>
                    </w:rPr>
                    <w:t>（</w:t>
                  </w:r>
                  <w:r>
                    <w:rPr>
                      <w:rFonts w:hint="default" w:ascii="Times New Roman" w:hAnsi="Times New Roman" w:cs="Times New Roman"/>
                      <w:b/>
                      <w:bCs/>
                      <w:color w:val="0000FF"/>
                      <w:sz w:val="21"/>
                      <w:szCs w:val="21"/>
                      <w:lang w:val="en-US" w:eastAsia="zh-CN"/>
                    </w:rPr>
                    <w:t>t/a</w:t>
                  </w:r>
                  <w:r>
                    <w:rPr>
                      <w:rFonts w:hint="default" w:ascii="Times New Roman" w:hAnsi="Times New Roman" w:cs="Times New Roman"/>
                      <w:b/>
                      <w:bCs/>
                      <w:color w:val="0000FF"/>
                      <w:sz w:val="21"/>
                      <w:szCs w:val="21"/>
                      <w:lang w:eastAsia="zh-CN"/>
                    </w:rPr>
                    <w:t>）</w:t>
                  </w:r>
                </w:p>
              </w:tc>
            </w:tr>
            <w:tr w14:paraId="72DE9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4" w:type="pct"/>
                  <w:vMerge w:val="restart"/>
                  <w:tcBorders>
                    <w:tl2br w:val="nil"/>
                    <w:tr2bl w:val="nil"/>
                  </w:tcBorders>
                  <w:noWrap w:val="0"/>
                  <w:vAlign w:val="center"/>
                </w:tcPr>
                <w:p w14:paraId="075290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FF"/>
                      <w:sz w:val="21"/>
                      <w:szCs w:val="21"/>
                    </w:rPr>
                  </w:pPr>
                  <w:r>
                    <w:rPr>
                      <w:rFonts w:hint="default" w:ascii="Times New Roman" w:hAnsi="Times New Roman" w:cs="Times New Roman"/>
                      <w:b w:val="0"/>
                      <w:bCs w:val="0"/>
                      <w:color w:val="0000FF"/>
                      <w:sz w:val="21"/>
                      <w:szCs w:val="21"/>
                    </w:rPr>
                    <w:t>储油罐</w:t>
                  </w:r>
                </w:p>
              </w:tc>
              <w:tc>
                <w:tcPr>
                  <w:tcW w:w="744" w:type="pct"/>
                  <w:vMerge w:val="restart"/>
                  <w:tcBorders>
                    <w:tl2br w:val="nil"/>
                    <w:tr2bl w:val="nil"/>
                  </w:tcBorders>
                  <w:noWrap w:val="0"/>
                  <w:vAlign w:val="center"/>
                </w:tcPr>
                <w:p w14:paraId="53D4D5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eastAsia="zh-CN"/>
                    </w:rPr>
                  </w:pPr>
                  <w:r>
                    <w:rPr>
                      <w:rFonts w:hint="default" w:ascii="Times New Roman" w:hAnsi="Times New Roman" w:cs="Times New Roman"/>
                      <w:b w:val="0"/>
                      <w:bCs w:val="0"/>
                      <w:color w:val="0000FF"/>
                      <w:sz w:val="21"/>
                      <w:szCs w:val="21"/>
                      <w:lang w:eastAsia="zh-CN"/>
                    </w:rPr>
                    <w:t>储存损耗</w:t>
                  </w:r>
                </w:p>
              </w:tc>
              <w:tc>
                <w:tcPr>
                  <w:tcW w:w="1762" w:type="pct"/>
                  <w:tcBorders>
                    <w:tl2br w:val="nil"/>
                    <w:tr2bl w:val="nil"/>
                  </w:tcBorders>
                  <w:noWrap w:val="0"/>
                  <w:vAlign w:val="center"/>
                </w:tcPr>
                <w:p w14:paraId="11A6E8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cs="Times New Roman"/>
                      <w:b w:val="0"/>
                      <w:bCs w:val="0"/>
                      <w:color w:val="0000FF"/>
                      <w:sz w:val="21"/>
                      <w:szCs w:val="21"/>
                      <w:lang w:val="en-US" w:eastAsia="zh-CN"/>
                    </w:rPr>
                    <w:t>汽油0.01</w:t>
                  </w:r>
                </w:p>
              </w:tc>
              <w:tc>
                <w:tcPr>
                  <w:tcW w:w="1579" w:type="pct"/>
                  <w:tcBorders>
                    <w:tl2br w:val="nil"/>
                    <w:tr2bl w:val="nil"/>
                  </w:tcBorders>
                  <w:noWrap w:val="0"/>
                  <w:vAlign w:val="center"/>
                </w:tcPr>
                <w:p w14:paraId="1D6C9109">
                  <w:pPr>
                    <w:keepNext w:val="0"/>
                    <w:keepLines w:val="0"/>
                    <w:widowControl/>
                    <w:suppressLineNumbers w:val="0"/>
                    <w:jc w:val="center"/>
                    <w:textAlignment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0.3</w:t>
                  </w:r>
                </w:p>
              </w:tc>
            </w:tr>
            <w:tr w14:paraId="3164B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4" w:type="pct"/>
                  <w:vMerge w:val="continue"/>
                  <w:tcBorders>
                    <w:tl2br w:val="nil"/>
                    <w:tr2bl w:val="nil"/>
                  </w:tcBorders>
                  <w:noWrap w:val="0"/>
                  <w:vAlign w:val="center"/>
                </w:tcPr>
                <w:p w14:paraId="1DD7E7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FF"/>
                      <w:sz w:val="21"/>
                      <w:szCs w:val="21"/>
                    </w:rPr>
                  </w:pPr>
                </w:p>
              </w:tc>
              <w:tc>
                <w:tcPr>
                  <w:tcW w:w="744" w:type="pct"/>
                  <w:vMerge w:val="continue"/>
                  <w:tcBorders>
                    <w:tl2br w:val="nil"/>
                    <w:tr2bl w:val="nil"/>
                  </w:tcBorders>
                  <w:noWrap w:val="0"/>
                  <w:vAlign w:val="center"/>
                </w:tcPr>
                <w:p w14:paraId="1BEC4C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FF"/>
                      <w:sz w:val="21"/>
                      <w:szCs w:val="21"/>
                      <w:lang w:eastAsia="zh-CN"/>
                    </w:rPr>
                  </w:pPr>
                </w:p>
              </w:tc>
              <w:tc>
                <w:tcPr>
                  <w:tcW w:w="1762" w:type="pct"/>
                  <w:tcBorders>
                    <w:tl2br w:val="nil"/>
                    <w:tr2bl w:val="nil"/>
                  </w:tcBorders>
                  <w:noWrap w:val="0"/>
                  <w:vAlign w:val="center"/>
                </w:tcPr>
                <w:p w14:paraId="3816C9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FF"/>
                      <w:sz w:val="21"/>
                      <w:szCs w:val="21"/>
                      <w:lang w:val="en-US" w:eastAsia="zh-CN"/>
                    </w:rPr>
                  </w:pPr>
                  <w:r>
                    <w:rPr>
                      <w:rFonts w:hint="default" w:ascii="Times New Roman" w:hAnsi="Times New Roman" w:cs="Times New Roman"/>
                      <w:b w:val="0"/>
                      <w:bCs w:val="0"/>
                      <w:color w:val="0000FF"/>
                      <w:sz w:val="21"/>
                      <w:szCs w:val="21"/>
                      <w:lang w:val="en-US" w:eastAsia="zh-CN"/>
                    </w:rPr>
                    <w:t>柴油0.01</w:t>
                  </w:r>
                </w:p>
              </w:tc>
              <w:tc>
                <w:tcPr>
                  <w:tcW w:w="1579" w:type="pct"/>
                  <w:tcBorders>
                    <w:tl2br w:val="nil"/>
                    <w:tr2bl w:val="nil"/>
                  </w:tcBorders>
                  <w:noWrap w:val="0"/>
                  <w:vAlign w:val="center"/>
                </w:tcPr>
                <w:p w14:paraId="5160F10D">
                  <w:pPr>
                    <w:keepNext w:val="0"/>
                    <w:keepLines w:val="0"/>
                    <w:widowControl/>
                    <w:suppressLineNumbers w:val="0"/>
                    <w:jc w:val="center"/>
                    <w:textAlignment w:val="center"/>
                    <w:rPr>
                      <w:rFonts w:hint="default" w:ascii="Times New Roman" w:hAnsi="Times New Roman" w:cs="Times New Roman"/>
                      <w:b w:val="0"/>
                      <w:bCs w:val="0"/>
                      <w:color w:val="0000FF"/>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0.1</w:t>
                  </w:r>
                </w:p>
              </w:tc>
            </w:tr>
            <w:tr w14:paraId="1A4FD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14" w:type="pct"/>
                  <w:vMerge w:val="restart"/>
                  <w:tcBorders>
                    <w:tl2br w:val="nil"/>
                    <w:tr2bl w:val="nil"/>
                  </w:tcBorders>
                  <w:noWrap w:val="0"/>
                  <w:vAlign w:val="center"/>
                </w:tcPr>
                <w:p w14:paraId="703344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eastAsia="zh-CN"/>
                    </w:rPr>
                  </w:pPr>
                  <w:r>
                    <w:rPr>
                      <w:rFonts w:hint="default" w:ascii="Times New Roman" w:hAnsi="Times New Roman" w:cs="Times New Roman"/>
                      <w:b w:val="0"/>
                      <w:bCs w:val="0"/>
                      <w:color w:val="0000FF"/>
                      <w:sz w:val="21"/>
                      <w:szCs w:val="21"/>
                      <w:lang w:eastAsia="zh-CN"/>
                    </w:rPr>
                    <w:t>卸油区</w:t>
                  </w:r>
                </w:p>
              </w:tc>
              <w:tc>
                <w:tcPr>
                  <w:tcW w:w="744" w:type="pct"/>
                  <w:vMerge w:val="restart"/>
                  <w:tcBorders>
                    <w:tl2br w:val="nil"/>
                    <w:tr2bl w:val="nil"/>
                  </w:tcBorders>
                  <w:noWrap w:val="0"/>
                  <w:vAlign w:val="center"/>
                </w:tcPr>
                <w:p w14:paraId="61DDF5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eastAsia="zh-CN"/>
                    </w:rPr>
                  </w:pPr>
                  <w:r>
                    <w:rPr>
                      <w:rFonts w:hint="default" w:ascii="Times New Roman" w:hAnsi="Times New Roman" w:cs="Times New Roman"/>
                      <w:b w:val="0"/>
                      <w:bCs w:val="0"/>
                      <w:color w:val="0000FF"/>
                      <w:sz w:val="21"/>
                      <w:szCs w:val="21"/>
                    </w:rPr>
                    <w:t>卸油损</w:t>
                  </w:r>
                  <w:r>
                    <w:rPr>
                      <w:rFonts w:hint="default" w:ascii="Times New Roman" w:hAnsi="Times New Roman" w:cs="Times New Roman"/>
                      <w:b w:val="0"/>
                      <w:bCs w:val="0"/>
                      <w:color w:val="0000FF"/>
                      <w:sz w:val="21"/>
                      <w:szCs w:val="21"/>
                      <w:lang w:eastAsia="zh-CN"/>
                    </w:rPr>
                    <w:t>耗</w:t>
                  </w:r>
                </w:p>
              </w:tc>
              <w:tc>
                <w:tcPr>
                  <w:tcW w:w="1762" w:type="pct"/>
                  <w:tcBorders>
                    <w:tl2br w:val="nil"/>
                    <w:tr2bl w:val="nil"/>
                  </w:tcBorders>
                  <w:noWrap w:val="0"/>
                  <w:vAlign w:val="center"/>
                </w:tcPr>
                <w:p w14:paraId="70BA78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FF"/>
                      <w:sz w:val="21"/>
                      <w:szCs w:val="21"/>
                    </w:rPr>
                  </w:pPr>
                  <w:r>
                    <w:rPr>
                      <w:rFonts w:hint="default" w:ascii="Times New Roman" w:hAnsi="Times New Roman" w:cs="Times New Roman"/>
                      <w:b w:val="0"/>
                      <w:bCs w:val="0"/>
                      <w:color w:val="0000FF"/>
                      <w:sz w:val="21"/>
                      <w:szCs w:val="21"/>
                      <w:lang w:eastAsia="zh-CN"/>
                    </w:rPr>
                    <w:t>汽油</w:t>
                  </w:r>
                  <w:r>
                    <w:rPr>
                      <w:rFonts w:hint="default" w:ascii="Times New Roman" w:hAnsi="Times New Roman" w:cs="Times New Roman"/>
                      <w:b w:val="0"/>
                      <w:bCs w:val="0"/>
                      <w:color w:val="0000FF"/>
                      <w:sz w:val="21"/>
                      <w:szCs w:val="21"/>
                      <w:lang w:val="en-US" w:eastAsia="zh-CN"/>
                    </w:rPr>
                    <w:t>0.13</w:t>
                  </w:r>
                </w:p>
              </w:tc>
              <w:tc>
                <w:tcPr>
                  <w:tcW w:w="1579" w:type="pct"/>
                  <w:tcBorders>
                    <w:tl2br w:val="nil"/>
                    <w:tr2bl w:val="nil"/>
                  </w:tcBorders>
                  <w:noWrap w:val="0"/>
                  <w:vAlign w:val="center"/>
                </w:tcPr>
                <w:p w14:paraId="4F94AB8C">
                  <w:pPr>
                    <w:keepNext w:val="0"/>
                    <w:keepLines w:val="0"/>
                    <w:widowControl/>
                    <w:suppressLineNumbers w:val="0"/>
                    <w:jc w:val="center"/>
                    <w:textAlignment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3.9</w:t>
                  </w:r>
                </w:p>
              </w:tc>
            </w:tr>
            <w:tr w14:paraId="60498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4" w:type="pct"/>
                  <w:vMerge w:val="continue"/>
                  <w:tcBorders>
                    <w:tl2br w:val="nil"/>
                    <w:tr2bl w:val="nil"/>
                  </w:tcBorders>
                  <w:noWrap w:val="0"/>
                  <w:vAlign w:val="center"/>
                </w:tcPr>
                <w:p w14:paraId="1B438F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FF"/>
                      <w:sz w:val="21"/>
                      <w:szCs w:val="21"/>
                    </w:rPr>
                  </w:pPr>
                </w:p>
              </w:tc>
              <w:tc>
                <w:tcPr>
                  <w:tcW w:w="744" w:type="pct"/>
                  <w:vMerge w:val="continue"/>
                  <w:tcBorders>
                    <w:tl2br w:val="nil"/>
                    <w:tr2bl w:val="nil"/>
                  </w:tcBorders>
                  <w:noWrap w:val="0"/>
                  <w:vAlign w:val="center"/>
                </w:tcPr>
                <w:p w14:paraId="33F1ED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FF"/>
                      <w:sz w:val="21"/>
                      <w:szCs w:val="21"/>
                    </w:rPr>
                  </w:pPr>
                </w:p>
              </w:tc>
              <w:tc>
                <w:tcPr>
                  <w:tcW w:w="1762" w:type="pct"/>
                  <w:tcBorders>
                    <w:tl2br w:val="nil"/>
                    <w:tr2bl w:val="nil"/>
                  </w:tcBorders>
                  <w:noWrap w:val="0"/>
                  <w:vAlign w:val="center"/>
                </w:tcPr>
                <w:p w14:paraId="0E0A32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cs="Times New Roman"/>
                      <w:b w:val="0"/>
                      <w:bCs w:val="0"/>
                      <w:color w:val="0000FF"/>
                      <w:sz w:val="21"/>
                      <w:szCs w:val="21"/>
                      <w:lang w:eastAsia="zh-CN"/>
                    </w:rPr>
                    <w:t>柴油</w:t>
                  </w:r>
                  <w:r>
                    <w:rPr>
                      <w:rFonts w:hint="default" w:ascii="Times New Roman" w:hAnsi="Times New Roman" w:cs="Times New Roman"/>
                      <w:b w:val="0"/>
                      <w:bCs w:val="0"/>
                      <w:color w:val="0000FF"/>
                      <w:sz w:val="21"/>
                      <w:szCs w:val="21"/>
                      <w:lang w:val="en-US" w:eastAsia="zh-CN"/>
                    </w:rPr>
                    <w:t>0.05</w:t>
                  </w:r>
                </w:p>
              </w:tc>
              <w:tc>
                <w:tcPr>
                  <w:tcW w:w="1579" w:type="pct"/>
                  <w:tcBorders>
                    <w:tl2br w:val="nil"/>
                    <w:tr2bl w:val="nil"/>
                  </w:tcBorders>
                  <w:noWrap w:val="0"/>
                  <w:vAlign w:val="center"/>
                </w:tcPr>
                <w:p w14:paraId="057E0888">
                  <w:pPr>
                    <w:keepNext w:val="0"/>
                    <w:keepLines w:val="0"/>
                    <w:widowControl/>
                    <w:suppressLineNumbers w:val="0"/>
                    <w:jc w:val="center"/>
                    <w:textAlignment w:val="center"/>
                    <w:rPr>
                      <w:rFonts w:hint="default" w:ascii="Times New Roman" w:hAnsi="Times New Roman" w:cs="Times New Roman"/>
                      <w:b w:val="0"/>
                      <w:bCs w:val="0"/>
                      <w:color w:val="0000FF"/>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0.5</w:t>
                  </w:r>
                </w:p>
              </w:tc>
            </w:tr>
            <w:tr w14:paraId="147DF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4" w:type="pct"/>
                  <w:vMerge w:val="restart"/>
                  <w:tcBorders>
                    <w:tl2br w:val="nil"/>
                    <w:tr2bl w:val="nil"/>
                  </w:tcBorders>
                  <w:noWrap w:val="0"/>
                  <w:vAlign w:val="center"/>
                </w:tcPr>
                <w:p w14:paraId="3557A1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eastAsia="zh-CN"/>
                    </w:rPr>
                  </w:pPr>
                  <w:r>
                    <w:rPr>
                      <w:rFonts w:hint="default" w:ascii="Times New Roman" w:hAnsi="Times New Roman" w:cs="Times New Roman"/>
                      <w:b w:val="0"/>
                      <w:bCs w:val="0"/>
                      <w:color w:val="0000FF"/>
                      <w:sz w:val="21"/>
                      <w:szCs w:val="21"/>
                    </w:rPr>
                    <w:t>加油</w:t>
                  </w:r>
                  <w:r>
                    <w:rPr>
                      <w:rFonts w:hint="default" w:ascii="Times New Roman" w:hAnsi="Times New Roman" w:cs="Times New Roman"/>
                      <w:b w:val="0"/>
                      <w:bCs w:val="0"/>
                      <w:color w:val="0000FF"/>
                      <w:sz w:val="21"/>
                      <w:szCs w:val="21"/>
                      <w:lang w:eastAsia="zh-CN"/>
                    </w:rPr>
                    <w:t>区</w:t>
                  </w:r>
                </w:p>
              </w:tc>
              <w:tc>
                <w:tcPr>
                  <w:tcW w:w="744" w:type="pct"/>
                  <w:vMerge w:val="restart"/>
                  <w:tcBorders>
                    <w:tl2br w:val="nil"/>
                    <w:tr2bl w:val="nil"/>
                  </w:tcBorders>
                  <w:noWrap w:val="0"/>
                  <w:vAlign w:val="center"/>
                </w:tcPr>
                <w:p w14:paraId="1AE171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eastAsia="zh-CN"/>
                    </w:rPr>
                  </w:pPr>
                  <w:r>
                    <w:rPr>
                      <w:rFonts w:hint="default" w:ascii="Times New Roman" w:hAnsi="Times New Roman" w:cs="Times New Roman"/>
                      <w:b w:val="0"/>
                      <w:bCs w:val="0"/>
                      <w:color w:val="0000FF"/>
                      <w:sz w:val="21"/>
                      <w:szCs w:val="21"/>
                      <w:lang w:eastAsia="zh-CN"/>
                    </w:rPr>
                    <w:t>零售损耗</w:t>
                  </w:r>
                </w:p>
              </w:tc>
              <w:tc>
                <w:tcPr>
                  <w:tcW w:w="1762" w:type="pct"/>
                  <w:tcBorders>
                    <w:tl2br w:val="nil"/>
                    <w:tr2bl w:val="nil"/>
                  </w:tcBorders>
                  <w:noWrap w:val="0"/>
                  <w:vAlign w:val="center"/>
                </w:tcPr>
                <w:p w14:paraId="2F8E99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FF"/>
                      <w:sz w:val="21"/>
                      <w:szCs w:val="21"/>
                    </w:rPr>
                  </w:pPr>
                  <w:r>
                    <w:rPr>
                      <w:rFonts w:hint="default" w:ascii="Times New Roman" w:hAnsi="Times New Roman" w:cs="Times New Roman"/>
                      <w:b w:val="0"/>
                      <w:bCs w:val="0"/>
                      <w:color w:val="0000FF"/>
                      <w:sz w:val="21"/>
                      <w:szCs w:val="21"/>
                      <w:lang w:eastAsia="zh-CN"/>
                    </w:rPr>
                    <w:t>汽油</w:t>
                  </w:r>
                  <w:r>
                    <w:rPr>
                      <w:rFonts w:hint="default" w:ascii="Times New Roman" w:hAnsi="Times New Roman" w:cs="Times New Roman"/>
                      <w:b w:val="0"/>
                      <w:bCs w:val="0"/>
                      <w:color w:val="0000FF"/>
                      <w:sz w:val="21"/>
                      <w:szCs w:val="21"/>
                      <w:lang w:val="en-US" w:eastAsia="zh-CN"/>
                    </w:rPr>
                    <w:t>0.29</w:t>
                  </w:r>
                </w:p>
              </w:tc>
              <w:tc>
                <w:tcPr>
                  <w:tcW w:w="1579" w:type="pct"/>
                  <w:tcBorders>
                    <w:tl2br w:val="nil"/>
                    <w:tr2bl w:val="nil"/>
                  </w:tcBorders>
                  <w:noWrap w:val="0"/>
                  <w:vAlign w:val="center"/>
                </w:tcPr>
                <w:p w14:paraId="453E559D">
                  <w:pPr>
                    <w:keepNext w:val="0"/>
                    <w:keepLines w:val="0"/>
                    <w:widowControl/>
                    <w:suppressLineNumbers w:val="0"/>
                    <w:jc w:val="center"/>
                    <w:textAlignment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8.7</w:t>
                  </w:r>
                </w:p>
              </w:tc>
            </w:tr>
            <w:tr w14:paraId="2FB6C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4" w:type="pct"/>
                  <w:vMerge w:val="continue"/>
                  <w:tcBorders>
                    <w:tl2br w:val="nil"/>
                    <w:tr2bl w:val="nil"/>
                  </w:tcBorders>
                  <w:noWrap w:val="0"/>
                  <w:vAlign w:val="center"/>
                </w:tcPr>
                <w:p w14:paraId="129E8F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FF"/>
                      <w:sz w:val="21"/>
                      <w:szCs w:val="21"/>
                    </w:rPr>
                  </w:pPr>
                </w:p>
              </w:tc>
              <w:tc>
                <w:tcPr>
                  <w:tcW w:w="744" w:type="pct"/>
                  <w:vMerge w:val="continue"/>
                  <w:tcBorders>
                    <w:tl2br w:val="nil"/>
                    <w:tr2bl w:val="nil"/>
                  </w:tcBorders>
                  <w:noWrap w:val="0"/>
                  <w:vAlign w:val="center"/>
                </w:tcPr>
                <w:p w14:paraId="779756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FF"/>
                      <w:sz w:val="21"/>
                      <w:szCs w:val="21"/>
                      <w:lang w:eastAsia="zh-CN"/>
                    </w:rPr>
                  </w:pPr>
                </w:p>
              </w:tc>
              <w:tc>
                <w:tcPr>
                  <w:tcW w:w="1762" w:type="pct"/>
                  <w:tcBorders>
                    <w:tl2br w:val="nil"/>
                    <w:tr2bl w:val="nil"/>
                  </w:tcBorders>
                  <w:noWrap w:val="0"/>
                  <w:vAlign w:val="center"/>
                </w:tcPr>
                <w:p w14:paraId="61AB1C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FF"/>
                      <w:sz w:val="21"/>
                      <w:szCs w:val="21"/>
                    </w:rPr>
                  </w:pPr>
                  <w:r>
                    <w:rPr>
                      <w:rFonts w:hint="default" w:ascii="Times New Roman" w:hAnsi="Times New Roman" w:cs="Times New Roman"/>
                      <w:b w:val="0"/>
                      <w:bCs w:val="0"/>
                      <w:color w:val="0000FF"/>
                      <w:sz w:val="21"/>
                      <w:szCs w:val="21"/>
                      <w:lang w:eastAsia="zh-CN"/>
                    </w:rPr>
                    <w:t>柴油</w:t>
                  </w:r>
                  <w:r>
                    <w:rPr>
                      <w:rFonts w:hint="default" w:ascii="Times New Roman" w:hAnsi="Times New Roman" w:cs="Times New Roman"/>
                      <w:b w:val="0"/>
                      <w:bCs w:val="0"/>
                      <w:color w:val="0000FF"/>
                      <w:sz w:val="21"/>
                      <w:szCs w:val="21"/>
                      <w:lang w:val="en-US" w:eastAsia="zh-CN"/>
                    </w:rPr>
                    <w:t>0.08</w:t>
                  </w:r>
                </w:p>
              </w:tc>
              <w:tc>
                <w:tcPr>
                  <w:tcW w:w="1579" w:type="pct"/>
                  <w:tcBorders>
                    <w:tl2br w:val="nil"/>
                    <w:tr2bl w:val="nil"/>
                  </w:tcBorders>
                  <w:noWrap w:val="0"/>
                  <w:vAlign w:val="center"/>
                </w:tcPr>
                <w:p w14:paraId="3A6CDAA5">
                  <w:pPr>
                    <w:keepNext w:val="0"/>
                    <w:keepLines w:val="0"/>
                    <w:widowControl/>
                    <w:suppressLineNumbers w:val="0"/>
                    <w:jc w:val="center"/>
                    <w:textAlignment w:val="center"/>
                    <w:rPr>
                      <w:rFonts w:hint="default" w:ascii="Times New Roman" w:hAnsi="Times New Roman" w:cs="Times New Roman"/>
                      <w:b w:val="0"/>
                      <w:bCs w:val="0"/>
                      <w:color w:val="0000FF"/>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0.8</w:t>
                  </w:r>
                </w:p>
              </w:tc>
            </w:tr>
            <w:tr w14:paraId="147F6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420" w:type="pct"/>
                  <w:gridSpan w:val="3"/>
                  <w:tcBorders>
                    <w:tl2br w:val="nil"/>
                    <w:tr2bl w:val="nil"/>
                  </w:tcBorders>
                  <w:noWrap w:val="0"/>
                  <w:vAlign w:val="center"/>
                </w:tcPr>
                <w:p w14:paraId="605C92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FF"/>
                      <w:sz w:val="21"/>
                      <w:szCs w:val="21"/>
                    </w:rPr>
                  </w:pPr>
                  <w:r>
                    <w:rPr>
                      <w:rFonts w:hint="default" w:ascii="Times New Roman" w:hAnsi="Times New Roman" w:cs="Times New Roman"/>
                      <w:b w:val="0"/>
                      <w:bCs w:val="0"/>
                      <w:color w:val="0000FF"/>
                      <w:sz w:val="21"/>
                      <w:szCs w:val="21"/>
                    </w:rPr>
                    <w:t>合计</w:t>
                  </w:r>
                </w:p>
              </w:tc>
              <w:tc>
                <w:tcPr>
                  <w:tcW w:w="1579" w:type="pct"/>
                  <w:tcBorders>
                    <w:tl2br w:val="nil"/>
                    <w:tr2bl w:val="nil"/>
                  </w:tcBorders>
                  <w:noWrap w:val="0"/>
                  <w:vAlign w:val="center"/>
                </w:tcPr>
                <w:p w14:paraId="4E387826">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14.3</w:t>
                  </w:r>
                </w:p>
              </w:tc>
            </w:tr>
          </w:tbl>
          <w:p w14:paraId="79DA8870">
            <w:pPr>
              <w:pStyle w:val="106"/>
              <w:spacing w:after="0"/>
              <w:ind w:firstLine="480"/>
              <w:rPr>
                <w:rFonts w:ascii="Times New Roman" w:hAnsi="Times New Roman" w:cs="Times New Roman"/>
                <w:color w:val="0000FF"/>
                <w:kern w:val="0"/>
                <w:szCs w:val="24"/>
              </w:rPr>
            </w:pPr>
            <w:r>
              <w:rPr>
                <w:rFonts w:ascii="Times New Roman" w:hAnsi="Times New Roman" w:cs="Times New Roman"/>
                <w:color w:val="0000FF"/>
                <w:kern w:val="0"/>
                <w:szCs w:val="24"/>
              </w:rPr>
              <w:t>本项目汽油储罐设有三次油气回收系统，</w:t>
            </w:r>
            <w:r>
              <w:rPr>
                <w:rFonts w:hint="eastAsia" w:ascii="Times New Roman" w:hAnsi="Times New Roman" w:cs="Times New Roman"/>
                <w:color w:val="0000FF"/>
                <w:kern w:val="0"/>
                <w:szCs w:val="24"/>
                <w:lang w:val="en-US" w:eastAsia="zh-CN"/>
              </w:rPr>
              <w:t>卸油及加油过程油气经一次油气回收及二次油气回收后进入三次回收</w:t>
            </w:r>
            <w:r>
              <w:rPr>
                <w:rFonts w:ascii="Times New Roman" w:hAnsi="Times New Roman" w:cs="Times New Roman"/>
                <w:color w:val="0000FF"/>
                <w:kern w:val="0"/>
                <w:szCs w:val="24"/>
              </w:rPr>
              <w:t>（冷凝+</w:t>
            </w:r>
            <w:r>
              <w:rPr>
                <w:rFonts w:hint="eastAsia" w:ascii="Times New Roman" w:hAnsi="Times New Roman" w:cs="Times New Roman"/>
                <w:color w:val="0000FF"/>
                <w:kern w:val="0"/>
                <w:szCs w:val="24"/>
                <w:lang w:val="en-US" w:eastAsia="zh-CN"/>
              </w:rPr>
              <w:t>膜分离</w:t>
            </w:r>
            <w:r>
              <w:rPr>
                <w:rFonts w:ascii="Times New Roman" w:hAnsi="Times New Roman" w:cs="Times New Roman"/>
                <w:color w:val="0000FF"/>
                <w:kern w:val="0"/>
                <w:szCs w:val="24"/>
              </w:rPr>
              <w:t>）进行回收</w:t>
            </w:r>
            <w:r>
              <w:rPr>
                <w:rFonts w:hint="eastAsia" w:ascii="Times New Roman" w:hAnsi="Times New Roman" w:cs="Times New Roman"/>
                <w:color w:val="0000FF"/>
                <w:kern w:val="0"/>
                <w:szCs w:val="24"/>
                <w:lang w:eastAsia="zh-CN"/>
              </w:rPr>
              <w:t>，</w:t>
            </w:r>
            <w:r>
              <w:rPr>
                <w:rFonts w:ascii="Times New Roman" w:hAnsi="Times New Roman" w:cs="Times New Roman"/>
                <w:color w:val="0000FF"/>
                <w:kern w:val="0"/>
                <w:szCs w:val="24"/>
              </w:rPr>
              <w:t>油罐在没有收发油作业的情况下</w:t>
            </w:r>
            <w:r>
              <w:rPr>
                <w:rFonts w:hint="eastAsia" w:ascii="Times New Roman" w:hAnsi="Times New Roman" w:cs="Times New Roman"/>
                <w:color w:val="0000FF"/>
                <w:kern w:val="0"/>
                <w:szCs w:val="24"/>
                <w:lang w:eastAsia="zh-CN"/>
              </w:rPr>
              <w:t>（</w:t>
            </w:r>
            <w:r>
              <w:rPr>
                <w:rFonts w:hint="eastAsia" w:ascii="Times New Roman" w:hAnsi="Times New Roman" w:cs="Times New Roman"/>
                <w:color w:val="0000FF"/>
                <w:kern w:val="0"/>
                <w:szCs w:val="24"/>
                <w:lang w:val="en-US" w:eastAsia="zh-CN"/>
              </w:rPr>
              <w:t>即储存时</w:t>
            </w:r>
            <w:r>
              <w:rPr>
                <w:rFonts w:hint="eastAsia" w:ascii="Times New Roman" w:hAnsi="Times New Roman" w:cs="Times New Roman"/>
                <w:color w:val="0000FF"/>
                <w:kern w:val="0"/>
                <w:szCs w:val="24"/>
                <w:lang w:eastAsia="zh-CN"/>
              </w:rPr>
              <w:t>）</w:t>
            </w:r>
            <w:r>
              <w:rPr>
                <w:rFonts w:ascii="Times New Roman" w:hAnsi="Times New Roman" w:cs="Times New Roman"/>
                <w:color w:val="0000FF"/>
                <w:kern w:val="0"/>
                <w:szCs w:val="24"/>
              </w:rPr>
              <w:t>产生的油气经三次油气回收装置（冷凝+</w:t>
            </w:r>
            <w:r>
              <w:rPr>
                <w:rFonts w:hint="eastAsia" w:ascii="Times New Roman" w:hAnsi="Times New Roman" w:cs="Times New Roman"/>
                <w:color w:val="0000FF"/>
                <w:kern w:val="0"/>
                <w:szCs w:val="24"/>
                <w:lang w:val="en-US" w:eastAsia="zh-CN"/>
              </w:rPr>
              <w:t>膜分离</w:t>
            </w:r>
            <w:r>
              <w:rPr>
                <w:rFonts w:ascii="Times New Roman" w:hAnsi="Times New Roman" w:cs="Times New Roman"/>
                <w:color w:val="0000FF"/>
                <w:kern w:val="0"/>
                <w:szCs w:val="24"/>
              </w:rPr>
              <w:t>）进行回收，</w:t>
            </w:r>
            <w:r>
              <w:rPr>
                <w:rFonts w:hint="eastAsia" w:ascii="Times New Roman" w:hAnsi="Times New Roman" w:cs="Times New Roman"/>
                <w:color w:val="0000FF"/>
                <w:kern w:val="0"/>
                <w:szCs w:val="24"/>
                <w:lang w:val="en-US" w:eastAsia="zh-CN"/>
              </w:rPr>
              <w:t>经三次回收处理后的废气</w:t>
            </w:r>
            <w:r>
              <w:rPr>
                <w:rFonts w:ascii="Times New Roman" w:hAnsi="Times New Roman" w:cs="Times New Roman"/>
                <w:color w:val="0000FF"/>
                <w:kern w:val="0"/>
                <w:szCs w:val="24"/>
              </w:rPr>
              <w:t>经不低于4</w:t>
            </w:r>
            <w:r>
              <w:rPr>
                <w:rFonts w:hint="eastAsia" w:ascii="Times New Roman" w:hAnsi="Times New Roman" w:cs="Times New Roman"/>
                <w:color w:val="0000FF"/>
                <w:kern w:val="0"/>
                <w:szCs w:val="24"/>
                <w:lang w:val="en-US" w:eastAsia="zh-CN"/>
              </w:rPr>
              <w:t>m</w:t>
            </w:r>
            <w:r>
              <w:rPr>
                <w:rFonts w:ascii="Times New Roman" w:hAnsi="Times New Roman" w:cs="Times New Roman"/>
                <w:color w:val="0000FF"/>
                <w:kern w:val="0"/>
                <w:szCs w:val="24"/>
              </w:rPr>
              <w:t>排气筒排放。</w:t>
            </w:r>
            <w:r>
              <w:rPr>
                <w:rFonts w:hint="eastAsia" w:ascii="Times New Roman" w:hAnsi="Times New Roman" w:cs="Times New Roman"/>
                <w:color w:val="0000FF"/>
                <w:kern w:val="0"/>
                <w:szCs w:val="24"/>
                <w:lang w:val="en-US" w:eastAsia="zh-CN"/>
              </w:rPr>
              <w:t>收集效率均按100%计算，</w:t>
            </w:r>
            <w:r>
              <w:rPr>
                <w:rFonts w:ascii="Times New Roman" w:hAnsi="Times New Roman" w:cs="Times New Roman"/>
                <w:color w:val="0000FF"/>
                <w:kern w:val="0"/>
                <w:szCs w:val="24"/>
              </w:rPr>
              <w:t>三次油气回收装置处理效率根据《</w:t>
            </w:r>
            <w:r>
              <w:rPr>
                <w:rFonts w:hint="eastAsia" w:ascii="Times New Roman" w:hAnsi="Times New Roman" w:cs="Times New Roman"/>
                <w:color w:val="0000FF"/>
                <w:kern w:val="0"/>
                <w:szCs w:val="24"/>
              </w:rPr>
              <w:t>加油站油气回收可行技术指南</w:t>
            </w:r>
            <w:r>
              <w:rPr>
                <w:rFonts w:ascii="Times New Roman" w:hAnsi="Times New Roman" w:cs="Times New Roman"/>
                <w:color w:val="0000FF"/>
                <w:kern w:val="0"/>
                <w:szCs w:val="24"/>
              </w:rPr>
              <w:t>》</w:t>
            </w:r>
            <w:r>
              <w:rPr>
                <w:rFonts w:hint="eastAsia" w:ascii="Times New Roman" w:hAnsi="Times New Roman" w:cs="Times New Roman"/>
                <w:color w:val="0000FF"/>
                <w:kern w:val="0"/>
                <w:szCs w:val="24"/>
                <w:lang w:eastAsia="zh-CN"/>
              </w:rPr>
              <w:t>（</w:t>
            </w:r>
            <w:r>
              <w:rPr>
                <w:rFonts w:hint="eastAsia" w:ascii="Times New Roman" w:hAnsi="Times New Roman" w:cs="Times New Roman"/>
                <w:color w:val="0000FF"/>
                <w:kern w:val="0"/>
                <w:szCs w:val="24"/>
                <w:lang w:val="en-US" w:eastAsia="zh-CN"/>
              </w:rPr>
              <w:t>征求意见稿</w:t>
            </w:r>
            <w:r>
              <w:rPr>
                <w:rFonts w:hint="eastAsia" w:ascii="Times New Roman" w:hAnsi="Times New Roman" w:cs="Times New Roman"/>
                <w:color w:val="0000FF"/>
                <w:kern w:val="0"/>
                <w:szCs w:val="24"/>
                <w:lang w:eastAsia="zh-CN"/>
              </w:rPr>
              <w:t>）</w:t>
            </w:r>
            <w:r>
              <w:rPr>
                <w:rFonts w:hint="eastAsia" w:ascii="Times New Roman" w:hAnsi="Times New Roman" w:cs="Times New Roman"/>
                <w:color w:val="0000FF"/>
                <w:kern w:val="0"/>
                <w:szCs w:val="24"/>
                <w:lang w:val="en-US" w:eastAsia="zh-CN"/>
              </w:rPr>
              <w:t>表4中减排效果</w:t>
            </w:r>
            <w:r>
              <w:rPr>
                <w:rFonts w:ascii="Times New Roman" w:hAnsi="Times New Roman" w:cs="Times New Roman"/>
                <w:color w:val="0000FF"/>
                <w:kern w:val="0"/>
                <w:szCs w:val="24"/>
              </w:rPr>
              <w:t>计算，</w:t>
            </w:r>
            <w:r>
              <w:rPr>
                <w:rFonts w:hint="eastAsia" w:ascii="Times New Roman" w:hAnsi="Times New Roman" w:cs="Times New Roman"/>
                <w:color w:val="0000FF"/>
                <w:kern w:val="0"/>
                <w:szCs w:val="24"/>
                <w:lang w:val="en-US" w:eastAsia="zh-CN"/>
              </w:rPr>
              <w:t>减排效果见表4-2</w:t>
            </w:r>
            <w:r>
              <w:rPr>
                <w:rFonts w:ascii="Times New Roman" w:hAnsi="Times New Roman" w:cs="Times New Roman"/>
                <w:color w:val="0000FF"/>
                <w:kern w:val="0"/>
                <w:szCs w:val="24"/>
              </w:rPr>
              <w:t>。</w:t>
            </w:r>
          </w:p>
          <w:p w14:paraId="46754BAB">
            <w:pPr>
              <w:pStyle w:val="106"/>
              <w:keepNext w:val="0"/>
              <w:keepLines w:val="0"/>
              <w:pageBreakBefore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bCs/>
                <w:color w:val="0000FF"/>
                <w:kern w:val="0"/>
                <w:sz w:val="21"/>
                <w:szCs w:val="21"/>
                <w:lang w:val="en-US" w:eastAsia="zh-CN"/>
              </w:rPr>
            </w:pPr>
            <w:r>
              <w:rPr>
                <w:rFonts w:hint="default" w:ascii="Times New Roman" w:hAnsi="Times New Roman" w:eastAsia="宋体" w:cs="Times New Roman"/>
                <w:b/>
                <w:bCs/>
                <w:color w:val="0000FF"/>
                <w:kern w:val="0"/>
                <w:sz w:val="21"/>
                <w:szCs w:val="21"/>
                <w:lang w:val="en-US" w:eastAsia="zh-CN"/>
              </w:rPr>
              <w:t>表4-</w:t>
            </w:r>
            <w:r>
              <w:rPr>
                <w:rFonts w:hint="eastAsia" w:ascii="Times New Roman" w:hAnsi="Times New Roman" w:eastAsia="宋体" w:cs="Times New Roman"/>
                <w:b/>
                <w:bCs/>
                <w:color w:val="0000FF"/>
                <w:kern w:val="0"/>
                <w:sz w:val="21"/>
                <w:szCs w:val="21"/>
                <w:lang w:val="en-US" w:eastAsia="zh-CN"/>
              </w:rPr>
              <w:t>2</w:t>
            </w:r>
            <w:r>
              <w:rPr>
                <w:rFonts w:hint="default" w:ascii="Times New Roman" w:hAnsi="Times New Roman" w:eastAsia="宋体" w:cs="Times New Roman"/>
                <w:b/>
                <w:bCs/>
                <w:color w:val="0000FF"/>
                <w:kern w:val="0"/>
                <w:sz w:val="21"/>
                <w:szCs w:val="21"/>
                <w:lang w:val="en-US" w:eastAsia="zh-CN"/>
              </w:rPr>
              <w:t xml:space="preserve"> 加油站VOCs 排放污染控制技术</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995"/>
              <w:gridCol w:w="3110"/>
              <w:gridCol w:w="1873"/>
              <w:gridCol w:w="1244"/>
            </w:tblGrid>
            <w:tr w14:paraId="30DA4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6" w:type="pct"/>
                  <w:gridSpan w:val="2"/>
                  <w:tcBorders>
                    <w:tl2br w:val="nil"/>
                    <w:tr2bl w:val="nil"/>
                  </w:tcBorders>
                  <w:noWrap w:val="0"/>
                  <w:vAlign w:val="center"/>
                </w:tcPr>
                <w:p w14:paraId="03CF2A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sz w:val="21"/>
                      <w:szCs w:val="21"/>
                    </w:rPr>
                    <w:t>油气回收系统</w:t>
                  </w:r>
                </w:p>
              </w:tc>
              <w:tc>
                <w:tcPr>
                  <w:tcW w:w="1884" w:type="pct"/>
                  <w:tcBorders>
                    <w:tl2br w:val="nil"/>
                    <w:tr2bl w:val="nil"/>
                  </w:tcBorders>
                  <w:noWrap w:val="0"/>
                  <w:vAlign w:val="center"/>
                </w:tcPr>
                <w:p w14:paraId="373516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FF"/>
                      <w:sz w:val="21"/>
                      <w:szCs w:val="21"/>
                      <w:lang w:val="en-US" w:eastAsia="zh-CN"/>
                    </w:rPr>
                  </w:pPr>
                  <w:r>
                    <w:rPr>
                      <w:rFonts w:hint="default" w:ascii="Times New Roman" w:hAnsi="Times New Roman" w:eastAsia="宋体" w:cs="Times New Roman"/>
                      <w:b/>
                      <w:bCs/>
                      <w:color w:val="0000FF"/>
                      <w:sz w:val="21"/>
                      <w:szCs w:val="21"/>
                      <w:lang w:val="en-US" w:eastAsia="zh-CN"/>
                    </w:rPr>
                    <w:t>工作原理</w:t>
                  </w:r>
                </w:p>
              </w:tc>
              <w:tc>
                <w:tcPr>
                  <w:tcW w:w="1135" w:type="pct"/>
                  <w:tcBorders>
                    <w:tl2br w:val="nil"/>
                    <w:tr2bl w:val="nil"/>
                  </w:tcBorders>
                  <w:noWrap w:val="0"/>
                  <w:vAlign w:val="center"/>
                </w:tcPr>
                <w:p w14:paraId="36F0C4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FF"/>
                      <w:sz w:val="21"/>
                      <w:szCs w:val="21"/>
                      <w:lang w:val="en-US" w:eastAsia="zh-CN"/>
                    </w:rPr>
                  </w:pPr>
                  <w:r>
                    <w:rPr>
                      <w:rFonts w:hint="default" w:ascii="Times New Roman" w:hAnsi="Times New Roman" w:eastAsia="宋体" w:cs="Times New Roman"/>
                      <w:b/>
                      <w:bCs/>
                      <w:color w:val="0000FF"/>
                      <w:sz w:val="21"/>
                      <w:szCs w:val="21"/>
                      <w:lang w:val="en-US" w:eastAsia="zh-CN"/>
                    </w:rPr>
                    <w:t>减排效果</w:t>
                  </w:r>
                </w:p>
              </w:tc>
              <w:tc>
                <w:tcPr>
                  <w:tcW w:w="753" w:type="pct"/>
                  <w:tcBorders>
                    <w:tl2br w:val="nil"/>
                    <w:tr2bl w:val="nil"/>
                  </w:tcBorders>
                  <w:noWrap w:val="0"/>
                  <w:vAlign w:val="center"/>
                </w:tcPr>
                <w:p w14:paraId="2AF60E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FF"/>
                      <w:sz w:val="21"/>
                      <w:szCs w:val="21"/>
                      <w:lang w:eastAsia="zh-CN"/>
                    </w:rPr>
                  </w:pPr>
                  <w:r>
                    <w:rPr>
                      <w:rFonts w:hint="default" w:ascii="Times New Roman" w:hAnsi="Times New Roman" w:eastAsia="宋体" w:cs="Times New Roman"/>
                      <w:b/>
                      <w:bCs/>
                      <w:color w:val="0000FF"/>
                      <w:sz w:val="21"/>
                      <w:szCs w:val="21"/>
                      <w:lang w:val="en-US" w:eastAsia="zh-CN"/>
                    </w:rPr>
                    <w:t>备注</w:t>
                  </w:r>
                </w:p>
              </w:tc>
            </w:tr>
            <w:tr w14:paraId="02E5C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3" w:type="pct"/>
                  <w:tcBorders>
                    <w:tl2br w:val="nil"/>
                    <w:tr2bl w:val="nil"/>
                  </w:tcBorders>
                  <w:noWrap w:val="0"/>
                  <w:vAlign w:val="center"/>
                </w:tcPr>
                <w:p w14:paraId="7C070A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sz w:val="21"/>
                      <w:szCs w:val="21"/>
                    </w:rPr>
                    <w:t>油罐车卸油油气回收系统</w:t>
                  </w:r>
                </w:p>
              </w:tc>
              <w:tc>
                <w:tcPr>
                  <w:tcW w:w="602" w:type="pct"/>
                  <w:tcBorders>
                    <w:tl2br w:val="nil"/>
                    <w:tr2bl w:val="nil"/>
                  </w:tcBorders>
                  <w:noWrap w:val="0"/>
                  <w:vAlign w:val="center"/>
                </w:tcPr>
                <w:p w14:paraId="73F597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一次回收</w:t>
                  </w:r>
                </w:p>
              </w:tc>
              <w:tc>
                <w:tcPr>
                  <w:tcW w:w="1884" w:type="pct"/>
                  <w:tcBorders>
                    <w:tl2br w:val="nil"/>
                    <w:tr2bl w:val="nil"/>
                  </w:tcBorders>
                  <w:noWrap w:val="0"/>
                  <w:vAlign w:val="center"/>
                </w:tcPr>
                <w:p w14:paraId="447F40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在加油站地下储罐收油阶段，将油罐汽车卸汽油时产生的油气，通过密闭方式收集进入油罐汽车槽罐内的系统。</w:t>
                  </w:r>
                </w:p>
              </w:tc>
              <w:tc>
                <w:tcPr>
                  <w:tcW w:w="1135" w:type="pct"/>
                  <w:tcBorders>
                    <w:tl2br w:val="nil"/>
                    <w:tr2bl w:val="nil"/>
                  </w:tcBorders>
                  <w:noWrap w:val="0"/>
                  <w:vAlign w:val="center"/>
                </w:tcPr>
                <w:p w14:paraId="55B146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95%~98%</w:t>
                  </w:r>
                </w:p>
              </w:tc>
              <w:tc>
                <w:tcPr>
                  <w:tcW w:w="753" w:type="pct"/>
                  <w:tcBorders>
                    <w:tl2br w:val="nil"/>
                    <w:tr2bl w:val="nil"/>
                  </w:tcBorders>
                  <w:noWrap w:val="0"/>
                  <w:vAlign w:val="center"/>
                </w:tcPr>
                <w:p w14:paraId="4B9C0C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本项目以95%计算</w:t>
                  </w:r>
                </w:p>
              </w:tc>
            </w:tr>
            <w:tr w14:paraId="1BBAB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3" w:type="pct"/>
                  <w:tcBorders>
                    <w:tl2br w:val="nil"/>
                    <w:tr2bl w:val="nil"/>
                  </w:tcBorders>
                  <w:noWrap w:val="0"/>
                  <w:vAlign w:val="center"/>
                </w:tcPr>
                <w:p w14:paraId="02DD4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eastAsia="zh-CN"/>
                    </w:rPr>
                  </w:pPr>
                  <w:r>
                    <w:rPr>
                      <w:rFonts w:hint="default" w:ascii="Times New Roman" w:hAnsi="Times New Roman" w:eastAsia="宋体" w:cs="Times New Roman"/>
                      <w:b w:val="0"/>
                      <w:bCs w:val="0"/>
                      <w:color w:val="0000FF"/>
                      <w:sz w:val="21"/>
                      <w:szCs w:val="21"/>
                      <w:lang w:eastAsia="zh-CN"/>
                    </w:rPr>
                    <w:t>加油站加油油气回收系统</w:t>
                  </w:r>
                </w:p>
              </w:tc>
              <w:tc>
                <w:tcPr>
                  <w:tcW w:w="602" w:type="pct"/>
                  <w:tcBorders>
                    <w:tl2br w:val="nil"/>
                    <w:tr2bl w:val="nil"/>
                  </w:tcBorders>
                  <w:noWrap w:val="0"/>
                  <w:vAlign w:val="center"/>
                </w:tcPr>
                <w:p w14:paraId="0C49B5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eastAsia="zh-CN"/>
                    </w:rPr>
                  </w:pPr>
                  <w:r>
                    <w:rPr>
                      <w:rFonts w:hint="default" w:ascii="Times New Roman" w:hAnsi="Times New Roman" w:eastAsia="宋体" w:cs="Times New Roman"/>
                      <w:b w:val="0"/>
                      <w:bCs w:val="0"/>
                      <w:color w:val="0000FF"/>
                      <w:sz w:val="21"/>
                      <w:szCs w:val="21"/>
                      <w:lang w:val="en-US" w:eastAsia="zh-CN"/>
                    </w:rPr>
                    <w:t>二次回收</w:t>
                  </w:r>
                </w:p>
              </w:tc>
              <w:tc>
                <w:tcPr>
                  <w:tcW w:w="1884" w:type="pct"/>
                  <w:tcBorders>
                    <w:tl2br w:val="nil"/>
                    <w:tr2bl w:val="nil"/>
                  </w:tcBorders>
                  <w:noWrap w:val="0"/>
                  <w:vAlign w:val="center"/>
                </w:tcPr>
                <w:p w14:paraId="3F7FB2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eastAsia="zh-CN"/>
                    </w:rPr>
                  </w:pPr>
                  <w:r>
                    <w:rPr>
                      <w:rFonts w:hint="default" w:ascii="Times New Roman" w:hAnsi="Times New Roman" w:eastAsia="宋体" w:cs="Times New Roman"/>
                      <w:b w:val="0"/>
                      <w:bCs w:val="0"/>
                      <w:color w:val="0000FF"/>
                      <w:sz w:val="21"/>
                      <w:szCs w:val="21"/>
                      <w:lang w:eastAsia="zh-CN"/>
                    </w:rPr>
                    <w:t>在汽车加油时，利用油枪上的特殊装置将原本会由汽车油箱溢散于空气中的油气，经由加油枪、抽气马达汇入油罐内。</w:t>
                  </w:r>
                </w:p>
              </w:tc>
              <w:tc>
                <w:tcPr>
                  <w:tcW w:w="1135" w:type="pct"/>
                  <w:tcBorders>
                    <w:tl2br w:val="nil"/>
                    <w:tr2bl w:val="nil"/>
                  </w:tcBorders>
                  <w:noWrap w:val="0"/>
                  <w:vAlign w:val="center"/>
                </w:tcPr>
                <w:p w14:paraId="0B49CF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sz w:val="21"/>
                      <w:szCs w:val="21"/>
                    </w:rPr>
                    <w:t>理论上可达到95%，但实际的效率为85%~95%不等</w:t>
                  </w:r>
                </w:p>
              </w:tc>
              <w:tc>
                <w:tcPr>
                  <w:tcW w:w="753" w:type="pct"/>
                  <w:tcBorders>
                    <w:tl2br w:val="nil"/>
                    <w:tr2bl w:val="nil"/>
                  </w:tcBorders>
                  <w:noWrap w:val="0"/>
                  <w:vAlign w:val="center"/>
                </w:tcPr>
                <w:p w14:paraId="5EEBA2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本项目以85%计算</w:t>
                  </w:r>
                </w:p>
              </w:tc>
            </w:tr>
            <w:tr w14:paraId="28633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3" w:type="pct"/>
                  <w:vMerge w:val="restart"/>
                  <w:tcBorders>
                    <w:tl2br w:val="nil"/>
                    <w:tr2bl w:val="nil"/>
                  </w:tcBorders>
                  <w:noWrap w:val="0"/>
                  <w:vAlign w:val="center"/>
                </w:tcPr>
                <w:p w14:paraId="344E4F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eastAsia="zh-CN"/>
                    </w:rPr>
                  </w:pPr>
                  <w:r>
                    <w:rPr>
                      <w:rFonts w:hint="default" w:ascii="Times New Roman" w:hAnsi="Times New Roman" w:eastAsia="宋体" w:cs="Times New Roman"/>
                      <w:color w:val="0000FF"/>
                      <w:kern w:val="0"/>
                      <w:sz w:val="21"/>
                      <w:szCs w:val="21"/>
                    </w:rPr>
                    <w:t>冷凝+</w:t>
                  </w:r>
                  <w:r>
                    <w:rPr>
                      <w:rFonts w:hint="default" w:ascii="Times New Roman" w:hAnsi="Times New Roman" w:eastAsia="宋体" w:cs="Times New Roman"/>
                      <w:color w:val="0000FF"/>
                      <w:kern w:val="0"/>
                      <w:sz w:val="21"/>
                      <w:szCs w:val="21"/>
                      <w:lang w:val="en-US" w:eastAsia="zh-CN"/>
                    </w:rPr>
                    <w:t>膜分离</w:t>
                  </w:r>
                </w:p>
              </w:tc>
              <w:tc>
                <w:tcPr>
                  <w:tcW w:w="602" w:type="pct"/>
                  <w:vMerge w:val="restart"/>
                  <w:tcBorders>
                    <w:tl2br w:val="nil"/>
                    <w:tr2bl w:val="nil"/>
                  </w:tcBorders>
                  <w:noWrap w:val="0"/>
                  <w:vAlign w:val="center"/>
                </w:tcPr>
                <w:p w14:paraId="445361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三次回收</w:t>
                  </w:r>
                </w:p>
              </w:tc>
              <w:tc>
                <w:tcPr>
                  <w:tcW w:w="1884" w:type="pct"/>
                  <w:tcBorders>
                    <w:tl2br w:val="nil"/>
                    <w:tr2bl w:val="nil"/>
                  </w:tcBorders>
                  <w:noWrap w:val="0"/>
                  <w:vAlign w:val="center"/>
                </w:tcPr>
                <w:p w14:paraId="6B9997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eastAsia="zh-CN"/>
                    </w:rPr>
                  </w:pPr>
                  <w:r>
                    <w:rPr>
                      <w:rFonts w:hint="default" w:ascii="Times New Roman" w:hAnsi="Times New Roman" w:eastAsia="宋体" w:cs="Times New Roman"/>
                      <w:b w:val="0"/>
                      <w:bCs w:val="0"/>
                      <w:color w:val="0000FF"/>
                      <w:sz w:val="21"/>
                      <w:szCs w:val="21"/>
                      <w:lang w:eastAsia="zh-CN"/>
                    </w:rPr>
                    <w:t>利用各种有机气体在不同温度和压力下具有不同的饱和蒸气压，通过降低温度或增加压力，使某些有机组分首先凝结出来。</w:t>
                  </w:r>
                </w:p>
              </w:tc>
              <w:tc>
                <w:tcPr>
                  <w:tcW w:w="1135" w:type="pct"/>
                  <w:tcBorders>
                    <w:tl2br w:val="nil"/>
                    <w:tr2bl w:val="nil"/>
                  </w:tcBorders>
                  <w:noWrap w:val="0"/>
                  <w:vAlign w:val="center"/>
                </w:tcPr>
                <w:p w14:paraId="2C65B3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sz w:val="21"/>
                      <w:szCs w:val="21"/>
                      <w:lang w:val="en-US" w:eastAsia="zh-CN"/>
                    </w:rPr>
                    <w:t>80%~90 %</w:t>
                  </w:r>
                </w:p>
              </w:tc>
              <w:tc>
                <w:tcPr>
                  <w:tcW w:w="753" w:type="pct"/>
                  <w:vMerge w:val="restart"/>
                  <w:tcBorders>
                    <w:tl2br w:val="nil"/>
                    <w:tr2bl w:val="nil"/>
                  </w:tcBorders>
                  <w:noWrap w:val="0"/>
                  <w:vAlign w:val="center"/>
                </w:tcPr>
                <w:p w14:paraId="1506BA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以最不利情况计算，冷凝+膜分离综合处理效率为97%</w:t>
                  </w:r>
                </w:p>
              </w:tc>
            </w:tr>
            <w:tr w14:paraId="4BDB1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3" w:type="pct"/>
                  <w:vMerge w:val="continue"/>
                  <w:tcBorders>
                    <w:tl2br w:val="nil"/>
                    <w:tr2bl w:val="nil"/>
                  </w:tcBorders>
                  <w:noWrap w:val="0"/>
                  <w:vAlign w:val="center"/>
                </w:tcPr>
                <w:p w14:paraId="0554D9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rPr>
                  </w:pPr>
                </w:p>
              </w:tc>
              <w:tc>
                <w:tcPr>
                  <w:tcW w:w="602" w:type="pct"/>
                  <w:vMerge w:val="continue"/>
                  <w:tcBorders>
                    <w:tl2br w:val="nil"/>
                    <w:tr2bl w:val="nil"/>
                  </w:tcBorders>
                  <w:noWrap w:val="0"/>
                  <w:vAlign w:val="center"/>
                </w:tcPr>
                <w:p w14:paraId="7CBB5B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eastAsia="zh-CN"/>
                    </w:rPr>
                  </w:pPr>
                </w:p>
              </w:tc>
              <w:tc>
                <w:tcPr>
                  <w:tcW w:w="1884" w:type="pct"/>
                  <w:tcBorders>
                    <w:tl2br w:val="nil"/>
                    <w:tr2bl w:val="nil"/>
                  </w:tcBorders>
                  <w:noWrap w:val="0"/>
                  <w:vAlign w:val="center"/>
                </w:tcPr>
                <w:p w14:paraId="5BB698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eastAsia="zh-CN"/>
                    </w:rPr>
                  </w:pPr>
                  <w:r>
                    <w:rPr>
                      <w:rFonts w:hint="default" w:ascii="Times New Roman" w:hAnsi="Times New Roman" w:eastAsia="宋体" w:cs="Times New Roman"/>
                      <w:b w:val="0"/>
                      <w:bCs w:val="0"/>
                      <w:color w:val="0000FF"/>
                      <w:sz w:val="21"/>
                      <w:szCs w:val="21"/>
                      <w:lang w:eastAsia="zh-CN"/>
                    </w:rPr>
                    <w:t>利用气体组分分子大小不同及在有机薄膜内的扩散能力不同，即渗透速率的不同，来实现有机气体分子与空气的分离。</w:t>
                  </w:r>
                </w:p>
              </w:tc>
              <w:tc>
                <w:tcPr>
                  <w:tcW w:w="1135" w:type="pct"/>
                  <w:tcBorders>
                    <w:tl2br w:val="nil"/>
                    <w:tr2bl w:val="nil"/>
                  </w:tcBorders>
                  <w:noWrap w:val="0"/>
                  <w:vAlign w:val="center"/>
                </w:tcPr>
                <w:p w14:paraId="57FBA6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FF"/>
                      <w:sz w:val="21"/>
                      <w:szCs w:val="21"/>
                      <w:lang w:val="en-US"/>
                    </w:rPr>
                  </w:pPr>
                  <w:r>
                    <w:rPr>
                      <w:rFonts w:hint="default" w:ascii="Times New Roman" w:hAnsi="Times New Roman" w:eastAsia="宋体" w:cs="Times New Roman"/>
                      <w:b w:val="0"/>
                      <w:bCs w:val="0"/>
                      <w:color w:val="0000FF"/>
                      <w:sz w:val="21"/>
                      <w:szCs w:val="21"/>
                      <w:lang w:val="en-US" w:eastAsia="zh-CN"/>
                    </w:rPr>
                    <w:t>85%~95%</w:t>
                  </w:r>
                </w:p>
              </w:tc>
              <w:tc>
                <w:tcPr>
                  <w:tcW w:w="753" w:type="pct"/>
                  <w:vMerge w:val="continue"/>
                  <w:tcBorders>
                    <w:tl2br w:val="nil"/>
                    <w:tr2bl w:val="nil"/>
                  </w:tcBorders>
                  <w:noWrap w:val="0"/>
                  <w:vAlign w:val="center"/>
                </w:tcPr>
                <w:p w14:paraId="642320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FF"/>
                      <w:sz w:val="21"/>
                      <w:szCs w:val="21"/>
                      <w:lang w:val="en-US" w:eastAsia="zh-CN"/>
                    </w:rPr>
                  </w:pPr>
                </w:p>
              </w:tc>
            </w:tr>
          </w:tbl>
          <w:p w14:paraId="30396890">
            <w:pPr>
              <w:pStyle w:val="106"/>
              <w:spacing w:after="0"/>
              <w:ind w:firstLine="480"/>
              <w:rPr>
                <w:rFonts w:ascii="Times New Roman" w:hAnsi="Times New Roman" w:cs="Times New Roman"/>
                <w:color w:val="0000FF"/>
                <w:kern w:val="0"/>
                <w:szCs w:val="24"/>
              </w:rPr>
            </w:pPr>
            <w:r>
              <w:rPr>
                <w:rFonts w:ascii="Times New Roman" w:hAnsi="Times New Roman" w:cs="Times New Roman"/>
                <w:color w:val="0000FF"/>
                <w:kern w:val="0"/>
                <w:szCs w:val="24"/>
              </w:rPr>
              <w:t>项目</w:t>
            </w:r>
            <w:r>
              <w:rPr>
                <w:rFonts w:hint="eastAsia" w:ascii="Times New Roman" w:hAnsi="Times New Roman" w:cs="Times New Roman"/>
                <w:color w:val="0000FF"/>
                <w:kern w:val="0"/>
                <w:szCs w:val="24"/>
                <w:lang w:val="en-US" w:eastAsia="zh-CN"/>
              </w:rPr>
              <w:t>汽油卸油油气经一次油气回收+三次油气回收处理，一次油气收集率为100%，处理效率为95%，则汽油卸油油气进入三次回收处理量为3.705t/a，未进入三次回收处理的则无组织排放，排放量为0.195t/a（0.022kg/h）；汽油加油油气经二次回收+三次回收处理，二次回收油气收集率为100%，处理效率为85%，则加油油气进入三次回收处理量为7.395t/a，未进入三次回收处理的则无组织排放，排放量为1.305t/a（0.149kg/h）；汽油油罐储存油气全部经三次油气回收处理，</w:t>
            </w:r>
            <w:r>
              <w:rPr>
                <w:rFonts w:ascii="Times New Roman" w:hAnsi="Times New Roman" w:cs="Times New Roman"/>
                <w:color w:val="0000FF"/>
                <w:kern w:val="0"/>
                <w:szCs w:val="24"/>
              </w:rPr>
              <w:t>进入三次油气回收装置的废气量为</w:t>
            </w:r>
            <w:r>
              <w:rPr>
                <w:rFonts w:hint="eastAsia" w:ascii="Times New Roman" w:hAnsi="Times New Roman" w:cs="Times New Roman"/>
                <w:color w:val="0000FF"/>
                <w:kern w:val="0"/>
                <w:szCs w:val="24"/>
                <w:lang w:val="en-US" w:eastAsia="zh-CN"/>
              </w:rPr>
              <w:t>0.3</w:t>
            </w:r>
            <w:r>
              <w:rPr>
                <w:rFonts w:ascii="Times New Roman" w:hAnsi="Times New Roman" w:cs="Times New Roman"/>
                <w:color w:val="0000FF"/>
                <w:kern w:val="0"/>
                <w:szCs w:val="24"/>
              </w:rPr>
              <w:t>t/a，三次油气回收装置收集效率按100%计，则进入三次油气回收装置的VOCs(以非甲烷总烃计)总量为</w:t>
            </w:r>
            <w:r>
              <w:rPr>
                <w:rFonts w:hint="eastAsia" w:ascii="Times New Roman" w:hAnsi="Times New Roman" w:cs="Times New Roman"/>
                <w:color w:val="0000FF"/>
                <w:kern w:val="0"/>
                <w:szCs w:val="24"/>
                <w:lang w:val="en-US" w:eastAsia="zh-CN"/>
              </w:rPr>
              <w:t>11.4</w:t>
            </w:r>
            <w:r>
              <w:rPr>
                <w:rFonts w:ascii="Times New Roman" w:hAnsi="Times New Roman" w:cs="Times New Roman"/>
                <w:color w:val="0000FF"/>
                <w:kern w:val="0"/>
                <w:szCs w:val="24"/>
              </w:rPr>
              <w:t>t/a，该部分经采用三次油气回收装置（冷凝+吸附装置）处理后</w:t>
            </w:r>
            <w:r>
              <w:rPr>
                <w:rFonts w:hint="eastAsia" w:ascii="Times New Roman" w:hAnsi="Times New Roman" w:cs="Times New Roman"/>
                <w:color w:val="0000FF"/>
                <w:kern w:val="0"/>
                <w:szCs w:val="24"/>
                <w:lang w:val="en-US" w:eastAsia="zh-CN"/>
              </w:rPr>
              <w:t>由1根4m排气筒</w:t>
            </w:r>
            <w:r>
              <w:rPr>
                <w:rFonts w:ascii="Times New Roman" w:hAnsi="Times New Roman" w:cs="Times New Roman"/>
                <w:color w:val="0000FF"/>
                <w:kern w:val="0"/>
                <w:szCs w:val="24"/>
              </w:rPr>
              <w:t>排放。</w:t>
            </w:r>
          </w:p>
          <w:p w14:paraId="16614C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（2）汽车尾气</w:t>
            </w:r>
          </w:p>
          <w:p w14:paraId="159E0B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汽车尾气主要是指汽车进出行驶时，汽车怠速及慢速（≤5km/h）状态下的废气，包括排气管尾气、曲轴箱漏气及油箱等燃料系统的泄漏等。汽车排放尾气中的污染物有NO</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、CO、总碳氢化合物THC等。由于排放时间短，排放量少，所含NOx、CO和THC浓度低，汽车尾气以无组织面源的形式排放</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，本次环评不再详细分析计算</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26D52C32">
            <w:pPr>
              <w:pStyle w:val="98"/>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imes New Roman" w:hAnsi="Times New Roman" w:cs="Times New Roman" w:eastAsiaTheme="minorEastAsia"/>
                <w:b w:val="0"/>
                <w:bCs w:val="0"/>
                <w:color w:val="000000" w:themeColor="text1"/>
                <w:sz w:val="24"/>
                <w:szCs w:val="32"/>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32"/>
                <w:lang w:val="en-US" w:eastAsia="zh-CN"/>
                <w14:textFill>
                  <w14:solidFill>
                    <w14:schemeClr w14:val="tx1"/>
                  </w14:solidFill>
                </w14:textFill>
              </w:rPr>
              <w:t>本项目废气污染物产排污情况及治理措施情况详见表4-</w:t>
            </w:r>
            <w:r>
              <w:rPr>
                <w:rFonts w:hint="eastAsia" w:cs="Times New Roman" w:eastAsiaTheme="minorEastAsia"/>
                <w:b w:val="0"/>
                <w:bCs w:val="0"/>
                <w:color w:val="000000" w:themeColor="text1"/>
                <w:sz w:val="24"/>
                <w:szCs w:val="32"/>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32"/>
                <w:lang w:val="en-US" w:eastAsia="zh-CN"/>
                <w14:textFill>
                  <w14:solidFill>
                    <w14:schemeClr w14:val="tx1"/>
                  </w14:solidFill>
                </w14:textFill>
              </w:rPr>
              <w:t>。</w:t>
            </w:r>
          </w:p>
          <w:p w14:paraId="55580C2E">
            <w:pPr>
              <w:pStyle w:val="98"/>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表4-</w:t>
            </w:r>
            <w:r>
              <w:rPr>
                <w:rFonts w:hint="eastAsia" w:cs="Times New Roman"/>
                <w:color w:val="0000FF"/>
                <w:sz w:val="21"/>
                <w:szCs w:val="21"/>
                <w:lang w:val="en-US" w:eastAsia="zh-CN"/>
              </w:rPr>
              <w:t>3</w:t>
            </w:r>
            <w:r>
              <w:rPr>
                <w:rFonts w:hint="default" w:ascii="Times New Roman" w:hAnsi="Times New Roman" w:eastAsia="宋体" w:cs="Times New Roman"/>
                <w:color w:val="0000FF"/>
                <w:sz w:val="21"/>
                <w:szCs w:val="21"/>
                <w:lang w:val="en-US" w:eastAsia="zh-CN"/>
              </w:rPr>
              <w:t xml:space="preserve">  项目废气</w:t>
            </w:r>
            <w:r>
              <w:rPr>
                <w:rFonts w:hint="eastAsia" w:ascii="Times New Roman" w:hAnsi="Times New Roman" w:eastAsia="宋体" w:cs="Times New Roman"/>
                <w:color w:val="0000FF"/>
                <w:sz w:val="21"/>
                <w:szCs w:val="21"/>
                <w:lang w:val="en-US" w:eastAsia="zh-CN"/>
              </w:rPr>
              <w:t>产生及排放</w:t>
            </w:r>
            <w:r>
              <w:rPr>
                <w:rFonts w:hint="default" w:ascii="Times New Roman" w:hAnsi="Times New Roman" w:eastAsia="宋体" w:cs="Times New Roman"/>
                <w:color w:val="0000FF"/>
                <w:sz w:val="21"/>
                <w:szCs w:val="21"/>
                <w:lang w:val="en-US" w:eastAsia="zh-CN"/>
              </w:rPr>
              <w:t>信息一览表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25"/>
              <w:gridCol w:w="1319"/>
              <w:gridCol w:w="3050"/>
              <w:gridCol w:w="1774"/>
              <w:gridCol w:w="1782"/>
            </w:tblGrid>
            <w:tr w14:paraId="4424D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96" w:type="pct"/>
                  <w:gridSpan w:val="2"/>
                  <w:tcBorders>
                    <w:tl2br w:val="nil"/>
                    <w:tr2bl w:val="nil"/>
                  </w:tcBorders>
                  <w:vAlign w:val="center"/>
                </w:tcPr>
                <w:p w14:paraId="27EDA6D4">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产排污环节</w:t>
                  </w:r>
                </w:p>
              </w:tc>
              <w:tc>
                <w:tcPr>
                  <w:tcW w:w="2923" w:type="pct"/>
                  <w:gridSpan w:val="2"/>
                  <w:tcBorders>
                    <w:tl2br w:val="nil"/>
                    <w:tr2bl w:val="nil"/>
                  </w:tcBorders>
                  <w:vAlign w:val="center"/>
                </w:tcPr>
                <w:p w14:paraId="32E6AB4F">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cs="Times New Roman"/>
                      <w:color w:val="0000FF"/>
                      <w:szCs w:val="21"/>
                      <w:lang w:val="en-US" w:eastAsia="zh-CN"/>
                    </w:rPr>
                  </w:pPr>
                  <w:r>
                    <w:rPr>
                      <w:rFonts w:hint="eastAsia" w:eastAsia="宋体" w:cs="Times New Roman"/>
                      <w:color w:val="0000FF"/>
                      <w:szCs w:val="21"/>
                      <w:lang w:val="en-US" w:eastAsia="zh-CN"/>
                    </w:rPr>
                    <w:t>汽油</w:t>
                  </w:r>
                  <w:r>
                    <w:rPr>
                      <w:rFonts w:hint="eastAsia" w:ascii="Times New Roman" w:hAnsi="Times New Roman" w:eastAsia="宋体" w:cs="Times New Roman"/>
                      <w:color w:val="0000FF"/>
                      <w:szCs w:val="21"/>
                      <w:lang w:val="en-US" w:eastAsia="zh-CN"/>
                    </w:rPr>
                    <w:t>卸油、加油、贮存</w:t>
                  </w:r>
                </w:p>
              </w:tc>
              <w:tc>
                <w:tcPr>
                  <w:tcW w:w="1080" w:type="pct"/>
                  <w:tcBorders>
                    <w:tl2br w:val="nil"/>
                    <w:tr2bl w:val="nil"/>
                  </w:tcBorders>
                  <w:vAlign w:val="center"/>
                </w:tcPr>
                <w:p w14:paraId="011E4A5B">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cs="Times New Roman"/>
                      <w:color w:val="0000FF"/>
                      <w:szCs w:val="21"/>
                      <w:lang w:val="en-US" w:eastAsia="zh-CN"/>
                    </w:rPr>
                    <w:t>柴油卸油、加油、储存</w:t>
                  </w:r>
                </w:p>
              </w:tc>
            </w:tr>
            <w:tr w14:paraId="64A61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96" w:type="pct"/>
                  <w:gridSpan w:val="2"/>
                  <w:tcBorders>
                    <w:tl2br w:val="nil"/>
                    <w:tr2bl w:val="nil"/>
                  </w:tcBorders>
                  <w:vAlign w:val="center"/>
                </w:tcPr>
                <w:p w14:paraId="62C3DE8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污染物种类</w:t>
                  </w:r>
                </w:p>
              </w:tc>
              <w:tc>
                <w:tcPr>
                  <w:tcW w:w="2923" w:type="pct"/>
                  <w:gridSpan w:val="2"/>
                  <w:tcBorders>
                    <w:tl2br w:val="nil"/>
                    <w:tr2bl w:val="nil"/>
                  </w:tcBorders>
                  <w:vAlign w:val="center"/>
                </w:tcPr>
                <w:p w14:paraId="3F4B5034">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非甲烷总烃</w:t>
                  </w:r>
                </w:p>
              </w:tc>
              <w:tc>
                <w:tcPr>
                  <w:tcW w:w="1080" w:type="pct"/>
                  <w:tcBorders>
                    <w:tl2br w:val="nil"/>
                    <w:tr2bl w:val="nil"/>
                  </w:tcBorders>
                  <w:vAlign w:val="center"/>
                </w:tcPr>
                <w:p w14:paraId="7FC25FCE">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非甲烷总烃</w:t>
                  </w:r>
                </w:p>
              </w:tc>
            </w:tr>
            <w:tr w14:paraId="5EB1D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96" w:type="pct"/>
                  <w:gridSpan w:val="2"/>
                  <w:tcBorders>
                    <w:tl2br w:val="nil"/>
                    <w:tr2bl w:val="nil"/>
                  </w:tcBorders>
                  <w:vAlign w:val="center"/>
                </w:tcPr>
                <w:p w14:paraId="7E7C9F2B">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bCs/>
                      <w:color w:val="0000FF"/>
                      <w:szCs w:val="21"/>
                      <w:lang w:eastAsia="zh-CN"/>
                    </w:rPr>
                  </w:pPr>
                  <w:r>
                    <w:rPr>
                      <w:rFonts w:hint="default" w:ascii="Times New Roman" w:hAnsi="Times New Roman" w:eastAsia="宋体" w:cs="Times New Roman"/>
                      <w:b/>
                      <w:bCs/>
                      <w:color w:val="0000FF"/>
                      <w:szCs w:val="21"/>
                    </w:rPr>
                    <w:t>污染物产生浓度</w:t>
                  </w:r>
                  <w:r>
                    <w:rPr>
                      <w:rFonts w:hint="eastAsia" w:cs="Times New Roman"/>
                      <w:b/>
                      <w:bCs/>
                      <w:color w:val="0000FF"/>
                      <w:szCs w:val="21"/>
                      <w:lang w:eastAsia="zh-CN"/>
                    </w:rPr>
                    <w:t>（</w:t>
                  </w:r>
                  <w:r>
                    <w:rPr>
                      <w:rFonts w:hint="eastAsia" w:cs="Times New Roman"/>
                      <w:b/>
                      <w:bCs/>
                      <w:color w:val="0000FF"/>
                      <w:szCs w:val="21"/>
                      <w:lang w:val="en-US" w:eastAsia="zh-CN"/>
                    </w:rPr>
                    <w:t>mg/m</w:t>
                  </w:r>
                  <w:r>
                    <w:rPr>
                      <w:rFonts w:hint="eastAsia" w:cs="Times New Roman"/>
                      <w:b/>
                      <w:bCs/>
                      <w:color w:val="0000FF"/>
                      <w:szCs w:val="21"/>
                      <w:vertAlign w:val="superscript"/>
                      <w:lang w:val="en-US" w:eastAsia="zh-CN"/>
                    </w:rPr>
                    <w:t>3</w:t>
                  </w:r>
                  <w:r>
                    <w:rPr>
                      <w:rFonts w:hint="eastAsia" w:cs="Times New Roman"/>
                      <w:b/>
                      <w:bCs/>
                      <w:color w:val="0000FF"/>
                      <w:szCs w:val="21"/>
                      <w:lang w:eastAsia="zh-CN"/>
                    </w:rPr>
                    <w:t>）</w:t>
                  </w:r>
                </w:p>
              </w:tc>
              <w:tc>
                <w:tcPr>
                  <w:tcW w:w="1848" w:type="pct"/>
                  <w:tcBorders>
                    <w:tl2br w:val="nil"/>
                    <w:tr2bl w:val="nil"/>
                  </w:tcBorders>
                  <w:vAlign w:val="center"/>
                </w:tcPr>
                <w:p w14:paraId="3C33BE2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u w:val="none"/>
                      <w:lang w:val="en-US" w:eastAsia="zh-CN" w:bidi="ar"/>
                    </w:rPr>
                    <w:t>130.137</w:t>
                  </w:r>
                </w:p>
              </w:tc>
              <w:tc>
                <w:tcPr>
                  <w:tcW w:w="1075" w:type="pct"/>
                  <w:tcBorders>
                    <w:tl2br w:val="nil"/>
                    <w:tr2bl w:val="nil"/>
                  </w:tcBorders>
                  <w:vAlign w:val="center"/>
                </w:tcPr>
                <w:p w14:paraId="78F90289">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u w:val="none"/>
                      <w:lang w:val="en-US" w:eastAsia="zh-CN" w:bidi="ar"/>
                    </w:rPr>
                    <w:t>/</w:t>
                  </w:r>
                </w:p>
              </w:tc>
              <w:tc>
                <w:tcPr>
                  <w:tcW w:w="1080" w:type="pct"/>
                  <w:tcBorders>
                    <w:tl2br w:val="nil"/>
                    <w:tr2bl w:val="nil"/>
                  </w:tcBorders>
                  <w:vAlign w:val="center"/>
                </w:tcPr>
                <w:p w14:paraId="2552E2AA">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u w:val="none"/>
                      <w:lang w:val="en-US" w:eastAsia="zh-CN" w:bidi="ar"/>
                    </w:rPr>
                    <w:t>/</w:t>
                  </w:r>
                </w:p>
              </w:tc>
            </w:tr>
            <w:tr w14:paraId="6B976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996" w:type="pct"/>
                  <w:gridSpan w:val="2"/>
                  <w:tcBorders>
                    <w:tl2br w:val="nil"/>
                    <w:tr2bl w:val="nil"/>
                  </w:tcBorders>
                  <w:vAlign w:val="center"/>
                </w:tcPr>
                <w:p w14:paraId="39CB597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bCs/>
                      <w:color w:val="0000FF"/>
                      <w:szCs w:val="21"/>
                      <w:lang w:eastAsia="zh-CN"/>
                    </w:rPr>
                  </w:pPr>
                  <w:r>
                    <w:rPr>
                      <w:rFonts w:hint="default" w:ascii="Times New Roman" w:hAnsi="Times New Roman" w:eastAsia="宋体" w:cs="Times New Roman"/>
                      <w:b/>
                      <w:bCs/>
                      <w:color w:val="0000FF"/>
                      <w:szCs w:val="21"/>
                    </w:rPr>
                    <w:t>污染物产生速率</w:t>
                  </w:r>
                  <w:r>
                    <w:rPr>
                      <w:rFonts w:hint="eastAsia" w:cs="Times New Roman"/>
                      <w:b/>
                      <w:bCs/>
                      <w:color w:val="0000FF"/>
                      <w:szCs w:val="21"/>
                      <w:lang w:eastAsia="zh-CN"/>
                    </w:rPr>
                    <w:t>（</w:t>
                  </w:r>
                  <w:r>
                    <w:rPr>
                      <w:rFonts w:hint="eastAsia" w:cs="Times New Roman"/>
                      <w:b/>
                      <w:bCs/>
                      <w:color w:val="0000FF"/>
                      <w:szCs w:val="21"/>
                      <w:lang w:val="en-US" w:eastAsia="zh-CN"/>
                    </w:rPr>
                    <w:t>kg/h</w:t>
                  </w:r>
                  <w:r>
                    <w:rPr>
                      <w:rFonts w:hint="eastAsia" w:cs="Times New Roman"/>
                      <w:b/>
                      <w:bCs/>
                      <w:color w:val="0000FF"/>
                      <w:szCs w:val="21"/>
                      <w:lang w:eastAsia="zh-CN"/>
                    </w:rPr>
                    <w:t>）</w:t>
                  </w:r>
                </w:p>
              </w:tc>
              <w:tc>
                <w:tcPr>
                  <w:tcW w:w="1848" w:type="pct"/>
                  <w:tcBorders>
                    <w:tl2br w:val="nil"/>
                    <w:tr2bl w:val="nil"/>
                  </w:tcBorders>
                  <w:vAlign w:val="center"/>
                </w:tcPr>
                <w:p w14:paraId="56A3C135">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1.301</w:t>
                  </w:r>
                </w:p>
              </w:tc>
              <w:tc>
                <w:tcPr>
                  <w:tcW w:w="1075" w:type="pct"/>
                  <w:tcBorders>
                    <w:tl2br w:val="nil"/>
                    <w:tr2bl w:val="nil"/>
                  </w:tcBorders>
                  <w:vAlign w:val="center"/>
                </w:tcPr>
                <w:p w14:paraId="477AFEEC">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0.171</w:t>
                  </w:r>
                </w:p>
              </w:tc>
              <w:tc>
                <w:tcPr>
                  <w:tcW w:w="1080" w:type="pct"/>
                  <w:tcBorders>
                    <w:tl2br w:val="nil"/>
                    <w:tr2bl w:val="nil"/>
                  </w:tcBorders>
                  <w:vAlign w:val="center"/>
                </w:tcPr>
                <w:p w14:paraId="4BF8ECBB">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0.16</w:t>
                  </w:r>
                </w:p>
              </w:tc>
            </w:tr>
            <w:tr w14:paraId="3B1B9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96" w:type="pct"/>
                  <w:gridSpan w:val="2"/>
                  <w:tcBorders>
                    <w:tl2br w:val="nil"/>
                    <w:tr2bl w:val="nil"/>
                  </w:tcBorders>
                  <w:vAlign w:val="center"/>
                </w:tcPr>
                <w:p w14:paraId="281894EC">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bCs/>
                      <w:color w:val="0000FF"/>
                      <w:szCs w:val="21"/>
                      <w:lang w:eastAsia="zh-CN"/>
                    </w:rPr>
                  </w:pPr>
                  <w:r>
                    <w:rPr>
                      <w:rFonts w:hint="default" w:ascii="Times New Roman" w:hAnsi="Times New Roman" w:eastAsia="宋体" w:cs="Times New Roman"/>
                      <w:b/>
                      <w:bCs/>
                      <w:color w:val="0000FF"/>
                      <w:szCs w:val="21"/>
                    </w:rPr>
                    <w:t>污染物产生量</w:t>
                  </w:r>
                  <w:r>
                    <w:rPr>
                      <w:rFonts w:hint="eastAsia" w:cs="Times New Roman"/>
                      <w:b/>
                      <w:bCs/>
                      <w:color w:val="0000FF"/>
                      <w:szCs w:val="21"/>
                      <w:lang w:eastAsia="zh-CN"/>
                    </w:rPr>
                    <w:t>（</w:t>
                  </w:r>
                  <w:r>
                    <w:rPr>
                      <w:rFonts w:hint="eastAsia" w:cs="Times New Roman"/>
                      <w:b/>
                      <w:bCs/>
                      <w:color w:val="0000FF"/>
                      <w:szCs w:val="21"/>
                      <w:lang w:val="en-US" w:eastAsia="zh-CN"/>
                    </w:rPr>
                    <w:t>t/a</w:t>
                  </w:r>
                  <w:r>
                    <w:rPr>
                      <w:rFonts w:hint="eastAsia" w:cs="Times New Roman"/>
                      <w:b/>
                      <w:bCs/>
                      <w:color w:val="0000FF"/>
                      <w:szCs w:val="21"/>
                      <w:lang w:eastAsia="zh-CN"/>
                    </w:rPr>
                    <w:t>）</w:t>
                  </w:r>
                </w:p>
              </w:tc>
              <w:tc>
                <w:tcPr>
                  <w:tcW w:w="1848" w:type="pct"/>
                  <w:tcBorders>
                    <w:tl2br w:val="nil"/>
                    <w:tr2bl w:val="nil"/>
                  </w:tcBorders>
                  <w:vAlign w:val="center"/>
                </w:tcPr>
                <w:p w14:paraId="27FEA165">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11.4</w:t>
                  </w:r>
                </w:p>
              </w:tc>
              <w:tc>
                <w:tcPr>
                  <w:tcW w:w="1075" w:type="pct"/>
                  <w:tcBorders>
                    <w:tl2br w:val="nil"/>
                    <w:tr2bl w:val="nil"/>
                  </w:tcBorders>
                  <w:vAlign w:val="center"/>
                </w:tcPr>
                <w:p w14:paraId="614FBEAD">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1.5t/a</w:t>
                  </w:r>
                </w:p>
              </w:tc>
              <w:tc>
                <w:tcPr>
                  <w:tcW w:w="1080" w:type="pct"/>
                  <w:tcBorders>
                    <w:tl2br w:val="nil"/>
                    <w:tr2bl w:val="nil"/>
                  </w:tcBorders>
                  <w:vAlign w:val="center"/>
                </w:tcPr>
                <w:p w14:paraId="606E06E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1.4</w:t>
                  </w:r>
                </w:p>
              </w:tc>
            </w:tr>
            <w:tr w14:paraId="4F1B4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46" w:hRule="atLeast"/>
                <w:jc w:val="center"/>
              </w:trPr>
              <w:tc>
                <w:tcPr>
                  <w:tcW w:w="996" w:type="pct"/>
                  <w:gridSpan w:val="2"/>
                  <w:tcBorders>
                    <w:tl2br w:val="nil"/>
                    <w:tr2bl w:val="nil"/>
                  </w:tcBorders>
                  <w:vAlign w:val="center"/>
                </w:tcPr>
                <w:p w14:paraId="5BAE0536">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排放形式</w:t>
                  </w:r>
                </w:p>
              </w:tc>
              <w:tc>
                <w:tcPr>
                  <w:tcW w:w="1848" w:type="pct"/>
                  <w:tcBorders>
                    <w:tl2br w:val="nil"/>
                    <w:tr2bl w:val="nil"/>
                  </w:tcBorders>
                  <w:vAlign w:val="center"/>
                </w:tcPr>
                <w:p w14:paraId="1BB3AB6B">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有</w:t>
                  </w:r>
                  <w:r>
                    <w:rPr>
                      <w:rFonts w:hint="eastAsia" w:ascii="Times New Roman" w:hAnsi="Times New Roman" w:eastAsia="宋体" w:cs="Times New Roman"/>
                      <w:color w:val="0000FF"/>
                      <w:kern w:val="2"/>
                      <w:sz w:val="21"/>
                      <w:szCs w:val="21"/>
                      <w:lang w:val="en-US" w:eastAsia="zh-CN" w:bidi="ar-SA"/>
                    </w:rPr>
                    <w:t>组织</w:t>
                  </w:r>
                </w:p>
              </w:tc>
              <w:tc>
                <w:tcPr>
                  <w:tcW w:w="1075" w:type="pct"/>
                  <w:tcBorders>
                    <w:tl2br w:val="nil"/>
                    <w:tr2bl w:val="nil"/>
                  </w:tcBorders>
                  <w:vAlign w:val="center"/>
                </w:tcPr>
                <w:p w14:paraId="1BC2424B">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无组织</w:t>
                  </w:r>
                </w:p>
              </w:tc>
              <w:tc>
                <w:tcPr>
                  <w:tcW w:w="1080" w:type="pct"/>
                  <w:tcBorders>
                    <w:tl2br w:val="nil"/>
                    <w:tr2bl w:val="nil"/>
                  </w:tcBorders>
                  <w:vAlign w:val="center"/>
                </w:tcPr>
                <w:p w14:paraId="17183D0F">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无组织</w:t>
                  </w:r>
                </w:p>
              </w:tc>
            </w:tr>
            <w:tr w14:paraId="5F5AB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vMerge w:val="restart"/>
                  <w:tcBorders>
                    <w:tl2br w:val="nil"/>
                    <w:tr2bl w:val="nil"/>
                  </w:tcBorders>
                  <w:vAlign w:val="center"/>
                </w:tcPr>
                <w:p w14:paraId="77151A9E">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治理</w:t>
                  </w:r>
                </w:p>
                <w:p w14:paraId="54F0D646">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设施</w:t>
                  </w:r>
                </w:p>
              </w:tc>
              <w:tc>
                <w:tcPr>
                  <w:tcW w:w="799" w:type="pct"/>
                  <w:tcBorders>
                    <w:tl2br w:val="nil"/>
                    <w:tr2bl w:val="nil"/>
                  </w:tcBorders>
                  <w:vAlign w:val="center"/>
                </w:tcPr>
                <w:p w14:paraId="72880CFB">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名称</w:t>
                  </w:r>
                </w:p>
              </w:tc>
              <w:tc>
                <w:tcPr>
                  <w:tcW w:w="1848" w:type="pct"/>
                  <w:tcBorders>
                    <w:tl2br w:val="nil"/>
                    <w:tr2bl w:val="nil"/>
                  </w:tcBorders>
                  <w:vAlign w:val="center"/>
                </w:tcPr>
                <w:p w14:paraId="3CED8B0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三次</w:t>
                  </w:r>
                  <w:r>
                    <w:rPr>
                      <w:rFonts w:hint="eastAsia" w:ascii="Times New Roman" w:hAnsi="Times New Roman" w:eastAsia="宋体" w:cs="Times New Roman"/>
                      <w:color w:val="0000FF"/>
                      <w:kern w:val="2"/>
                      <w:sz w:val="21"/>
                      <w:szCs w:val="21"/>
                      <w:lang w:val="en-US" w:eastAsia="zh-CN" w:bidi="ar-SA"/>
                    </w:rPr>
                    <w:t>油气回收系统</w:t>
                  </w:r>
                </w:p>
              </w:tc>
              <w:tc>
                <w:tcPr>
                  <w:tcW w:w="1075" w:type="pct"/>
                  <w:tcBorders>
                    <w:tl2br w:val="nil"/>
                    <w:tr2bl w:val="nil"/>
                  </w:tcBorders>
                  <w:vAlign w:val="center"/>
                </w:tcPr>
                <w:p w14:paraId="62BDCC13">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w:t>
                  </w:r>
                </w:p>
              </w:tc>
              <w:tc>
                <w:tcPr>
                  <w:tcW w:w="1080" w:type="pct"/>
                  <w:tcBorders>
                    <w:tl2br w:val="nil"/>
                    <w:tr2bl w:val="nil"/>
                  </w:tcBorders>
                  <w:vAlign w:val="center"/>
                </w:tcPr>
                <w:p w14:paraId="2F9A975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w:t>
                  </w:r>
                </w:p>
              </w:tc>
            </w:tr>
            <w:tr w14:paraId="72FB6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6" w:type="pct"/>
                  <w:vMerge w:val="continue"/>
                  <w:tcBorders>
                    <w:tl2br w:val="nil"/>
                    <w:tr2bl w:val="nil"/>
                  </w:tcBorders>
                  <w:vAlign w:val="center"/>
                </w:tcPr>
                <w:p w14:paraId="05D0E90C">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p>
              </w:tc>
              <w:tc>
                <w:tcPr>
                  <w:tcW w:w="799" w:type="pct"/>
                  <w:tcBorders>
                    <w:tl2br w:val="nil"/>
                    <w:tr2bl w:val="nil"/>
                  </w:tcBorders>
                  <w:vAlign w:val="center"/>
                </w:tcPr>
                <w:p w14:paraId="4EB056FE">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bCs/>
                      <w:color w:val="0000FF"/>
                      <w:szCs w:val="21"/>
                      <w:lang w:eastAsia="zh-CN"/>
                    </w:rPr>
                  </w:pPr>
                  <w:r>
                    <w:rPr>
                      <w:rFonts w:hint="default" w:ascii="Times New Roman" w:hAnsi="Times New Roman" w:eastAsia="宋体" w:cs="Times New Roman"/>
                      <w:b/>
                      <w:bCs/>
                      <w:color w:val="0000FF"/>
                      <w:szCs w:val="21"/>
                    </w:rPr>
                    <w:t>处理能力</w:t>
                  </w:r>
                  <w:r>
                    <w:rPr>
                      <w:rFonts w:hint="default" w:ascii="Times New Roman" w:hAnsi="Times New Roman" w:cs="Times New Roman"/>
                      <w:b/>
                      <w:bCs/>
                      <w:color w:val="0000FF"/>
                      <w:szCs w:val="21"/>
                      <w:lang w:eastAsia="zh-CN"/>
                    </w:rPr>
                    <w:t>（</w:t>
                  </w:r>
                  <w:r>
                    <w:rPr>
                      <w:rFonts w:hint="eastAsia" w:ascii="Times New Roman" w:hAnsi="Times New Roman" w:eastAsia="宋体" w:cs="Times New Roman"/>
                      <w:b/>
                      <w:bCs/>
                      <w:color w:val="0000FF"/>
                      <w:szCs w:val="21"/>
                      <w:lang w:val="en-US" w:eastAsia="zh-CN"/>
                    </w:rPr>
                    <w:t>m</w:t>
                  </w:r>
                  <w:r>
                    <w:rPr>
                      <w:rFonts w:hint="eastAsia" w:ascii="Times New Roman" w:hAnsi="Times New Roman" w:eastAsia="宋体" w:cs="Times New Roman"/>
                      <w:b/>
                      <w:bCs/>
                      <w:color w:val="0000FF"/>
                      <w:szCs w:val="21"/>
                      <w:vertAlign w:val="superscript"/>
                      <w:lang w:val="en-US" w:eastAsia="zh-CN"/>
                    </w:rPr>
                    <w:t>3</w:t>
                  </w:r>
                  <w:r>
                    <w:rPr>
                      <w:rFonts w:hint="eastAsia" w:ascii="Times New Roman" w:hAnsi="Times New Roman" w:eastAsia="宋体" w:cs="Times New Roman"/>
                      <w:b/>
                      <w:bCs/>
                      <w:color w:val="0000FF"/>
                      <w:szCs w:val="21"/>
                      <w:lang w:val="en-US" w:eastAsia="zh-CN"/>
                    </w:rPr>
                    <w:t>/h</w:t>
                  </w:r>
                  <w:r>
                    <w:rPr>
                      <w:rFonts w:hint="default" w:ascii="Times New Roman" w:hAnsi="Times New Roman" w:cs="Times New Roman"/>
                      <w:b/>
                      <w:bCs/>
                      <w:color w:val="0000FF"/>
                      <w:szCs w:val="21"/>
                      <w:lang w:eastAsia="zh-CN"/>
                    </w:rPr>
                    <w:t>）</w:t>
                  </w:r>
                </w:p>
              </w:tc>
              <w:tc>
                <w:tcPr>
                  <w:tcW w:w="1848" w:type="pct"/>
                  <w:tcBorders>
                    <w:tl2br w:val="nil"/>
                    <w:tr2bl w:val="nil"/>
                  </w:tcBorders>
                  <w:vAlign w:val="center"/>
                </w:tcPr>
                <w:p w14:paraId="51B5CCC4">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cs="Times New Roman"/>
                      <w:color w:val="0000FF"/>
                      <w:kern w:val="2"/>
                      <w:sz w:val="21"/>
                      <w:szCs w:val="21"/>
                      <w:lang w:val="en-US" w:eastAsia="zh-CN" w:bidi="ar-SA"/>
                    </w:rPr>
                  </w:pPr>
                  <w:r>
                    <w:rPr>
                      <w:rFonts w:hint="eastAsia" w:cs="Times New Roman"/>
                      <w:color w:val="0000FF"/>
                      <w:kern w:val="2"/>
                      <w:sz w:val="21"/>
                      <w:szCs w:val="21"/>
                      <w:lang w:val="en-US" w:eastAsia="zh-CN" w:bidi="ar-SA"/>
                    </w:rPr>
                    <w:t>10</w:t>
                  </w:r>
                </w:p>
              </w:tc>
              <w:tc>
                <w:tcPr>
                  <w:tcW w:w="1075" w:type="pct"/>
                  <w:tcBorders>
                    <w:tl2br w:val="nil"/>
                    <w:tr2bl w:val="nil"/>
                  </w:tcBorders>
                  <w:vAlign w:val="center"/>
                </w:tcPr>
                <w:p w14:paraId="3EA9498F">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cs="Times New Roman"/>
                      <w:color w:val="0000FF"/>
                      <w:kern w:val="2"/>
                      <w:sz w:val="21"/>
                      <w:szCs w:val="21"/>
                      <w:lang w:val="en-US" w:eastAsia="zh-CN" w:bidi="ar-SA"/>
                    </w:rPr>
                  </w:pPr>
                  <w:r>
                    <w:rPr>
                      <w:rFonts w:hint="eastAsia" w:cs="Times New Roman"/>
                      <w:color w:val="0000FF"/>
                      <w:kern w:val="2"/>
                      <w:sz w:val="21"/>
                      <w:szCs w:val="21"/>
                      <w:lang w:val="en-US" w:eastAsia="zh-CN" w:bidi="ar-SA"/>
                    </w:rPr>
                    <w:t>/</w:t>
                  </w:r>
                </w:p>
              </w:tc>
              <w:tc>
                <w:tcPr>
                  <w:tcW w:w="1080" w:type="pct"/>
                  <w:tcBorders>
                    <w:tl2br w:val="nil"/>
                    <w:tr2bl w:val="nil"/>
                  </w:tcBorders>
                  <w:vAlign w:val="center"/>
                </w:tcPr>
                <w:p w14:paraId="438DF8C3">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cs="Times New Roman"/>
                      <w:color w:val="0000FF"/>
                      <w:kern w:val="2"/>
                      <w:sz w:val="21"/>
                      <w:szCs w:val="21"/>
                      <w:lang w:val="en-US" w:eastAsia="zh-CN" w:bidi="ar-SA"/>
                    </w:rPr>
                  </w:pPr>
                  <w:r>
                    <w:rPr>
                      <w:rFonts w:hint="eastAsia" w:cs="Times New Roman"/>
                      <w:color w:val="0000FF"/>
                      <w:kern w:val="2"/>
                      <w:sz w:val="21"/>
                      <w:szCs w:val="21"/>
                      <w:lang w:val="en-US" w:eastAsia="zh-CN" w:bidi="ar-SA"/>
                    </w:rPr>
                    <w:t>/</w:t>
                  </w:r>
                </w:p>
              </w:tc>
            </w:tr>
            <w:tr w14:paraId="4C25B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vMerge w:val="continue"/>
                  <w:tcBorders>
                    <w:tl2br w:val="nil"/>
                    <w:tr2bl w:val="nil"/>
                  </w:tcBorders>
                  <w:vAlign w:val="center"/>
                </w:tcPr>
                <w:p w14:paraId="36324AE8">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p>
              </w:tc>
              <w:tc>
                <w:tcPr>
                  <w:tcW w:w="799" w:type="pct"/>
                  <w:tcBorders>
                    <w:tl2br w:val="nil"/>
                    <w:tr2bl w:val="nil"/>
                  </w:tcBorders>
                  <w:vAlign w:val="center"/>
                </w:tcPr>
                <w:p w14:paraId="6C0F842D">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收集效率</w:t>
                  </w:r>
                  <w:r>
                    <w:rPr>
                      <w:rFonts w:hint="eastAsia" w:ascii="Times New Roman" w:hAnsi="Times New Roman" w:eastAsia="宋体" w:cs="Times New Roman"/>
                      <w:b/>
                      <w:bCs/>
                      <w:color w:val="0000FF"/>
                      <w:szCs w:val="21"/>
                      <w:lang w:eastAsia="zh-CN"/>
                    </w:rPr>
                    <w:t>（</w:t>
                  </w:r>
                  <w:r>
                    <w:rPr>
                      <w:rFonts w:hint="eastAsia" w:ascii="Times New Roman" w:hAnsi="Times New Roman" w:eastAsia="宋体" w:cs="Times New Roman"/>
                      <w:b/>
                      <w:bCs/>
                      <w:color w:val="0000FF"/>
                      <w:szCs w:val="21"/>
                      <w:lang w:val="en-US" w:eastAsia="zh-CN"/>
                    </w:rPr>
                    <w:t>%</w:t>
                  </w:r>
                  <w:r>
                    <w:rPr>
                      <w:rFonts w:hint="eastAsia" w:ascii="Times New Roman" w:hAnsi="Times New Roman" w:eastAsia="宋体" w:cs="Times New Roman"/>
                      <w:b/>
                      <w:bCs/>
                      <w:color w:val="0000FF"/>
                      <w:szCs w:val="21"/>
                      <w:lang w:eastAsia="zh-CN"/>
                    </w:rPr>
                    <w:t>）</w:t>
                  </w:r>
                </w:p>
              </w:tc>
              <w:tc>
                <w:tcPr>
                  <w:tcW w:w="1848" w:type="pct"/>
                  <w:tcBorders>
                    <w:tl2br w:val="nil"/>
                    <w:tr2bl w:val="nil"/>
                  </w:tcBorders>
                  <w:vAlign w:val="center"/>
                </w:tcPr>
                <w:p w14:paraId="088E18D5">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100</w:t>
                  </w:r>
                </w:p>
              </w:tc>
              <w:tc>
                <w:tcPr>
                  <w:tcW w:w="1075" w:type="pct"/>
                  <w:tcBorders>
                    <w:tl2br w:val="nil"/>
                    <w:tr2bl w:val="nil"/>
                  </w:tcBorders>
                  <w:vAlign w:val="center"/>
                </w:tcPr>
                <w:p w14:paraId="7B579A39">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w:t>
                  </w:r>
                </w:p>
              </w:tc>
              <w:tc>
                <w:tcPr>
                  <w:tcW w:w="1080" w:type="pct"/>
                  <w:tcBorders>
                    <w:tl2br w:val="nil"/>
                    <w:tr2bl w:val="nil"/>
                  </w:tcBorders>
                  <w:vAlign w:val="center"/>
                </w:tcPr>
                <w:p w14:paraId="1D5341B1">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w:t>
                  </w:r>
                </w:p>
              </w:tc>
            </w:tr>
            <w:tr w14:paraId="0F9B5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vMerge w:val="continue"/>
                  <w:tcBorders>
                    <w:tl2br w:val="nil"/>
                    <w:tr2bl w:val="nil"/>
                  </w:tcBorders>
                  <w:vAlign w:val="center"/>
                </w:tcPr>
                <w:p w14:paraId="7A74D3B9">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p>
              </w:tc>
              <w:tc>
                <w:tcPr>
                  <w:tcW w:w="799" w:type="pct"/>
                  <w:tcBorders>
                    <w:tl2br w:val="nil"/>
                    <w:tr2bl w:val="nil"/>
                  </w:tcBorders>
                  <w:vAlign w:val="center"/>
                </w:tcPr>
                <w:p w14:paraId="6CFD180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bCs/>
                      <w:color w:val="0000FF"/>
                      <w:szCs w:val="21"/>
                      <w:lang w:eastAsia="zh-CN"/>
                    </w:rPr>
                  </w:pPr>
                  <w:r>
                    <w:rPr>
                      <w:rFonts w:hint="default" w:ascii="Times New Roman" w:hAnsi="Times New Roman" w:eastAsia="宋体" w:cs="Times New Roman"/>
                      <w:b/>
                      <w:bCs/>
                      <w:color w:val="0000FF"/>
                      <w:szCs w:val="21"/>
                    </w:rPr>
                    <w:t>去除效率</w:t>
                  </w:r>
                  <w:r>
                    <w:rPr>
                      <w:rFonts w:hint="eastAsia" w:ascii="Times New Roman" w:hAnsi="Times New Roman" w:eastAsia="宋体" w:cs="Times New Roman"/>
                      <w:b/>
                      <w:bCs/>
                      <w:color w:val="0000FF"/>
                      <w:szCs w:val="21"/>
                      <w:lang w:eastAsia="zh-CN"/>
                    </w:rPr>
                    <w:t>（</w:t>
                  </w:r>
                  <w:r>
                    <w:rPr>
                      <w:rFonts w:hint="eastAsia" w:ascii="Times New Roman" w:hAnsi="Times New Roman" w:eastAsia="宋体" w:cs="Times New Roman"/>
                      <w:b/>
                      <w:bCs/>
                      <w:color w:val="0000FF"/>
                      <w:szCs w:val="21"/>
                      <w:lang w:val="en-US" w:eastAsia="zh-CN"/>
                    </w:rPr>
                    <w:t>%</w:t>
                  </w:r>
                  <w:r>
                    <w:rPr>
                      <w:rFonts w:hint="eastAsia" w:ascii="Times New Roman" w:hAnsi="Times New Roman" w:eastAsia="宋体" w:cs="Times New Roman"/>
                      <w:b/>
                      <w:bCs/>
                      <w:color w:val="0000FF"/>
                      <w:szCs w:val="21"/>
                      <w:lang w:eastAsia="zh-CN"/>
                    </w:rPr>
                    <w:t>）</w:t>
                  </w:r>
                </w:p>
              </w:tc>
              <w:tc>
                <w:tcPr>
                  <w:tcW w:w="1848" w:type="pct"/>
                  <w:tcBorders>
                    <w:tl2br w:val="nil"/>
                    <w:tr2bl w:val="nil"/>
                  </w:tcBorders>
                  <w:vAlign w:val="center"/>
                </w:tcPr>
                <w:p w14:paraId="5CB6497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97</w:t>
                  </w:r>
                </w:p>
              </w:tc>
              <w:tc>
                <w:tcPr>
                  <w:tcW w:w="1075" w:type="pct"/>
                  <w:tcBorders>
                    <w:tl2br w:val="nil"/>
                    <w:tr2bl w:val="nil"/>
                  </w:tcBorders>
                  <w:vAlign w:val="center"/>
                </w:tcPr>
                <w:p w14:paraId="010E18B3">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w:t>
                  </w:r>
                </w:p>
              </w:tc>
              <w:tc>
                <w:tcPr>
                  <w:tcW w:w="1080" w:type="pct"/>
                  <w:tcBorders>
                    <w:tl2br w:val="nil"/>
                    <w:tr2bl w:val="nil"/>
                  </w:tcBorders>
                  <w:vAlign w:val="center"/>
                </w:tcPr>
                <w:p w14:paraId="59938186">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w:t>
                  </w:r>
                </w:p>
              </w:tc>
            </w:tr>
            <w:tr w14:paraId="2995D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vMerge w:val="continue"/>
                  <w:tcBorders>
                    <w:tl2br w:val="nil"/>
                    <w:tr2bl w:val="nil"/>
                  </w:tcBorders>
                  <w:vAlign w:val="center"/>
                </w:tcPr>
                <w:p w14:paraId="7B9A6CCF">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p>
              </w:tc>
              <w:tc>
                <w:tcPr>
                  <w:tcW w:w="799" w:type="pct"/>
                  <w:tcBorders>
                    <w:tl2br w:val="nil"/>
                    <w:tr2bl w:val="nil"/>
                  </w:tcBorders>
                  <w:vAlign w:val="center"/>
                </w:tcPr>
                <w:p w14:paraId="31D28BD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是否可行技术</w:t>
                  </w:r>
                </w:p>
              </w:tc>
              <w:tc>
                <w:tcPr>
                  <w:tcW w:w="1848" w:type="pct"/>
                  <w:tcBorders>
                    <w:tl2br w:val="nil"/>
                    <w:tr2bl w:val="nil"/>
                  </w:tcBorders>
                  <w:vAlign w:val="center"/>
                </w:tcPr>
                <w:p w14:paraId="74E65F8F">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是</w:t>
                  </w:r>
                </w:p>
              </w:tc>
              <w:tc>
                <w:tcPr>
                  <w:tcW w:w="1075" w:type="pct"/>
                  <w:tcBorders>
                    <w:tl2br w:val="nil"/>
                    <w:tr2bl w:val="nil"/>
                  </w:tcBorders>
                  <w:vAlign w:val="center"/>
                </w:tcPr>
                <w:p w14:paraId="6B780AEB">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w:t>
                  </w:r>
                </w:p>
              </w:tc>
              <w:tc>
                <w:tcPr>
                  <w:tcW w:w="1080" w:type="pct"/>
                  <w:tcBorders>
                    <w:tl2br w:val="nil"/>
                    <w:tr2bl w:val="nil"/>
                  </w:tcBorders>
                  <w:vAlign w:val="center"/>
                </w:tcPr>
                <w:p w14:paraId="2DBC00BE">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kern w:val="2"/>
                      <w:sz w:val="21"/>
                      <w:szCs w:val="21"/>
                      <w:lang w:val="en-US" w:eastAsia="zh-CN" w:bidi="ar-SA"/>
                    </w:rPr>
                  </w:pPr>
                  <w:r>
                    <w:rPr>
                      <w:rFonts w:hint="eastAsia" w:eastAsia="宋体" w:cs="Times New Roman"/>
                      <w:color w:val="0000FF"/>
                      <w:kern w:val="2"/>
                      <w:sz w:val="21"/>
                      <w:szCs w:val="21"/>
                      <w:lang w:val="en-US" w:eastAsia="zh-CN" w:bidi="ar-SA"/>
                    </w:rPr>
                    <w:t>/</w:t>
                  </w:r>
                </w:p>
              </w:tc>
            </w:tr>
            <w:tr w14:paraId="11FA6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96" w:type="pct"/>
                  <w:gridSpan w:val="2"/>
                  <w:tcBorders>
                    <w:tl2br w:val="nil"/>
                    <w:tr2bl w:val="nil"/>
                  </w:tcBorders>
                  <w:vAlign w:val="center"/>
                </w:tcPr>
                <w:p w14:paraId="48091FC5">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污染物排放浓度（</w:t>
                  </w:r>
                  <w:r>
                    <w:rPr>
                      <w:rFonts w:hint="eastAsia" w:cs="Times New Roman"/>
                      <w:b/>
                      <w:bCs/>
                      <w:color w:val="0000FF"/>
                      <w:szCs w:val="21"/>
                      <w:lang w:val="en-US" w:eastAsia="zh-CN"/>
                    </w:rPr>
                    <w:t>mg/m</w:t>
                  </w:r>
                  <w:r>
                    <w:rPr>
                      <w:rFonts w:hint="eastAsia" w:cs="Times New Roman"/>
                      <w:b/>
                      <w:bCs/>
                      <w:color w:val="0000FF"/>
                      <w:szCs w:val="21"/>
                      <w:vertAlign w:val="superscript"/>
                      <w:lang w:val="en-US" w:eastAsia="zh-CN"/>
                    </w:rPr>
                    <w:t>3</w:t>
                  </w:r>
                  <w:r>
                    <w:rPr>
                      <w:rFonts w:hint="default" w:ascii="Times New Roman" w:hAnsi="Times New Roman" w:eastAsia="宋体" w:cs="Times New Roman"/>
                      <w:b/>
                      <w:bCs/>
                      <w:color w:val="0000FF"/>
                      <w:szCs w:val="21"/>
                    </w:rPr>
                    <w:t>）</w:t>
                  </w:r>
                </w:p>
              </w:tc>
              <w:tc>
                <w:tcPr>
                  <w:tcW w:w="1848" w:type="pct"/>
                  <w:tcBorders>
                    <w:tl2br w:val="nil"/>
                    <w:tr2bl w:val="nil"/>
                  </w:tcBorders>
                  <w:vAlign w:val="center"/>
                </w:tcPr>
                <w:p w14:paraId="415DF4F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u w:val="none"/>
                      <w:lang w:val="en-US" w:eastAsia="zh-CN" w:bidi="ar"/>
                    </w:rPr>
                    <w:t>3.904</w:t>
                  </w:r>
                </w:p>
              </w:tc>
              <w:tc>
                <w:tcPr>
                  <w:tcW w:w="1075" w:type="pct"/>
                  <w:tcBorders>
                    <w:tl2br w:val="nil"/>
                    <w:tr2bl w:val="nil"/>
                  </w:tcBorders>
                  <w:vAlign w:val="center"/>
                </w:tcPr>
                <w:p w14:paraId="2F7E01C8">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u w:val="none"/>
                      <w:lang w:val="en-US" w:eastAsia="zh-CN" w:bidi="ar"/>
                    </w:rPr>
                    <w:t>/</w:t>
                  </w:r>
                </w:p>
              </w:tc>
              <w:tc>
                <w:tcPr>
                  <w:tcW w:w="1080" w:type="pct"/>
                  <w:tcBorders>
                    <w:tl2br w:val="nil"/>
                    <w:tr2bl w:val="nil"/>
                  </w:tcBorders>
                  <w:vAlign w:val="center"/>
                </w:tcPr>
                <w:p w14:paraId="74D4BA04">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eastAsia="宋体" w:cs="Times New Roman"/>
                      <w:i w:val="0"/>
                      <w:iCs w:val="0"/>
                      <w:color w:val="0000FF"/>
                      <w:kern w:val="0"/>
                      <w:sz w:val="21"/>
                      <w:szCs w:val="21"/>
                      <w:u w:val="none"/>
                      <w:lang w:val="en-US" w:eastAsia="zh-CN" w:bidi="ar"/>
                    </w:rPr>
                    <w:t>/</w:t>
                  </w:r>
                </w:p>
              </w:tc>
            </w:tr>
            <w:tr w14:paraId="66725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96" w:type="pct"/>
                  <w:gridSpan w:val="2"/>
                  <w:tcBorders>
                    <w:tl2br w:val="nil"/>
                    <w:tr2bl w:val="nil"/>
                  </w:tcBorders>
                  <w:vAlign w:val="center"/>
                </w:tcPr>
                <w:p w14:paraId="6944034D">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bCs/>
                      <w:color w:val="0000FF"/>
                      <w:szCs w:val="21"/>
                      <w:lang w:eastAsia="zh-CN"/>
                    </w:rPr>
                  </w:pPr>
                  <w:r>
                    <w:rPr>
                      <w:rFonts w:hint="default" w:ascii="Times New Roman" w:hAnsi="Times New Roman" w:eastAsia="宋体" w:cs="Times New Roman"/>
                      <w:b/>
                      <w:bCs/>
                      <w:color w:val="0000FF"/>
                      <w:szCs w:val="21"/>
                    </w:rPr>
                    <w:t>污染物排放速率</w:t>
                  </w:r>
                  <w:r>
                    <w:rPr>
                      <w:rFonts w:hint="eastAsia" w:cs="Times New Roman"/>
                      <w:b/>
                      <w:bCs/>
                      <w:color w:val="0000FF"/>
                      <w:szCs w:val="21"/>
                      <w:lang w:eastAsia="zh-CN"/>
                    </w:rPr>
                    <w:t>（</w:t>
                  </w:r>
                  <w:r>
                    <w:rPr>
                      <w:rFonts w:hint="eastAsia" w:cs="Times New Roman"/>
                      <w:b/>
                      <w:bCs/>
                      <w:color w:val="0000FF"/>
                      <w:szCs w:val="21"/>
                      <w:lang w:val="en-US" w:eastAsia="zh-CN"/>
                    </w:rPr>
                    <w:t>kg/h</w:t>
                  </w:r>
                  <w:r>
                    <w:rPr>
                      <w:rFonts w:hint="eastAsia" w:cs="Times New Roman"/>
                      <w:b/>
                      <w:bCs/>
                      <w:color w:val="0000FF"/>
                      <w:szCs w:val="21"/>
                      <w:lang w:eastAsia="zh-CN"/>
                    </w:rPr>
                    <w:t>）</w:t>
                  </w:r>
                </w:p>
              </w:tc>
              <w:tc>
                <w:tcPr>
                  <w:tcW w:w="1848" w:type="pct"/>
                  <w:tcBorders>
                    <w:tl2br w:val="nil"/>
                    <w:tr2bl w:val="nil"/>
                  </w:tcBorders>
                  <w:vAlign w:val="center"/>
                </w:tcPr>
                <w:p w14:paraId="1F8D337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0.039</w:t>
                  </w:r>
                </w:p>
              </w:tc>
              <w:tc>
                <w:tcPr>
                  <w:tcW w:w="1075" w:type="pct"/>
                  <w:tcBorders>
                    <w:tl2br w:val="nil"/>
                    <w:tr2bl w:val="nil"/>
                  </w:tcBorders>
                  <w:shd w:val="clear" w:color="auto" w:fill="auto"/>
                  <w:vAlign w:val="center"/>
                </w:tcPr>
                <w:p w14:paraId="2539D6CC">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0.171</w:t>
                  </w:r>
                </w:p>
              </w:tc>
              <w:tc>
                <w:tcPr>
                  <w:tcW w:w="1080" w:type="pct"/>
                  <w:tcBorders>
                    <w:tl2br w:val="nil"/>
                    <w:tr2bl w:val="nil"/>
                  </w:tcBorders>
                  <w:shd w:val="clear" w:color="auto" w:fill="auto"/>
                  <w:vAlign w:val="center"/>
                </w:tcPr>
                <w:p w14:paraId="1A73F324">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0.16</w:t>
                  </w:r>
                </w:p>
              </w:tc>
            </w:tr>
            <w:tr w14:paraId="5465F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72" w:hRule="atLeast"/>
                <w:jc w:val="center"/>
              </w:trPr>
              <w:tc>
                <w:tcPr>
                  <w:tcW w:w="996" w:type="pct"/>
                  <w:gridSpan w:val="2"/>
                  <w:tcBorders>
                    <w:tl2br w:val="nil"/>
                    <w:tr2bl w:val="nil"/>
                  </w:tcBorders>
                  <w:vAlign w:val="center"/>
                </w:tcPr>
                <w:p w14:paraId="01696F3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bCs/>
                      <w:color w:val="0000FF"/>
                      <w:szCs w:val="21"/>
                      <w:lang w:eastAsia="zh-CN"/>
                    </w:rPr>
                  </w:pPr>
                  <w:r>
                    <w:rPr>
                      <w:rFonts w:hint="default" w:ascii="Times New Roman" w:hAnsi="Times New Roman" w:eastAsia="宋体" w:cs="Times New Roman"/>
                      <w:b/>
                      <w:bCs/>
                      <w:color w:val="0000FF"/>
                      <w:szCs w:val="21"/>
                    </w:rPr>
                    <w:t>污染物排放量</w:t>
                  </w:r>
                  <w:r>
                    <w:rPr>
                      <w:rFonts w:hint="eastAsia" w:cs="Times New Roman"/>
                      <w:b/>
                      <w:bCs/>
                      <w:color w:val="0000FF"/>
                      <w:szCs w:val="21"/>
                      <w:lang w:eastAsia="zh-CN"/>
                    </w:rPr>
                    <w:t>（</w:t>
                  </w:r>
                  <w:r>
                    <w:rPr>
                      <w:rFonts w:hint="eastAsia" w:cs="Times New Roman"/>
                      <w:b/>
                      <w:bCs/>
                      <w:color w:val="0000FF"/>
                      <w:szCs w:val="21"/>
                      <w:lang w:val="en-US" w:eastAsia="zh-CN"/>
                    </w:rPr>
                    <w:t>t/a</w:t>
                  </w:r>
                  <w:r>
                    <w:rPr>
                      <w:rFonts w:hint="eastAsia" w:cs="Times New Roman"/>
                      <w:b/>
                      <w:bCs/>
                      <w:color w:val="0000FF"/>
                      <w:szCs w:val="21"/>
                      <w:lang w:eastAsia="zh-CN"/>
                    </w:rPr>
                    <w:t>）</w:t>
                  </w:r>
                </w:p>
              </w:tc>
              <w:tc>
                <w:tcPr>
                  <w:tcW w:w="1848" w:type="pct"/>
                  <w:tcBorders>
                    <w:tl2br w:val="nil"/>
                    <w:tr2bl w:val="nil"/>
                  </w:tcBorders>
                  <w:vAlign w:val="center"/>
                </w:tcPr>
                <w:p w14:paraId="782C5FB5">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0.342</w:t>
                  </w:r>
                </w:p>
              </w:tc>
              <w:tc>
                <w:tcPr>
                  <w:tcW w:w="1075" w:type="pct"/>
                  <w:tcBorders>
                    <w:tl2br w:val="nil"/>
                    <w:tr2bl w:val="nil"/>
                  </w:tcBorders>
                  <w:shd w:val="clear" w:color="auto" w:fill="auto"/>
                  <w:vAlign w:val="center"/>
                </w:tcPr>
                <w:p w14:paraId="102E3808">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1.5t/a</w:t>
                  </w:r>
                </w:p>
              </w:tc>
              <w:tc>
                <w:tcPr>
                  <w:tcW w:w="1080" w:type="pct"/>
                  <w:tcBorders>
                    <w:tl2br w:val="nil"/>
                    <w:tr2bl w:val="nil"/>
                  </w:tcBorders>
                  <w:shd w:val="clear" w:color="auto" w:fill="auto"/>
                  <w:vAlign w:val="center"/>
                </w:tcPr>
                <w:p w14:paraId="6C81BD7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1.4</w:t>
                  </w:r>
                </w:p>
              </w:tc>
            </w:tr>
            <w:tr w14:paraId="21F61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vMerge w:val="restart"/>
                  <w:tcBorders>
                    <w:tl2br w:val="nil"/>
                    <w:tr2bl w:val="nil"/>
                  </w:tcBorders>
                  <w:vAlign w:val="center"/>
                </w:tcPr>
                <w:p w14:paraId="70BFD59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ascii="Times New Roman" w:hAnsi="Times New Roman" w:eastAsiaTheme="minorEastAsia"/>
                      <w:b/>
                      <w:bCs/>
                      <w:color w:val="0000FF"/>
                      <w:szCs w:val="21"/>
                    </w:rPr>
                    <w:t>排放口基本情况</w:t>
                  </w:r>
                </w:p>
              </w:tc>
              <w:tc>
                <w:tcPr>
                  <w:tcW w:w="799" w:type="pct"/>
                  <w:tcBorders>
                    <w:tl2br w:val="nil"/>
                    <w:tr2bl w:val="nil"/>
                  </w:tcBorders>
                  <w:vAlign w:val="center"/>
                </w:tcPr>
                <w:p w14:paraId="7EFA90F9">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ascii="Times New Roman" w:hAnsi="Times New Roman" w:eastAsiaTheme="minorEastAsia"/>
                      <w:b/>
                      <w:bCs/>
                      <w:color w:val="0000FF"/>
                      <w:szCs w:val="21"/>
                    </w:rPr>
                    <w:t>编号</w:t>
                  </w:r>
                </w:p>
              </w:tc>
              <w:tc>
                <w:tcPr>
                  <w:tcW w:w="1848" w:type="pct"/>
                  <w:tcBorders>
                    <w:tl2br w:val="nil"/>
                    <w:tr2bl w:val="nil"/>
                  </w:tcBorders>
                  <w:vAlign w:val="center"/>
                </w:tcPr>
                <w:p w14:paraId="4EC654CA">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eastAsia="宋体" w:cs="Times New Roman"/>
                      <w:color w:val="0000FF"/>
                      <w:szCs w:val="21"/>
                      <w:lang w:val="en-US" w:eastAsia="zh-CN"/>
                    </w:rPr>
                  </w:pPr>
                  <w:r>
                    <w:rPr>
                      <w:rFonts w:hint="eastAsia" w:eastAsia="宋体" w:cs="Times New Roman"/>
                      <w:color w:val="0000FF"/>
                      <w:szCs w:val="21"/>
                      <w:lang w:val="en-US" w:eastAsia="zh-CN"/>
                    </w:rPr>
                    <w:t>DA001</w:t>
                  </w:r>
                </w:p>
              </w:tc>
              <w:tc>
                <w:tcPr>
                  <w:tcW w:w="1075" w:type="pct"/>
                  <w:tcBorders>
                    <w:tl2br w:val="nil"/>
                    <w:tr2bl w:val="nil"/>
                  </w:tcBorders>
                  <w:vAlign w:val="center"/>
                </w:tcPr>
                <w:p w14:paraId="4CB6029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c>
                <w:tcPr>
                  <w:tcW w:w="1080" w:type="pct"/>
                  <w:tcBorders>
                    <w:tl2br w:val="nil"/>
                    <w:tr2bl w:val="nil"/>
                  </w:tcBorders>
                  <w:vAlign w:val="center"/>
                </w:tcPr>
                <w:p w14:paraId="6ABAA22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r>
            <w:tr w14:paraId="579FA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vMerge w:val="continue"/>
                  <w:tcBorders>
                    <w:tl2br w:val="nil"/>
                    <w:tr2bl w:val="nil"/>
                  </w:tcBorders>
                  <w:vAlign w:val="center"/>
                </w:tcPr>
                <w:p w14:paraId="45359A25">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p>
              </w:tc>
              <w:tc>
                <w:tcPr>
                  <w:tcW w:w="799" w:type="pct"/>
                  <w:tcBorders>
                    <w:tl2br w:val="nil"/>
                    <w:tr2bl w:val="nil"/>
                  </w:tcBorders>
                  <w:vAlign w:val="center"/>
                </w:tcPr>
                <w:p w14:paraId="66AA39E9">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ascii="Times New Roman" w:hAnsi="Times New Roman" w:eastAsiaTheme="minorEastAsia"/>
                      <w:b/>
                      <w:bCs/>
                      <w:color w:val="0000FF"/>
                      <w:szCs w:val="21"/>
                    </w:rPr>
                    <w:t>名称</w:t>
                  </w:r>
                </w:p>
              </w:tc>
              <w:tc>
                <w:tcPr>
                  <w:tcW w:w="1848" w:type="pct"/>
                  <w:tcBorders>
                    <w:tl2br w:val="nil"/>
                    <w:tr2bl w:val="nil"/>
                  </w:tcBorders>
                  <w:vAlign w:val="center"/>
                </w:tcPr>
                <w:p w14:paraId="0DE32B7A">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szCs w:val="21"/>
                      <w:lang w:val="en-US" w:eastAsia="zh-CN"/>
                    </w:rPr>
                  </w:pPr>
                  <w:r>
                    <w:rPr>
                      <w:rFonts w:hint="eastAsia" w:eastAsia="宋体" w:cs="Times New Roman"/>
                      <w:color w:val="0000FF"/>
                      <w:szCs w:val="21"/>
                      <w:lang w:val="en-US" w:eastAsia="zh-CN"/>
                    </w:rPr>
                    <w:t>废气排气筒</w:t>
                  </w:r>
                </w:p>
              </w:tc>
              <w:tc>
                <w:tcPr>
                  <w:tcW w:w="1075" w:type="pct"/>
                  <w:tcBorders>
                    <w:tl2br w:val="nil"/>
                    <w:tr2bl w:val="nil"/>
                  </w:tcBorders>
                  <w:vAlign w:val="center"/>
                </w:tcPr>
                <w:p w14:paraId="3ED8B12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c>
                <w:tcPr>
                  <w:tcW w:w="1080" w:type="pct"/>
                  <w:tcBorders>
                    <w:tl2br w:val="nil"/>
                    <w:tr2bl w:val="nil"/>
                  </w:tcBorders>
                  <w:vAlign w:val="center"/>
                </w:tcPr>
                <w:p w14:paraId="137C2E84">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r>
            <w:tr w14:paraId="27976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vMerge w:val="continue"/>
                  <w:tcBorders>
                    <w:tl2br w:val="nil"/>
                    <w:tr2bl w:val="nil"/>
                  </w:tcBorders>
                  <w:vAlign w:val="center"/>
                </w:tcPr>
                <w:p w14:paraId="541D7A3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p>
              </w:tc>
              <w:tc>
                <w:tcPr>
                  <w:tcW w:w="799" w:type="pct"/>
                  <w:tcBorders>
                    <w:tl2br w:val="nil"/>
                    <w:tr2bl w:val="nil"/>
                  </w:tcBorders>
                  <w:vAlign w:val="center"/>
                </w:tcPr>
                <w:p w14:paraId="4D2B917F">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ascii="Times New Roman" w:hAnsi="Times New Roman" w:eastAsiaTheme="minorEastAsia"/>
                      <w:b/>
                      <w:bCs/>
                      <w:color w:val="0000FF"/>
                      <w:szCs w:val="21"/>
                    </w:rPr>
                    <w:t>类型</w:t>
                  </w:r>
                </w:p>
              </w:tc>
              <w:tc>
                <w:tcPr>
                  <w:tcW w:w="1848" w:type="pct"/>
                  <w:tcBorders>
                    <w:tl2br w:val="nil"/>
                    <w:tr2bl w:val="nil"/>
                  </w:tcBorders>
                  <w:vAlign w:val="center"/>
                </w:tcPr>
                <w:p w14:paraId="38598EC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c>
                <w:tcPr>
                  <w:tcW w:w="1075" w:type="pct"/>
                  <w:tcBorders>
                    <w:tl2br w:val="nil"/>
                    <w:tr2bl w:val="nil"/>
                  </w:tcBorders>
                  <w:vAlign w:val="center"/>
                </w:tcPr>
                <w:p w14:paraId="793CF4BF">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c>
                <w:tcPr>
                  <w:tcW w:w="1080" w:type="pct"/>
                  <w:tcBorders>
                    <w:tl2br w:val="nil"/>
                    <w:tr2bl w:val="nil"/>
                  </w:tcBorders>
                  <w:vAlign w:val="center"/>
                </w:tcPr>
                <w:p w14:paraId="16BDBCEB">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r>
            <w:tr w14:paraId="551CA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vMerge w:val="continue"/>
                  <w:tcBorders>
                    <w:tl2br w:val="nil"/>
                    <w:tr2bl w:val="nil"/>
                  </w:tcBorders>
                  <w:vAlign w:val="center"/>
                </w:tcPr>
                <w:p w14:paraId="67681991">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p>
              </w:tc>
              <w:tc>
                <w:tcPr>
                  <w:tcW w:w="799" w:type="pct"/>
                  <w:tcBorders>
                    <w:tl2br w:val="nil"/>
                    <w:tr2bl w:val="nil"/>
                  </w:tcBorders>
                  <w:vAlign w:val="center"/>
                </w:tcPr>
                <w:p w14:paraId="7E58F964">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ascii="Times New Roman" w:hAnsi="Times New Roman" w:eastAsiaTheme="minorEastAsia"/>
                      <w:b/>
                      <w:bCs/>
                      <w:color w:val="0000FF"/>
                      <w:szCs w:val="21"/>
                    </w:rPr>
                    <w:t>地理坐标</w:t>
                  </w:r>
                </w:p>
              </w:tc>
              <w:tc>
                <w:tcPr>
                  <w:tcW w:w="1848" w:type="pct"/>
                  <w:tcBorders>
                    <w:tl2br w:val="nil"/>
                    <w:tr2bl w:val="nil"/>
                  </w:tcBorders>
                  <w:vAlign w:val="center"/>
                </w:tcPr>
                <w:p w14:paraId="30BE1EDC">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default" w:ascii="Times New Roman" w:hAnsi="Times New Roman" w:cs="Times New Roman"/>
                      <w:b w:val="0"/>
                      <w:bCs/>
                      <w:color w:val="0000FF"/>
                      <w:sz w:val="21"/>
                      <w:szCs w:val="21"/>
                      <w:lang w:val="en-US" w:eastAsia="zh-CN"/>
                    </w:rPr>
                    <w:t>E86°12′1</w:t>
                  </w:r>
                  <w:r>
                    <w:rPr>
                      <w:rFonts w:hint="eastAsia" w:cs="Times New Roman"/>
                      <w:b w:val="0"/>
                      <w:bCs/>
                      <w:color w:val="0000FF"/>
                      <w:sz w:val="21"/>
                      <w:szCs w:val="21"/>
                      <w:lang w:val="en-US" w:eastAsia="zh-CN"/>
                    </w:rPr>
                    <w:t>1.350</w:t>
                  </w:r>
                  <w:r>
                    <w:rPr>
                      <w:rFonts w:hint="default" w:ascii="Times New Roman" w:hAnsi="Times New Roman" w:cs="Times New Roman"/>
                      <w:b w:val="0"/>
                      <w:bCs/>
                      <w:color w:val="0000FF"/>
                      <w:sz w:val="21"/>
                      <w:szCs w:val="21"/>
                      <w:lang w:val="en-US" w:eastAsia="zh-CN"/>
                    </w:rPr>
                    <w:t>″，N44°18′3.</w:t>
                  </w:r>
                  <w:r>
                    <w:rPr>
                      <w:rFonts w:hint="eastAsia" w:cs="Times New Roman"/>
                      <w:b w:val="0"/>
                      <w:bCs/>
                      <w:color w:val="0000FF"/>
                      <w:sz w:val="21"/>
                      <w:szCs w:val="21"/>
                      <w:lang w:val="en-US" w:eastAsia="zh-CN"/>
                    </w:rPr>
                    <w:t>061</w:t>
                  </w:r>
                  <w:r>
                    <w:rPr>
                      <w:rFonts w:hint="default" w:ascii="Times New Roman" w:hAnsi="Times New Roman" w:cs="Times New Roman"/>
                      <w:b w:val="0"/>
                      <w:bCs/>
                      <w:color w:val="0000FF"/>
                      <w:sz w:val="21"/>
                      <w:szCs w:val="21"/>
                      <w:lang w:val="en-US" w:eastAsia="zh-CN"/>
                    </w:rPr>
                    <w:t>″</w:t>
                  </w:r>
                </w:p>
              </w:tc>
              <w:tc>
                <w:tcPr>
                  <w:tcW w:w="1075" w:type="pct"/>
                  <w:tcBorders>
                    <w:tl2br w:val="nil"/>
                    <w:tr2bl w:val="nil"/>
                  </w:tcBorders>
                  <w:vAlign w:val="center"/>
                </w:tcPr>
                <w:p w14:paraId="792C2178">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c>
                <w:tcPr>
                  <w:tcW w:w="1080" w:type="pct"/>
                  <w:tcBorders>
                    <w:tl2br w:val="nil"/>
                    <w:tr2bl w:val="nil"/>
                  </w:tcBorders>
                  <w:vAlign w:val="center"/>
                </w:tcPr>
                <w:p w14:paraId="0619ADD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r>
            <w:tr w14:paraId="331D0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vMerge w:val="continue"/>
                  <w:tcBorders>
                    <w:tl2br w:val="nil"/>
                    <w:tr2bl w:val="nil"/>
                  </w:tcBorders>
                  <w:vAlign w:val="center"/>
                </w:tcPr>
                <w:p w14:paraId="195C4793">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p>
              </w:tc>
              <w:tc>
                <w:tcPr>
                  <w:tcW w:w="799" w:type="pct"/>
                  <w:tcBorders>
                    <w:tl2br w:val="nil"/>
                    <w:tr2bl w:val="nil"/>
                  </w:tcBorders>
                  <w:vAlign w:val="center"/>
                </w:tcPr>
                <w:p w14:paraId="095B0DA4">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ascii="Times New Roman" w:hAnsi="Times New Roman" w:eastAsiaTheme="minorEastAsia"/>
                      <w:b/>
                      <w:bCs/>
                      <w:color w:val="0000FF"/>
                      <w:szCs w:val="21"/>
                    </w:rPr>
                    <w:t>高度</w:t>
                  </w:r>
                </w:p>
              </w:tc>
              <w:tc>
                <w:tcPr>
                  <w:tcW w:w="1848" w:type="pct"/>
                  <w:tcBorders>
                    <w:tl2br w:val="nil"/>
                    <w:tr2bl w:val="nil"/>
                  </w:tcBorders>
                  <w:vAlign w:val="center"/>
                </w:tcPr>
                <w:p w14:paraId="50CB0CA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szCs w:val="21"/>
                      <w:lang w:val="en-US" w:eastAsia="zh-CN"/>
                    </w:rPr>
                  </w:pPr>
                  <w:r>
                    <w:rPr>
                      <w:rFonts w:hint="default" w:ascii="Times New Roman" w:hAnsi="Times New Roman" w:eastAsia="宋体" w:cs="Times New Roman"/>
                      <w:color w:val="0000FF"/>
                      <w:szCs w:val="21"/>
                      <w:lang w:val="en-US" w:eastAsia="zh-CN"/>
                    </w:rPr>
                    <w:t>排放口距地平面高度应不低于4m</w:t>
                  </w:r>
                </w:p>
              </w:tc>
              <w:tc>
                <w:tcPr>
                  <w:tcW w:w="1075" w:type="pct"/>
                  <w:tcBorders>
                    <w:tl2br w:val="nil"/>
                    <w:tr2bl w:val="nil"/>
                  </w:tcBorders>
                  <w:vAlign w:val="center"/>
                </w:tcPr>
                <w:p w14:paraId="31884D6B">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c>
                <w:tcPr>
                  <w:tcW w:w="1080" w:type="pct"/>
                  <w:tcBorders>
                    <w:tl2br w:val="nil"/>
                    <w:tr2bl w:val="nil"/>
                  </w:tcBorders>
                  <w:vAlign w:val="center"/>
                </w:tcPr>
                <w:p w14:paraId="18DB521D">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r>
            <w:tr w14:paraId="3B817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vMerge w:val="continue"/>
                  <w:tcBorders>
                    <w:tl2br w:val="nil"/>
                    <w:tr2bl w:val="nil"/>
                  </w:tcBorders>
                  <w:vAlign w:val="center"/>
                </w:tcPr>
                <w:p w14:paraId="7FE1A2D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p>
              </w:tc>
              <w:tc>
                <w:tcPr>
                  <w:tcW w:w="799" w:type="pct"/>
                  <w:tcBorders>
                    <w:tl2br w:val="nil"/>
                    <w:tr2bl w:val="nil"/>
                  </w:tcBorders>
                  <w:vAlign w:val="center"/>
                </w:tcPr>
                <w:p w14:paraId="466B168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cs="Times New Roman" w:eastAsiaTheme="minorEastAsia"/>
                      <w:b/>
                      <w:bCs/>
                      <w:color w:val="0000FF"/>
                      <w:szCs w:val="21"/>
                      <w:lang w:eastAsia="zh-CN"/>
                    </w:rPr>
                  </w:pPr>
                  <w:r>
                    <w:rPr>
                      <w:rFonts w:ascii="Times New Roman" w:hAnsi="Times New Roman" w:eastAsiaTheme="minorEastAsia"/>
                      <w:b/>
                      <w:bCs/>
                      <w:color w:val="0000FF"/>
                      <w:szCs w:val="21"/>
                    </w:rPr>
                    <w:t>排气筒内径</w:t>
                  </w:r>
                  <w:r>
                    <w:rPr>
                      <w:rFonts w:hint="eastAsia" w:eastAsiaTheme="minorEastAsia"/>
                      <w:b/>
                      <w:bCs/>
                      <w:color w:val="0000FF"/>
                      <w:szCs w:val="21"/>
                      <w:lang w:eastAsia="zh-CN"/>
                    </w:rPr>
                    <w:t>（</w:t>
                  </w:r>
                  <w:r>
                    <w:rPr>
                      <w:rFonts w:hint="eastAsia" w:eastAsiaTheme="minorEastAsia"/>
                      <w:b/>
                      <w:bCs/>
                      <w:color w:val="0000FF"/>
                      <w:szCs w:val="21"/>
                      <w:lang w:val="en-US" w:eastAsia="zh-CN"/>
                    </w:rPr>
                    <w:t>m</w:t>
                  </w:r>
                  <w:r>
                    <w:rPr>
                      <w:rFonts w:hint="eastAsia" w:eastAsiaTheme="minorEastAsia"/>
                      <w:b/>
                      <w:bCs/>
                      <w:color w:val="0000FF"/>
                      <w:szCs w:val="21"/>
                      <w:lang w:eastAsia="zh-CN"/>
                    </w:rPr>
                    <w:t>）</w:t>
                  </w:r>
                </w:p>
              </w:tc>
              <w:tc>
                <w:tcPr>
                  <w:tcW w:w="1848" w:type="pct"/>
                  <w:tcBorders>
                    <w:tl2br w:val="nil"/>
                    <w:tr2bl w:val="nil"/>
                  </w:tcBorders>
                  <w:vAlign w:val="center"/>
                </w:tcPr>
                <w:p w14:paraId="2A4D069D">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szCs w:val="21"/>
                      <w:lang w:val="en-US" w:eastAsia="zh-CN"/>
                    </w:rPr>
                  </w:pPr>
                  <w:r>
                    <w:rPr>
                      <w:rFonts w:hint="eastAsia" w:eastAsia="宋体" w:cs="Times New Roman"/>
                      <w:color w:val="0000FF"/>
                      <w:szCs w:val="21"/>
                      <w:lang w:val="en-US" w:eastAsia="zh-CN"/>
                    </w:rPr>
                    <w:t>0.4</w:t>
                  </w:r>
                </w:p>
              </w:tc>
              <w:tc>
                <w:tcPr>
                  <w:tcW w:w="1075" w:type="pct"/>
                  <w:tcBorders>
                    <w:tl2br w:val="nil"/>
                    <w:tr2bl w:val="nil"/>
                  </w:tcBorders>
                  <w:vAlign w:val="center"/>
                </w:tcPr>
                <w:p w14:paraId="5212937E">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c>
                <w:tcPr>
                  <w:tcW w:w="1080" w:type="pct"/>
                  <w:tcBorders>
                    <w:tl2br w:val="nil"/>
                    <w:tr2bl w:val="nil"/>
                  </w:tcBorders>
                  <w:vAlign w:val="center"/>
                </w:tcPr>
                <w:p w14:paraId="5718712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r>
            <w:tr w14:paraId="51AD4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96" w:type="pct"/>
                  <w:vMerge w:val="continue"/>
                  <w:tcBorders>
                    <w:tl2br w:val="nil"/>
                    <w:tr2bl w:val="nil"/>
                  </w:tcBorders>
                  <w:vAlign w:val="center"/>
                </w:tcPr>
                <w:p w14:paraId="7590E5DB">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p>
              </w:tc>
              <w:tc>
                <w:tcPr>
                  <w:tcW w:w="799" w:type="pct"/>
                  <w:tcBorders>
                    <w:tl2br w:val="nil"/>
                    <w:tr2bl w:val="nil"/>
                  </w:tcBorders>
                  <w:vAlign w:val="center"/>
                </w:tcPr>
                <w:p w14:paraId="7D39F46B">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cs="Times New Roman" w:eastAsiaTheme="minorEastAsia"/>
                      <w:b/>
                      <w:bCs/>
                      <w:color w:val="0000FF"/>
                      <w:szCs w:val="21"/>
                      <w:lang w:val="en-US" w:eastAsia="zh-CN"/>
                    </w:rPr>
                  </w:pPr>
                  <w:r>
                    <w:rPr>
                      <w:rFonts w:ascii="Times New Roman" w:hAnsi="Times New Roman" w:eastAsiaTheme="minorEastAsia"/>
                      <w:b/>
                      <w:bCs/>
                      <w:color w:val="0000FF"/>
                      <w:szCs w:val="21"/>
                    </w:rPr>
                    <w:t>温度</w:t>
                  </w:r>
                  <w:r>
                    <w:rPr>
                      <w:rFonts w:hint="eastAsia" w:eastAsiaTheme="minorEastAsia"/>
                      <w:b/>
                      <w:bCs/>
                      <w:color w:val="0000FF"/>
                      <w:szCs w:val="21"/>
                      <w:lang w:eastAsia="zh-CN"/>
                    </w:rPr>
                    <w:t>（</w:t>
                  </w:r>
                  <w:r>
                    <w:rPr>
                      <w:rFonts w:hint="eastAsia" w:ascii="宋体" w:hAnsi="宋体" w:eastAsia="宋体" w:cs="宋体"/>
                      <w:b/>
                      <w:bCs/>
                      <w:color w:val="0000FF"/>
                      <w:szCs w:val="21"/>
                      <w:lang w:eastAsia="zh-CN"/>
                    </w:rPr>
                    <w:t>°</w:t>
                  </w:r>
                  <w:r>
                    <w:rPr>
                      <w:rFonts w:hint="eastAsia" w:eastAsiaTheme="minorEastAsia"/>
                      <w:b/>
                      <w:bCs/>
                      <w:color w:val="0000FF"/>
                      <w:szCs w:val="21"/>
                      <w:lang w:eastAsia="zh-CN"/>
                    </w:rPr>
                    <w:t>）</w:t>
                  </w:r>
                </w:p>
              </w:tc>
              <w:tc>
                <w:tcPr>
                  <w:tcW w:w="1848" w:type="pct"/>
                  <w:tcBorders>
                    <w:tl2br w:val="nil"/>
                    <w:tr2bl w:val="nil"/>
                  </w:tcBorders>
                  <w:vAlign w:val="center"/>
                </w:tcPr>
                <w:p w14:paraId="546B796C">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szCs w:val="21"/>
                      <w:lang w:val="en-US" w:eastAsia="zh-CN"/>
                    </w:rPr>
                  </w:pPr>
                  <w:r>
                    <w:rPr>
                      <w:rFonts w:hint="eastAsia" w:eastAsia="宋体" w:cs="Times New Roman"/>
                      <w:color w:val="0000FF"/>
                      <w:szCs w:val="21"/>
                      <w:lang w:val="en-US" w:eastAsia="zh-CN"/>
                    </w:rPr>
                    <w:t>25</w:t>
                  </w:r>
                </w:p>
              </w:tc>
              <w:tc>
                <w:tcPr>
                  <w:tcW w:w="1075" w:type="pct"/>
                  <w:tcBorders>
                    <w:tl2br w:val="nil"/>
                    <w:tr2bl w:val="nil"/>
                  </w:tcBorders>
                  <w:vAlign w:val="center"/>
                </w:tcPr>
                <w:p w14:paraId="182C91FC">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c>
                <w:tcPr>
                  <w:tcW w:w="1080" w:type="pct"/>
                  <w:tcBorders>
                    <w:tl2br w:val="nil"/>
                    <w:tr2bl w:val="nil"/>
                  </w:tcBorders>
                  <w:vAlign w:val="center"/>
                </w:tcPr>
                <w:p w14:paraId="4F7A736C">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w:t>
                  </w:r>
                </w:p>
              </w:tc>
            </w:tr>
            <w:tr w14:paraId="777BB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96" w:type="pct"/>
                  <w:gridSpan w:val="2"/>
                  <w:tcBorders>
                    <w:tl2br w:val="nil"/>
                    <w:tr2bl w:val="nil"/>
                  </w:tcBorders>
                  <w:vAlign w:val="center"/>
                </w:tcPr>
                <w:p w14:paraId="7BA79AEC">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排放标准</w:t>
                  </w:r>
                </w:p>
              </w:tc>
              <w:tc>
                <w:tcPr>
                  <w:tcW w:w="1848" w:type="pct"/>
                  <w:tcBorders>
                    <w:tl2br w:val="nil"/>
                    <w:tr2bl w:val="nil"/>
                  </w:tcBorders>
                  <w:vAlign w:val="center"/>
                </w:tcPr>
                <w:p w14:paraId="4BF53CAB">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val="0"/>
                      <w:bCs w:val="0"/>
                      <w:color w:val="0000FF"/>
                      <w:sz w:val="21"/>
                      <w:szCs w:val="21"/>
                      <w:lang w:eastAsia="zh-CN"/>
                    </w:rPr>
                  </w:pPr>
                  <w:r>
                    <w:rPr>
                      <w:rFonts w:hint="default" w:ascii="Times New Roman" w:hAnsi="Times New Roman" w:eastAsia="宋体" w:cs="Times New Roman"/>
                      <w:b w:val="0"/>
                      <w:bCs w:val="0"/>
                      <w:color w:val="0000FF"/>
                      <w:sz w:val="21"/>
                      <w:szCs w:val="21"/>
                    </w:rPr>
                    <w:t>《加油站大气污染物排放标准》（GB20952-2020）中油气处理装置的油气排放浓度1小时平均浓度值应小于等于25g/m</w:t>
                  </w:r>
                  <w:r>
                    <w:rPr>
                      <w:rFonts w:hint="default" w:ascii="Times New Roman" w:hAnsi="Times New Roman" w:eastAsia="宋体" w:cs="Times New Roman"/>
                      <w:b w:val="0"/>
                      <w:bCs w:val="0"/>
                      <w:color w:val="0000FF"/>
                      <w:sz w:val="21"/>
                      <w:szCs w:val="21"/>
                      <w:vertAlign w:val="superscript"/>
                    </w:rPr>
                    <w:t>3</w:t>
                  </w:r>
                  <w:r>
                    <w:rPr>
                      <w:rFonts w:hint="default" w:ascii="Times New Roman" w:hAnsi="Times New Roman" w:eastAsia="宋体" w:cs="Times New Roman"/>
                      <w:b w:val="0"/>
                      <w:bCs w:val="0"/>
                      <w:color w:val="0000FF"/>
                      <w:sz w:val="21"/>
                      <w:szCs w:val="21"/>
                    </w:rPr>
                    <w:t>。</w:t>
                  </w:r>
                </w:p>
              </w:tc>
              <w:tc>
                <w:tcPr>
                  <w:tcW w:w="2155" w:type="pct"/>
                  <w:gridSpan w:val="2"/>
                  <w:tcBorders>
                    <w:tl2br w:val="nil"/>
                    <w:tr2bl w:val="nil"/>
                  </w:tcBorders>
                  <w:vAlign w:val="center"/>
                </w:tcPr>
                <w:p w14:paraId="14A5D6AF">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val="0"/>
                      <w:bCs w:val="0"/>
                      <w:color w:val="0000FF"/>
                      <w:sz w:val="21"/>
                      <w:szCs w:val="21"/>
                      <w:lang w:eastAsia="zh-CN"/>
                    </w:rPr>
                  </w:pPr>
                  <w:r>
                    <w:rPr>
                      <w:rFonts w:hint="eastAsia" w:ascii="Times New Roman" w:hAnsi="Times New Roman" w:eastAsia="宋体" w:cs="Times New Roman"/>
                      <w:b w:val="0"/>
                      <w:bCs w:val="0"/>
                      <w:color w:val="0000FF"/>
                      <w:sz w:val="21"/>
                      <w:szCs w:val="21"/>
                      <w:lang w:eastAsia="zh-CN"/>
                    </w:rPr>
                    <w:t>站边界执行</w:t>
                  </w:r>
                  <w:r>
                    <w:rPr>
                      <w:rFonts w:hint="default" w:ascii="Times New Roman" w:hAnsi="Times New Roman" w:eastAsia="宋体" w:cs="Times New Roman"/>
                      <w:b w:val="0"/>
                      <w:bCs w:val="0"/>
                      <w:color w:val="0000FF"/>
                      <w:sz w:val="21"/>
                      <w:szCs w:val="21"/>
                    </w:rPr>
                    <w:t>《加油站大气污染物排放标准》（GB20952-2020）中表3油气浓度无组织排放限值</w:t>
                  </w:r>
                  <w:r>
                    <w:rPr>
                      <w:rFonts w:hint="eastAsia" w:ascii="Times New Roman" w:hAnsi="Times New Roman" w:eastAsia="宋体" w:cs="Times New Roman"/>
                      <w:b w:val="0"/>
                      <w:bCs w:val="0"/>
                      <w:color w:val="0000FF"/>
                      <w:sz w:val="21"/>
                      <w:szCs w:val="21"/>
                      <w:lang w:eastAsia="zh-CN"/>
                    </w:rPr>
                    <w:t>；站内</w:t>
                  </w:r>
                  <w:r>
                    <w:rPr>
                      <w:rFonts w:hint="default" w:ascii="Times New Roman" w:hAnsi="Times New Roman" w:eastAsia="宋体" w:cs="Times New Roman"/>
                      <w:color w:val="0000FF"/>
                      <w:sz w:val="21"/>
                      <w:szCs w:val="21"/>
                      <w:lang w:val="en-US" w:eastAsia="zh-CN"/>
                    </w:rPr>
                    <w:t>《挥发性有机物无组织排放控制标准》（GB37822-2019）</w:t>
                  </w:r>
                  <w:r>
                    <w:rPr>
                      <w:rFonts w:hint="eastAsia" w:ascii="Times New Roman" w:hAnsi="Times New Roman" w:eastAsia="宋体" w:cs="Times New Roman"/>
                      <w:color w:val="0000FF"/>
                      <w:sz w:val="21"/>
                      <w:szCs w:val="21"/>
                      <w:lang w:val="en-US" w:eastAsia="zh-CN"/>
                    </w:rPr>
                    <w:t>特别</w:t>
                  </w:r>
                  <w:r>
                    <w:rPr>
                      <w:rFonts w:hint="default" w:ascii="Times New Roman" w:hAnsi="Times New Roman" w:eastAsia="宋体" w:cs="Times New Roman"/>
                      <w:color w:val="0000FF"/>
                      <w:sz w:val="21"/>
                      <w:szCs w:val="21"/>
                      <w:lang w:val="en-US" w:eastAsia="zh-CN"/>
                    </w:rPr>
                    <w:t>排放限值</w:t>
                  </w:r>
                </w:p>
              </w:tc>
            </w:tr>
            <w:tr w14:paraId="0DDC0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96" w:type="pct"/>
                  <w:gridSpan w:val="2"/>
                  <w:tcBorders>
                    <w:tl2br w:val="nil"/>
                    <w:tr2bl w:val="nil"/>
                  </w:tcBorders>
                  <w:vAlign w:val="center"/>
                </w:tcPr>
                <w:p w14:paraId="6AC833E8">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FF"/>
                      <w:szCs w:val="21"/>
                    </w:rPr>
                  </w:pPr>
                  <w:r>
                    <w:rPr>
                      <w:rFonts w:hint="default" w:ascii="Times New Roman" w:hAnsi="Times New Roman" w:eastAsia="宋体" w:cs="Times New Roman"/>
                      <w:b/>
                      <w:bCs/>
                      <w:color w:val="0000FF"/>
                      <w:szCs w:val="21"/>
                    </w:rPr>
                    <w:t>是否达标</w:t>
                  </w:r>
                </w:p>
              </w:tc>
              <w:tc>
                <w:tcPr>
                  <w:tcW w:w="1848" w:type="pct"/>
                  <w:tcBorders>
                    <w:tl2br w:val="nil"/>
                    <w:tr2bl w:val="nil"/>
                  </w:tcBorders>
                  <w:vAlign w:val="center"/>
                </w:tcPr>
                <w:p w14:paraId="6D3C60B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color w:val="0000FF"/>
                      <w:szCs w:val="21"/>
                      <w:lang w:val="en-US" w:eastAsia="zh-CN"/>
                    </w:rPr>
                  </w:pPr>
                  <w:r>
                    <w:rPr>
                      <w:rFonts w:hint="eastAsia" w:ascii="Times New Roman" w:hAnsi="Times New Roman" w:eastAsia="宋体" w:cs="Times New Roman"/>
                      <w:color w:val="0000FF"/>
                      <w:szCs w:val="21"/>
                      <w:lang w:val="en-US" w:eastAsia="zh-CN"/>
                    </w:rPr>
                    <w:t>是</w:t>
                  </w:r>
                </w:p>
              </w:tc>
              <w:tc>
                <w:tcPr>
                  <w:tcW w:w="1075" w:type="pct"/>
                  <w:tcBorders>
                    <w:tl2br w:val="nil"/>
                    <w:tr2bl w:val="nil"/>
                  </w:tcBorders>
                  <w:vAlign w:val="center"/>
                </w:tcPr>
                <w:p w14:paraId="3EBEAEB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szCs w:val="21"/>
                      <w:lang w:val="en-US" w:eastAsia="zh-CN"/>
                    </w:rPr>
                  </w:pPr>
                  <w:r>
                    <w:rPr>
                      <w:rFonts w:hint="eastAsia" w:eastAsia="宋体" w:cs="Times New Roman"/>
                      <w:color w:val="0000FF"/>
                      <w:szCs w:val="21"/>
                      <w:lang w:val="en-US" w:eastAsia="zh-CN"/>
                    </w:rPr>
                    <w:t>是</w:t>
                  </w:r>
                </w:p>
              </w:tc>
              <w:tc>
                <w:tcPr>
                  <w:tcW w:w="1080" w:type="pct"/>
                  <w:tcBorders>
                    <w:tl2br w:val="nil"/>
                    <w:tr2bl w:val="nil"/>
                  </w:tcBorders>
                  <w:vAlign w:val="center"/>
                </w:tcPr>
                <w:p w14:paraId="3C0C279E">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0000FF"/>
                      <w:szCs w:val="21"/>
                      <w:lang w:val="en-US" w:eastAsia="zh-CN"/>
                    </w:rPr>
                  </w:pPr>
                  <w:r>
                    <w:rPr>
                      <w:rFonts w:hint="eastAsia" w:eastAsia="宋体" w:cs="Times New Roman"/>
                      <w:color w:val="0000FF"/>
                      <w:szCs w:val="21"/>
                      <w:lang w:val="en-US" w:eastAsia="zh-CN"/>
                    </w:rPr>
                    <w:t>是</w:t>
                  </w:r>
                </w:p>
              </w:tc>
            </w:tr>
          </w:tbl>
          <w:p w14:paraId="7F9D42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default" w:ascii="宋体" w:hAnsi="宋体" w:eastAsia="宋体" w:cs="宋体"/>
                <w:b/>
                <w:bCs w:val="0"/>
                <w:color w:val="000000" w:themeColor="text1"/>
                <w:spacing w:val="0"/>
                <w:kern w:val="21"/>
                <w:sz w:val="24"/>
                <w:szCs w:val="24"/>
                <w:lang w:val="en-US" w:eastAsia="zh-CN"/>
                <w14:textFill>
                  <w14:solidFill>
                    <w14:schemeClr w14:val="tx1"/>
                  </w14:solidFill>
                </w14:textFill>
              </w:rPr>
            </w:pPr>
            <w:r>
              <w:rPr>
                <w:rFonts w:hint="eastAsia" w:ascii="宋体" w:hAnsi="宋体" w:cs="宋体"/>
                <w:b/>
                <w:bCs w:val="0"/>
                <w:color w:val="000000" w:themeColor="text1"/>
                <w:spacing w:val="0"/>
                <w:kern w:val="21"/>
                <w:sz w:val="24"/>
                <w:szCs w:val="24"/>
                <w:lang w:val="en-US" w:eastAsia="zh-CN"/>
                <w14:textFill>
                  <w14:solidFill>
                    <w14:schemeClr w14:val="tx1"/>
                  </w14:solidFill>
                </w14:textFill>
              </w:rPr>
              <w:t>2.</w:t>
            </w:r>
            <w:r>
              <w:rPr>
                <w:b/>
                <w:bCs/>
                <w:color w:val="000000" w:themeColor="text1"/>
                <w:kern w:val="24"/>
                <w:sz w:val="24"/>
                <w:szCs w:val="24"/>
                <w:highlight w:val="none"/>
                <w14:textFill>
                  <w14:solidFill>
                    <w14:schemeClr w14:val="tx1"/>
                  </w14:solidFill>
                </w14:textFill>
              </w:rPr>
              <w:t>非正常工况废气源强核算</w:t>
            </w:r>
          </w:p>
          <w:p w14:paraId="3D24A858">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10"/>
                <w:sz w:val="24"/>
                <w:szCs w:val="24"/>
                <w:lang w:val="en-US" w:eastAsia="zh-CN"/>
                <w14:textFill>
                  <w14:solidFill>
                    <w14:schemeClr w14:val="tx1"/>
                  </w14:solidFill>
                </w14:textFill>
              </w:rPr>
              <w:t>本项目非正常工况主要为油气回收系统出现故障导致的非甲烷总烃排放量骤然增加。</w:t>
            </w:r>
            <w:r>
              <w:rPr>
                <w:rFonts w:hint="eastAsia" w:ascii="Times New Roman" w:hAnsi="Times New Roman" w:cs="Times New Roman"/>
                <w:color w:val="000000" w:themeColor="text1"/>
                <w:sz w:val="24"/>
                <w:szCs w:val="24"/>
                <w:lang w:val="en-US" w:eastAsia="zh-CN"/>
                <w14:textFill>
                  <w14:solidFill>
                    <w14:schemeClr w14:val="tx1"/>
                  </w14:solidFill>
                </w14:textFill>
              </w:rPr>
              <w:t>非正常工况废气污染物产生及排放情况详见表4-</w:t>
            </w:r>
            <w:r>
              <w:rPr>
                <w:rFonts w:hint="eastAsia" w:cs="Times New Roman"/>
                <w:color w:val="000000" w:themeColor="text1"/>
                <w:sz w:val="24"/>
                <w:szCs w:val="24"/>
                <w:lang w:val="en-US" w:eastAsia="zh-CN"/>
                <w14:textFill>
                  <w14:solidFill>
                    <w14:schemeClr w14:val="tx1"/>
                  </w14:solidFill>
                </w14:textFill>
              </w:rPr>
              <w:t>4</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14:paraId="2FCCF9D6">
            <w:pPr>
              <w:keepNext w:val="0"/>
              <w:keepLines w:val="0"/>
              <w:pageBreakBefore w:val="0"/>
              <w:widowControl w:val="0"/>
              <w:numPr>
                <w:ilvl w:val="2"/>
                <w:numId w:val="0"/>
              </w:numPr>
              <w:tabs>
                <w:tab w:val="left" w:pos="851"/>
              </w:tabs>
              <w:kinsoku/>
              <w:wordWrap/>
              <w:overflowPunct/>
              <w:topLinePunct w:val="0"/>
              <w:autoSpaceDE/>
              <w:autoSpaceDN/>
              <w:bidi w:val="0"/>
              <w:adjustRightInd w:val="0"/>
              <w:snapToGrid w:val="0"/>
              <w:spacing w:line="240" w:lineRule="auto"/>
              <w:ind w:leftChars="0"/>
              <w:jc w:val="center"/>
              <w:textAlignment w:val="bottom"/>
              <w:outlineLvl w:val="9"/>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4</w:t>
            </w: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    非正常工况废气污染物产生及排放情况</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854"/>
              <w:gridCol w:w="915"/>
              <w:gridCol w:w="1635"/>
              <w:gridCol w:w="776"/>
              <w:gridCol w:w="834"/>
              <w:gridCol w:w="1263"/>
              <w:gridCol w:w="1019"/>
            </w:tblGrid>
            <w:tr w14:paraId="5C368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8" w:type="pct"/>
                  <w:tcBorders>
                    <w:tl2br w:val="nil"/>
                    <w:tr2bl w:val="nil"/>
                  </w:tcBorders>
                  <w:noWrap w:val="0"/>
                  <w:vAlign w:val="center"/>
                </w:tcPr>
                <w:p w14:paraId="52CB634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排放源</w:t>
                  </w:r>
                </w:p>
              </w:tc>
              <w:tc>
                <w:tcPr>
                  <w:tcW w:w="517" w:type="pct"/>
                  <w:tcBorders>
                    <w:tl2br w:val="nil"/>
                    <w:tr2bl w:val="nil"/>
                  </w:tcBorders>
                  <w:noWrap w:val="0"/>
                  <w:vAlign w:val="center"/>
                </w:tcPr>
                <w:p w14:paraId="7B737AB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554" w:type="pct"/>
                  <w:tcBorders>
                    <w:tl2br w:val="nil"/>
                    <w:tr2bl w:val="nil"/>
                  </w:tcBorders>
                  <w:noWrap w:val="0"/>
                  <w:vAlign w:val="center"/>
                </w:tcPr>
                <w:p w14:paraId="28E4D54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lang w:val="en-US"/>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kg/h</w:t>
                  </w:r>
                </w:p>
              </w:tc>
              <w:tc>
                <w:tcPr>
                  <w:tcW w:w="990" w:type="pct"/>
                  <w:tcBorders>
                    <w:tl2br w:val="nil"/>
                    <w:tr2bl w:val="nil"/>
                  </w:tcBorders>
                  <w:noWrap w:val="0"/>
                  <w:vAlign w:val="center"/>
                </w:tcPr>
                <w:p w14:paraId="7D5140A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排放浓度</w:t>
                  </w:r>
                </w:p>
                <w:p w14:paraId="6AB9D18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c>
              <w:tc>
                <w:tcPr>
                  <w:tcW w:w="470" w:type="pct"/>
                  <w:tcBorders>
                    <w:tl2br w:val="nil"/>
                    <w:tr2bl w:val="nil"/>
                  </w:tcBorders>
                  <w:noWrap w:val="0"/>
                  <w:vAlign w:val="center"/>
                </w:tcPr>
                <w:p w14:paraId="1406EB7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持续</w:t>
                  </w:r>
                </w:p>
                <w:p w14:paraId="31350AA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时间</w:t>
                  </w:r>
                </w:p>
              </w:tc>
              <w:tc>
                <w:tcPr>
                  <w:tcW w:w="505" w:type="pct"/>
                  <w:tcBorders>
                    <w:tl2br w:val="nil"/>
                    <w:tr2bl w:val="nil"/>
                  </w:tcBorders>
                  <w:noWrap w:val="0"/>
                  <w:vAlign w:val="center"/>
                </w:tcPr>
                <w:p w14:paraId="5518283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频次</w:t>
                  </w:r>
                </w:p>
              </w:tc>
              <w:tc>
                <w:tcPr>
                  <w:tcW w:w="765" w:type="pct"/>
                  <w:tcBorders>
                    <w:tl2br w:val="nil"/>
                    <w:tr2bl w:val="nil"/>
                  </w:tcBorders>
                  <w:noWrap w:val="0"/>
                  <w:vAlign w:val="center"/>
                </w:tcPr>
                <w:p w14:paraId="4F804CB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非正常工况</w:t>
                  </w:r>
                </w:p>
              </w:tc>
              <w:tc>
                <w:tcPr>
                  <w:tcW w:w="617" w:type="pct"/>
                  <w:tcBorders>
                    <w:tl2br w:val="nil"/>
                    <w:tr2bl w:val="nil"/>
                  </w:tcBorders>
                  <w:noWrap w:val="0"/>
                  <w:vAlign w:val="center"/>
                </w:tcPr>
                <w:p w14:paraId="33A5226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应对</w:t>
                  </w:r>
                </w:p>
                <w:p w14:paraId="2F48C08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措施</w:t>
                  </w:r>
                </w:p>
              </w:tc>
            </w:tr>
            <w:tr w14:paraId="2B8CD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8" w:type="pct"/>
                  <w:tcBorders>
                    <w:tl2br w:val="nil"/>
                    <w:tr2bl w:val="nil"/>
                  </w:tcBorders>
                  <w:noWrap w:val="0"/>
                  <w:vAlign w:val="center"/>
                </w:tcPr>
                <w:p w14:paraId="7519459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卸油、加油、油罐呼吸、</w:t>
                  </w:r>
                </w:p>
              </w:tc>
              <w:tc>
                <w:tcPr>
                  <w:tcW w:w="517" w:type="pct"/>
                  <w:tcBorders>
                    <w:tl2br w:val="nil"/>
                    <w:tr2bl w:val="nil"/>
                  </w:tcBorders>
                  <w:noWrap w:val="0"/>
                  <w:vAlign w:val="center"/>
                </w:tcPr>
                <w:p w14:paraId="795594C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非甲烷总烃</w:t>
                  </w:r>
                </w:p>
              </w:tc>
              <w:tc>
                <w:tcPr>
                  <w:tcW w:w="554" w:type="pct"/>
                  <w:tcBorders>
                    <w:tl2br w:val="nil"/>
                    <w:tr2bl w:val="nil"/>
                  </w:tcBorders>
                  <w:noWrap w:val="0"/>
                  <w:vAlign w:val="center"/>
                </w:tcPr>
                <w:p w14:paraId="131ED23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p>
              </w:tc>
              <w:tc>
                <w:tcPr>
                  <w:tcW w:w="990" w:type="pct"/>
                  <w:tcBorders>
                    <w:tl2br w:val="nil"/>
                    <w:tr2bl w:val="nil"/>
                  </w:tcBorders>
                  <w:noWrap w:val="0"/>
                  <w:vAlign w:val="center"/>
                </w:tcPr>
                <w:p w14:paraId="20C3644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1"/>
                      <w:szCs w:val="21"/>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p>
              </w:tc>
              <w:tc>
                <w:tcPr>
                  <w:tcW w:w="470" w:type="pct"/>
                  <w:tcBorders>
                    <w:tl2br w:val="nil"/>
                    <w:tr2bl w:val="nil"/>
                  </w:tcBorders>
                  <w:noWrap w:val="0"/>
                  <w:vAlign w:val="center"/>
                </w:tcPr>
                <w:p w14:paraId="49F3405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0min</w:t>
                  </w:r>
                </w:p>
              </w:tc>
              <w:tc>
                <w:tcPr>
                  <w:tcW w:w="505" w:type="pct"/>
                  <w:tcBorders>
                    <w:tl2br w:val="nil"/>
                    <w:tr2bl w:val="nil"/>
                  </w:tcBorders>
                  <w:noWrap w:val="0"/>
                  <w:vAlign w:val="center"/>
                </w:tcPr>
                <w:p w14:paraId="6FA80E1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2次/年</w:t>
                  </w:r>
                </w:p>
              </w:tc>
              <w:tc>
                <w:tcPr>
                  <w:tcW w:w="765" w:type="pct"/>
                  <w:tcBorders>
                    <w:tl2br w:val="nil"/>
                    <w:tr2bl w:val="nil"/>
                  </w:tcBorders>
                  <w:noWrap w:val="0"/>
                  <w:vAlign w:val="center"/>
                </w:tcPr>
                <w:p w14:paraId="3CD62CA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油气回收系统出现故障</w:t>
                  </w:r>
                </w:p>
              </w:tc>
              <w:tc>
                <w:tcPr>
                  <w:tcW w:w="617" w:type="pct"/>
                  <w:tcBorders>
                    <w:tl2br w:val="nil"/>
                    <w:tr2bl w:val="nil"/>
                  </w:tcBorders>
                  <w:noWrap w:val="0"/>
                  <w:vAlign w:val="center"/>
                </w:tcPr>
                <w:p w14:paraId="34D6FCD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停</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机</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及时维修</w:t>
                  </w:r>
                </w:p>
              </w:tc>
            </w:tr>
          </w:tbl>
          <w:p w14:paraId="31454DF5">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textAlignment w:val="auto"/>
              <w:rPr>
                <w:color w:val="000000" w:themeColor="text1"/>
                <w:kern w:val="24"/>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油气回收系统出现故障情况下可能会导致非甲烷总烃排放量骤然增加，加重周边环境污染，为防止</w:t>
            </w:r>
            <w:r>
              <w:rPr>
                <w:color w:val="000000" w:themeColor="text1"/>
                <w:kern w:val="24"/>
                <w:sz w:val="24"/>
                <w:szCs w:val="24"/>
                <w:highlight w:val="none"/>
                <w14:textFill>
                  <w14:solidFill>
                    <w14:schemeClr w14:val="tx1"/>
                  </w14:solidFill>
                </w14:textFill>
              </w:rPr>
              <w:t>废气非正常排放，应采取以下措施确保废气达标排放：</w:t>
            </w:r>
          </w:p>
          <w:p w14:paraId="044339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color w:val="000000" w:themeColor="text1"/>
                <w:kern w:val="24"/>
                <w:sz w:val="24"/>
                <w:szCs w:val="24"/>
                <w:highlight w:val="none"/>
                <w14:textFill>
                  <w14:solidFill>
                    <w14:schemeClr w14:val="tx1"/>
                  </w14:solidFill>
                </w14:textFill>
              </w:rPr>
            </w:pPr>
            <w:r>
              <w:rPr>
                <w:rFonts w:hint="default" w:ascii="Times New Roman" w:hAnsi="Times New Roman" w:cs="Times New Roman"/>
                <w:color w:val="000000" w:themeColor="text1"/>
                <w:kern w:val="24"/>
                <w:sz w:val="24"/>
                <w:szCs w:val="24"/>
                <w:highlight w:val="none"/>
                <w14:textFill>
                  <w14:solidFill>
                    <w14:schemeClr w14:val="tx1"/>
                  </w14:solidFill>
                </w14:textFill>
              </w:rPr>
              <w:t>①</w:t>
            </w:r>
            <w:r>
              <w:rPr>
                <w:color w:val="000000" w:themeColor="text1"/>
                <w:kern w:val="24"/>
                <w:sz w:val="24"/>
                <w:szCs w:val="24"/>
                <w:highlight w:val="none"/>
                <w14:textFill>
                  <w14:solidFill>
                    <w14:schemeClr w14:val="tx1"/>
                  </w14:solidFill>
                </w14:textFill>
              </w:rPr>
              <w:t xml:space="preserve"> 安排专人负责环保设备的日常维护和管理，</w:t>
            </w:r>
            <w:r>
              <w:rPr>
                <w:rFonts w:hint="default"/>
                <w:color w:val="000000" w:themeColor="text1"/>
                <w:kern w:val="24"/>
                <w:sz w:val="24"/>
                <w:szCs w:val="24"/>
                <w:highlight w:val="none"/>
                <w:lang w:eastAsia="zh-CN"/>
                <w14:textFill>
                  <w14:solidFill>
                    <w14:schemeClr w14:val="tx1"/>
                  </w14:solidFill>
                </w14:textFill>
              </w:rPr>
              <w:t>每隔</w:t>
            </w:r>
            <w:r>
              <w:rPr>
                <w:color w:val="000000" w:themeColor="text1"/>
                <w:kern w:val="24"/>
                <w:sz w:val="24"/>
                <w:szCs w:val="24"/>
                <w:highlight w:val="none"/>
                <w14:textFill>
                  <w14:solidFill>
                    <w14:schemeClr w14:val="tx1"/>
                  </w14:solidFill>
                </w14:textFill>
              </w:rPr>
              <w:t>固定时间检查、汇报情况，及时发现废气处理设备的隐患，确保废气处理系统正常运行；</w:t>
            </w:r>
          </w:p>
          <w:p w14:paraId="0B42B2F3">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textAlignment w:val="auto"/>
              <w:rPr>
                <w:color w:val="000000" w:themeColor="text1"/>
                <w:kern w:val="24"/>
                <w:sz w:val="24"/>
                <w:szCs w:val="24"/>
                <w:highlight w:val="none"/>
                <w14:textFill>
                  <w14:solidFill>
                    <w14:schemeClr w14:val="tx1"/>
                  </w14:solidFill>
                </w14:textFill>
              </w:rPr>
            </w:pPr>
            <w:r>
              <w:rPr>
                <w:rFonts w:hint="default" w:ascii="Times New Roman" w:hAnsi="Times New Roman" w:cs="Times New Roman"/>
                <w:color w:val="000000" w:themeColor="text1"/>
                <w:kern w:val="24"/>
                <w:sz w:val="24"/>
                <w:szCs w:val="24"/>
                <w:highlight w:val="none"/>
                <w14:textFill>
                  <w14:solidFill>
                    <w14:schemeClr w14:val="tx1"/>
                  </w14:solidFill>
                </w14:textFill>
              </w:rPr>
              <w:t>②</w:t>
            </w:r>
            <w:r>
              <w:rPr>
                <w:color w:val="000000" w:themeColor="text1"/>
                <w:kern w:val="24"/>
                <w:sz w:val="24"/>
                <w:szCs w:val="24"/>
                <w:highlight w:val="none"/>
                <w14:textFill>
                  <w14:solidFill>
                    <w14:schemeClr w14:val="tx1"/>
                  </w14:solidFill>
                </w14:textFill>
              </w:rPr>
              <w:t xml:space="preserve"> </w:t>
            </w:r>
            <w:r>
              <w:rPr>
                <w:rFonts w:hint="default"/>
                <w:color w:val="000000" w:themeColor="text1"/>
                <w:kern w:val="24"/>
                <w:sz w:val="24"/>
                <w:szCs w:val="24"/>
                <w:highlight w:val="none"/>
                <w14:textFill>
                  <w14:solidFill>
                    <w14:schemeClr w14:val="tx1"/>
                  </w14:solidFill>
                </w14:textFill>
              </w:rPr>
              <w:t>应定期维护、检修</w:t>
            </w:r>
            <w:r>
              <w:rPr>
                <w:rFonts w:hint="eastAsia"/>
                <w:color w:val="000000" w:themeColor="text1"/>
                <w:kern w:val="24"/>
                <w:sz w:val="24"/>
                <w:szCs w:val="24"/>
                <w:highlight w:val="none"/>
                <w:lang w:eastAsia="zh-CN"/>
                <w14:textFill>
                  <w14:solidFill>
                    <w14:schemeClr w14:val="tx1"/>
                  </w14:solidFill>
                </w14:textFill>
              </w:rPr>
              <w:t>油气回收系统</w:t>
            </w:r>
            <w:r>
              <w:rPr>
                <w:rFonts w:hint="default"/>
                <w:color w:val="000000" w:themeColor="text1"/>
                <w:kern w:val="24"/>
                <w:sz w:val="24"/>
                <w:szCs w:val="24"/>
                <w:highlight w:val="none"/>
                <w14:textFill>
                  <w14:solidFill>
                    <w14:schemeClr w14:val="tx1"/>
                  </w14:solidFill>
                </w14:textFill>
              </w:rPr>
              <w:t>，以保持</w:t>
            </w:r>
            <w:r>
              <w:rPr>
                <w:rFonts w:hint="eastAsia"/>
                <w:color w:val="000000" w:themeColor="text1"/>
                <w:kern w:val="24"/>
                <w:sz w:val="24"/>
                <w:szCs w:val="24"/>
                <w:highlight w:val="none"/>
                <w:lang w:eastAsia="zh-CN"/>
                <w14:textFill>
                  <w14:solidFill>
                    <w14:schemeClr w14:val="tx1"/>
                  </w14:solidFill>
                </w14:textFill>
              </w:rPr>
              <w:t>设备</w:t>
            </w:r>
            <w:r>
              <w:rPr>
                <w:rFonts w:hint="default"/>
                <w:color w:val="000000" w:themeColor="text1"/>
                <w:kern w:val="24"/>
                <w:sz w:val="24"/>
                <w:szCs w:val="24"/>
                <w:highlight w:val="none"/>
                <w14:textFill>
                  <w14:solidFill>
                    <w14:schemeClr w14:val="tx1"/>
                  </w14:solidFill>
                </w14:textFill>
              </w:rPr>
              <w:t>的正常运行</w:t>
            </w:r>
            <w:r>
              <w:rPr>
                <w:color w:val="000000" w:themeColor="text1"/>
                <w:kern w:val="24"/>
                <w:sz w:val="24"/>
                <w:szCs w:val="24"/>
                <w:highlight w:val="none"/>
                <w14:textFill>
                  <w14:solidFill>
                    <w14:schemeClr w14:val="tx1"/>
                  </w14:solidFill>
                </w14:textFill>
              </w:rPr>
              <w:t>。</w:t>
            </w:r>
          </w:p>
          <w:p w14:paraId="0E4241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b/>
                <w:bCs/>
                <w:color w:val="000000" w:themeColor="text1"/>
                <w:kern w:val="24"/>
                <w:sz w:val="24"/>
                <w:szCs w:val="24"/>
                <w:highlight w:val="none"/>
                <w14:textFill>
                  <w14:solidFill>
                    <w14:schemeClr w14:val="tx1"/>
                  </w14:solidFill>
                </w14:textFill>
              </w:rPr>
            </w:pPr>
            <w:r>
              <w:rPr>
                <w:rFonts w:hint="eastAsia"/>
                <w:b/>
                <w:color w:val="000000" w:themeColor="text1"/>
                <w:kern w:val="24"/>
                <w:sz w:val="24"/>
                <w:szCs w:val="24"/>
                <w:highlight w:val="none"/>
                <w:lang w:val="en-US" w:eastAsia="zh-CN"/>
                <w14:textFill>
                  <w14:solidFill>
                    <w14:schemeClr w14:val="tx1"/>
                  </w14:solidFill>
                </w14:textFill>
              </w:rPr>
              <w:t>3.</w:t>
            </w:r>
            <w:r>
              <w:rPr>
                <w:b/>
                <w:color w:val="000000" w:themeColor="text1"/>
                <w:kern w:val="24"/>
                <w:sz w:val="24"/>
                <w:szCs w:val="24"/>
                <w:highlight w:val="none"/>
                <w14:textFill>
                  <w14:solidFill>
                    <w14:schemeClr w14:val="tx1"/>
                  </w14:solidFill>
                </w14:textFill>
              </w:rPr>
              <w:t>监测要求</w:t>
            </w:r>
          </w:p>
          <w:p w14:paraId="07A3D6F5">
            <w:pPr>
              <w:keepNext w:val="0"/>
              <w:keepLines w:val="0"/>
              <w:pageBreakBefore w:val="0"/>
              <w:widowControl w:val="0"/>
              <w:kinsoku/>
              <w:wordWrap/>
              <w:overflowPunct/>
              <w:autoSpaceDE/>
              <w:autoSpaceDN/>
              <w:bidi w:val="0"/>
              <w:adjustRightInd w:val="0"/>
              <w:snapToGrid w:val="0"/>
              <w:spacing w:line="360" w:lineRule="auto"/>
              <w:ind w:left="0" w:leftChars="0" w:right="0" w:rightChars="0" w:firstLine="480" w:firstLineChars="200"/>
              <w:outlineLvl w:val="9"/>
              <w:rPr>
                <w:b/>
                <w:color w:val="000000" w:themeColor="text1"/>
                <w:kern w:val="24"/>
                <w:sz w:val="24"/>
                <w:szCs w:val="24"/>
                <w:highlight w:val="none"/>
                <w14:textFill>
                  <w14:solidFill>
                    <w14:schemeClr w14:val="tx1"/>
                  </w14:solidFill>
                </w14:textFill>
              </w:rPr>
            </w:pPr>
            <w:r>
              <w:rPr>
                <w:color w:val="000000" w:themeColor="text1"/>
                <w:kern w:val="24"/>
                <w:sz w:val="24"/>
                <w:szCs w:val="24"/>
                <w:highlight w:val="none"/>
                <w14:textFill>
                  <w14:solidFill>
                    <w14:schemeClr w14:val="tx1"/>
                  </w14:solidFill>
                </w14:textFill>
              </w:rPr>
              <w:t>根据《排污单位自行监测技术指南 总则》</w:t>
            </w:r>
            <w:r>
              <w:rPr>
                <w:rFonts w:hint="default"/>
                <w:color w:val="000000" w:themeColor="text1"/>
                <w:kern w:val="24"/>
                <w:sz w:val="24"/>
                <w:szCs w:val="24"/>
                <w:highlight w:val="none"/>
                <w:lang w:eastAsia="zh-CN"/>
                <w14:textFill>
                  <w14:solidFill>
                    <w14:schemeClr w14:val="tx1"/>
                  </w14:solidFill>
                </w14:textFill>
              </w:rPr>
              <w:t>（</w:t>
            </w:r>
            <w:r>
              <w:rPr>
                <w:color w:val="000000" w:themeColor="text1"/>
                <w:kern w:val="24"/>
                <w:sz w:val="24"/>
                <w:szCs w:val="24"/>
                <w:highlight w:val="none"/>
                <w14:textFill>
                  <w14:solidFill>
                    <w14:schemeClr w14:val="tx1"/>
                  </w14:solidFill>
                </w14:textFill>
              </w:rPr>
              <w:t>HJ819-2017</w:t>
            </w:r>
            <w:r>
              <w:rPr>
                <w:rFonts w:hint="default"/>
                <w:color w:val="000000" w:themeColor="text1"/>
                <w:kern w:val="24"/>
                <w:sz w:val="24"/>
                <w:szCs w:val="24"/>
                <w:highlight w:val="none"/>
                <w:lang w:eastAsia="zh-CN"/>
                <w14:textFill>
                  <w14:solidFill>
                    <w14:schemeClr w14:val="tx1"/>
                  </w14:solidFill>
                </w14:textFill>
              </w:rPr>
              <w:t>）</w:t>
            </w:r>
            <w:r>
              <w:rPr>
                <w:rFonts w:hint="eastAsia"/>
                <w:color w:val="000000" w:themeColor="text1"/>
                <w:kern w:val="24"/>
                <w:sz w:val="24"/>
                <w:szCs w:val="24"/>
                <w:highlight w:val="none"/>
                <w:lang w:eastAsia="zh-CN"/>
                <w14:textFill>
                  <w14:solidFill>
                    <w14:schemeClr w14:val="tx1"/>
                  </w14:solidFill>
                </w14:textFill>
              </w:rPr>
              <w:t>及</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排污许可证申请与核发技术规范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eastAsia="zh-CN"/>
                <w14:textFill>
                  <w14:solidFill>
                    <w14:schemeClr w14:val="tx1"/>
                  </w14:solidFill>
                </w14:textFill>
              </w:rPr>
              <w:t>储油库、加油站</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HJ1118-2020）</w:t>
            </w:r>
            <w:r>
              <w:rPr>
                <w:color w:val="000000" w:themeColor="text1"/>
                <w:kern w:val="24"/>
                <w:sz w:val="24"/>
                <w:szCs w:val="24"/>
                <w:highlight w:val="none"/>
                <w14:textFill>
                  <w14:solidFill>
                    <w14:schemeClr w14:val="tx1"/>
                  </w14:solidFill>
                </w14:textFill>
              </w:rPr>
              <w:t>，本项目废气监测要求见表4-</w:t>
            </w:r>
            <w:r>
              <w:rPr>
                <w:rFonts w:hint="eastAsia"/>
                <w:color w:val="000000" w:themeColor="text1"/>
                <w:kern w:val="24"/>
                <w:sz w:val="24"/>
                <w:szCs w:val="24"/>
                <w:highlight w:val="none"/>
                <w:lang w:val="en-US" w:eastAsia="zh-CN"/>
                <w14:textFill>
                  <w14:solidFill>
                    <w14:schemeClr w14:val="tx1"/>
                  </w14:solidFill>
                </w14:textFill>
              </w:rPr>
              <w:t>4</w:t>
            </w:r>
            <w:r>
              <w:rPr>
                <w:color w:val="000000" w:themeColor="text1"/>
                <w:kern w:val="24"/>
                <w:sz w:val="24"/>
                <w:szCs w:val="24"/>
                <w:highlight w:val="none"/>
                <w14:textFill>
                  <w14:solidFill>
                    <w14:schemeClr w14:val="tx1"/>
                  </w14:solidFill>
                </w14:textFill>
              </w:rPr>
              <w:t>。</w:t>
            </w:r>
          </w:p>
          <w:p w14:paraId="29E63B51">
            <w:pPr>
              <w:keepNext w:val="0"/>
              <w:keepLines w:val="0"/>
              <w:pageBreakBefore w:val="0"/>
              <w:widowControl w:val="0"/>
              <w:kinsoku/>
              <w:wordWrap/>
              <w:overflowPunct/>
              <w:autoSpaceDE/>
              <w:autoSpaceDN/>
              <w:bidi w:val="0"/>
              <w:adjustRightInd w:val="0"/>
              <w:snapToGrid w:val="0"/>
              <w:ind w:left="0" w:leftChars="0" w:right="0" w:rightChars="0"/>
              <w:jc w:val="center"/>
              <w:outlineLvl w:val="9"/>
              <w:rPr>
                <w:b/>
                <w:bCs/>
                <w:color w:val="000000" w:themeColor="text1"/>
                <w:kern w:val="24"/>
                <w:sz w:val="21"/>
                <w:szCs w:val="21"/>
                <w:highlight w:val="none"/>
                <w14:textFill>
                  <w14:solidFill>
                    <w14:schemeClr w14:val="tx1"/>
                  </w14:solidFill>
                </w14:textFill>
              </w:rPr>
            </w:pPr>
            <w:r>
              <w:rPr>
                <w:b/>
                <w:bCs/>
                <w:color w:val="000000" w:themeColor="text1"/>
                <w:kern w:val="24"/>
                <w:sz w:val="21"/>
                <w:szCs w:val="21"/>
                <w:highlight w:val="none"/>
                <w14:textFill>
                  <w14:solidFill>
                    <w14:schemeClr w14:val="tx1"/>
                  </w14:solidFill>
                </w14:textFill>
              </w:rPr>
              <w:t>表4-</w:t>
            </w:r>
            <w:r>
              <w:rPr>
                <w:rFonts w:hint="eastAsia"/>
                <w:b/>
                <w:bCs/>
                <w:color w:val="000000" w:themeColor="text1"/>
                <w:kern w:val="24"/>
                <w:sz w:val="21"/>
                <w:szCs w:val="21"/>
                <w:highlight w:val="none"/>
                <w:lang w:val="en-US" w:eastAsia="zh-CN"/>
                <w14:textFill>
                  <w14:solidFill>
                    <w14:schemeClr w14:val="tx1"/>
                  </w14:solidFill>
                </w14:textFill>
              </w:rPr>
              <w:t>4</w:t>
            </w:r>
            <w:r>
              <w:rPr>
                <w:b/>
                <w:bCs/>
                <w:color w:val="000000" w:themeColor="text1"/>
                <w:kern w:val="24"/>
                <w:sz w:val="21"/>
                <w:szCs w:val="21"/>
                <w:highlight w:val="none"/>
                <w14:textFill>
                  <w14:solidFill>
                    <w14:schemeClr w14:val="tx1"/>
                  </w14:solidFill>
                </w14:textFill>
              </w:rPr>
              <w:t xml:space="preserve">  废气监测方案</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056"/>
              <w:gridCol w:w="1287"/>
              <w:gridCol w:w="805"/>
              <w:gridCol w:w="669"/>
              <w:gridCol w:w="3628"/>
            </w:tblGrid>
            <w:tr w14:paraId="0CAA0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tcBorders>
                    <w:tl2br w:val="nil"/>
                    <w:tr2bl w:val="nil"/>
                  </w:tcBorders>
                  <w:noWrap w:val="0"/>
                  <w:vAlign w:val="center"/>
                </w:tcPr>
                <w:p w14:paraId="54684AE1">
                  <w:pPr>
                    <w:pStyle w:val="15"/>
                    <w:keepNext w:val="0"/>
                    <w:keepLines w:val="0"/>
                    <w:pageBreakBefore w:val="0"/>
                    <w:widowControl w:val="0"/>
                    <w:kinsoku/>
                    <w:wordWrap/>
                    <w:overflowPunct/>
                    <w:topLinePunct w:val="0"/>
                    <w:autoSpaceDE/>
                    <w:autoSpaceDN/>
                    <w:bidi w:val="0"/>
                    <w:adjustRightInd w:val="0"/>
                    <w:snapToGrid w:val="0"/>
                    <w:spacing w:before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监测位置</w:t>
                  </w:r>
                </w:p>
              </w:tc>
              <w:tc>
                <w:tcPr>
                  <w:tcW w:w="1056" w:type="dxa"/>
                  <w:tcBorders>
                    <w:tl2br w:val="nil"/>
                    <w:tr2bl w:val="nil"/>
                  </w:tcBorders>
                  <w:noWrap w:val="0"/>
                  <w:vAlign w:val="center"/>
                </w:tcPr>
                <w:p w14:paraId="24CF7921">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监测对象</w:t>
                  </w:r>
                </w:p>
              </w:tc>
              <w:tc>
                <w:tcPr>
                  <w:tcW w:w="1287" w:type="dxa"/>
                  <w:tcBorders>
                    <w:tl2br w:val="nil"/>
                    <w:tr2bl w:val="nil"/>
                  </w:tcBorders>
                  <w:noWrap w:val="0"/>
                  <w:vAlign w:val="center"/>
                </w:tcPr>
                <w:p w14:paraId="56A8D343">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内容</w:t>
                  </w:r>
                </w:p>
              </w:tc>
              <w:tc>
                <w:tcPr>
                  <w:tcW w:w="805" w:type="dxa"/>
                  <w:tcBorders>
                    <w:tl2br w:val="nil"/>
                    <w:tr2bl w:val="nil"/>
                  </w:tcBorders>
                  <w:noWrap w:val="0"/>
                  <w:vAlign w:val="center"/>
                </w:tcPr>
                <w:p w14:paraId="41E9884B">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监测点位</w:t>
                  </w:r>
                </w:p>
              </w:tc>
              <w:tc>
                <w:tcPr>
                  <w:tcW w:w="669" w:type="dxa"/>
                  <w:tcBorders>
                    <w:tl2br w:val="nil"/>
                    <w:tr2bl w:val="nil"/>
                  </w:tcBorders>
                  <w:noWrap w:val="0"/>
                  <w:vAlign w:val="center"/>
                </w:tcPr>
                <w:p w14:paraId="6375BB31">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监测频率</w:t>
                  </w:r>
                </w:p>
              </w:tc>
              <w:tc>
                <w:tcPr>
                  <w:tcW w:w="3628" w:type="dxa"/>
                  <w:tcBorders>
                    <w:tl2br w:val="nil"/>
                    <w:tr2bl w:val="nil"/>
                  </w:tcBorders>
                  <w:noWrap w:val="0"/>
                  <w:vAlign w:val="center"/>
                </w:tcPr>
                <w:p w14:paraId="0F54889B">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执行排放标准</w:t>
                  </w:r>
                </w:p>
              </w:tc>
            </w:tr>
            <w:tr w14:paraId="293B9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restart"/>
                  <w:tcBorders>
                    <w:tl2br w:val="nil"/>
                    <w:tr2bl w:val="nil"/>
                  </w:tcBorders>
                  <w:noWrap w:val="0"/>
                  <w:vAlign w:val="center"/>
                </w:tcPr>
                <w:p w14:paraId="292938B1">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厂界污染物浓度</w:t>
                  </w:r>
                </w:p>
              </w:tc>
              <w:tc>
                <w:tcPr>
                  <w:tcW w:w="1056" w:type="dxa"/>
                  <w:vMerge w:val="restart"/>
                  <w:tcBorders>
                    <w:tl2br w:val="nil"/>
                    <w:tr2bl w:val="nil"/>
                  </w:tcBorders>
                  <w:noWrap w:val="0"/>
                  <w:vAlign w:val="center"/>
                </w:tcPr>
                <w:p w14:paraId="3EC378F0">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污染物浓度</w:t>
                  </w:r>
                </w:p>
              </w:tc>
              <w:tc>
                <w:tcPr>
                  <w:tcW w:w="1287" w:type="dxa"/>
                  <w:vMerge w:val="restart"/>
                  <w:tcBorders>
                    <w:tl2br w:val="nil"/>
                    <w:tr2bl w:val="nil"/>
                  </w:tcBorders>
                  <w:noWrap w:val="0"/>
                  <w:vAlign w:val="center"/>
                </w:tcPr>
                <w:p w14:paraId="4F4D39BF">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非甲烷总烃</w:t>
                  </w:r>
                </w:p>
              </w:tc>
              <w:tc>
                <w:tcPr>
                  <w:tcW w:w="805" w:type="dxa"/>
                  <w:tcBorders>
                    <w:tl2br w:val="nil"/>
                    <w:tr2bl w:val="nil"/>
                  </w:tcBorders>
                  <w:noWrap w:val="0"/>
                  <w:vAlign w:val="center"/>
                </w:tcPr>
                <w:p w14:paraId="7B7F45BE">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站边界</w:t>
                  </w:r>
                </w:p>
              </w:tc>
              <w:tc>
                <w:tcPr>
                  <w:tcW w:w="669" w:type="dxa"/>
                  <w:vMerge w:val="restart"/>
                  <w:tcBorders>
                    <w:tl2br w:val="nil"/>
                    <w:tr2bl w:val="nil"/>
                  </w:tcBorders>
                  <w:noWrap w:val="0"/>
                  <w:vAlign w:val="center"/>
                </w:tcPr>
                <w:p w14:paraId="7EF7F2DE">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w:t>
                  </w:r>
                </w:p>
              </w:tc>
              <w:tc>
                <w:tcPr>
                  <w:tcW w:w="3628" w:type="dxa"/>
                  <w:tcBorders>
                    <w:tl2br w:val="nil"/>
                    <w:tr2bl w:val="nil"/>
                  </w:tcBorders>
                  <w:noWrap w:val="0"/>
                  <w:vAlign w:val="center"/>
                </w:tcPr>
                <w:p w14:paraId="70AE3D49">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《加油站大气污染物排放标准》（GB20952-2020）中表3油气浓度无组织排放限值</w:t>
                  </w:r>
                </w:p>
              </w:tc>
            </w:tr>
            <w:tr w14:paraId="6A04C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tl2br w:val="nil"/>
                    <w:tr2bl w:val="nil"/>
                  </w:tcBorders>
                  <w:noWrap w:val="0"/>
                  <w:vAlign w:val="center"/>
                </w:tcPr>
                <w:p w14:paraId="33D24F05">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056" w:type="dxa"/>
                  <w:vMerge w:val="continue"/>
                  <w:tcBorders>
                    <w:tl2br w:val="nil"/>
                    <w:tr2bl w:val="nil"/>
                  </w:tcBorders>
                  <w:noWrap w:val="0"/>
                  <w:vAlign w:val="center"/>
                </w:tcPr>
                <w:p w14:paraId="6F653CE6">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p>
              </w:tc>
              <w:tc>
                <w:tcPr>
                  <w:tcW w:w="1287" w:type="dxa"/>
                  <w:vMerge w:val="continue"/>
                  <w:tcBorders>
                    <w:tl2br w:val="nil"/>
                    <w:tr2bl w:val="nil"/>
                  </w:tcBorders>
                  <w:noWrap w:val="0"/>
                  <w:vAlign w:val="center"/>
                </w:tcPr>
                <w:p w14:paraId="32408566">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805" w:type="dxa"/>
                  <w:tcBorders>
                    <w:tl2br w:val="nil"/>
                    <w:tr2bl w:val="nil"/>
                  </w:tcBorders>
                  <w:noWrap w:val="0"/>
                  <w:vAlign w:val="center"/>
                </w:tcPr>
                <w:p w14:paraId="43EEA66F">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站内浓度</w:t>
                  </w:r>
                </w:p>
              </w:tc>
              <w:tc>
                <w:tcPr>
                  <w:tcW w:w="669" w:type="dxa"/>
                  <w:vMerge w:val="continue"/>
                  <w:tcBorders>
                    <w:tl2br w:val="nil"/>
                    <w:tr2bl w:val="nil"/>
                  </w:tcBorders>
                  <w:noWrap w:val="0"/>
                  <w:vAlign w:val="center"/>
                </w:tcPr>
                <w:p w14:paraId="5EFF9B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3628" w:type="dxa"/>
                  <w:tcBorders>
                    <w:tl2br w:val="nil"/>
                    <w:tr2bl w:val="nil"/>
                  </w:tcBorders>
                  <w:noWrap w:val="0"/>
                  <w:vAlign w:val="center"/>
                </w:tcPr>
                <w:p w14:paraId="01A0061C">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《挥发性有机物无组织排放控制标准》（GB37822-2019）</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特别</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排放限值</w:t>
                  </w:r>
                </w:p>
              </w:tc>
            </w:tr>
            <w:tr w14:paraId="010B1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tcBorders>
                    <w:tl2br w:val="nil"/>
                    <w:tr2bl w:val="nil"/>
                  </w:tcBorders>
                  <w:noWrap w:val="0"/>
                  <w:vAlign w:val="center"/>
                </w:tcPr>
                <w:p w14:paraId="73353EFB">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油气回收系统</w:t>
                  </w:r>
                </w:p>
              </w:tc>
              <w:tc>
                <w:tcPr>
                  <w:tcW w:w="1056" w:type="dxa"/>
                  <w:tcBorders>
                    <w:tl2br w:val="nil"/>
                    <w:tr2bl w:val="nil"/>
                  </w:tcBorders>
                  <w:noWrap w:val="0"/>
                  <w:vAlign w:val="center"/>
                </w:tcPr>
                <w:p w14:paraId="2E7744CB">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油气</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回</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收</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系统泄漏点</w:t>
                  </w:r>
                </w:p>
              </w:tc>
              <w:tc>
                <w:tcPr>
                  <w:tcW w:w="1287" w:type="dxa"/>
                  <w:tcBorders>
                    <w:tl2br w:val="nil"/>
                    <w:tr2bl w:val="nil"/>
                  </w:tcBorders>
                  <w:noWrap w:val="0"/>
                  <w:vAlign w:val="center"/>
                </w:tcPr>
                <w:p w14:paraId="7AD53413">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油气体积分数浓度</w:t>
                  </w:r>
                </w:p>
              </w:tc>
              <w:tc>
                <w:tcPr>
                  <w:tcW w:w="805" w:type="dxa"/>
                  <w:tcBorders>
                    <w:tl2br w:val="nil"/>
                    <w:tr2bl w:val="nil"/>
                  </w:tcBorders>
                  <w:noWrap w:val="0"/>
                  <w:vAlign w:val="center"/>
                </w:tcPr>
                <w:p w14:paraId="487D82F6">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油气回收系统</w:t>
                  </w:r>
                </w:p>
              </w:tc>
              <w:tc>
                <w:tcPr>
                  <w:tcW w:w="669" w:type="dxa"/>
                  <w:tcBorders>
                    <w:tl2br w:val="nil"/>
                    <w:tr2bl w:val="nil"/>
                  </w:tcBorders>
                  <w:noWrap w:val="0"/>
                  <w:vAlign w:val="center"/>
                </w:tcPr>
                <w:p w14:paraId="50187A26">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w:t>
                  </w:r>
                </w:p>
              </w:tc>
              <w:tc>
                <w:tcPr>
                  <w:tcW w:w="3628" w:type="dxa"/>
                  <w:tcBorders>
                    <w:tl2br w:val="nil"/>
                    <w:tr2bl w:val="nil"/>
                  </w:tcBorders>
                  <w:noWrap w:val="0"/>
                  <w:vAlign w:val="center"/>
                </w:tcPr>
                <w:p w14:paraId="758434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《加油站大气污染物排放标准》（GB20952-2020）</w:t>
                  </w:r>
                </w:p>
              </w:tc>
            </w:tr>
          </w:tbl>
          <w:p w14:paraId="258813CA">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2" w:firstLineChars="200"/>
              <w:textAlignment w:val="auto"/>
              <w:rPr>
                <w:b/>
                <w:bCs/>
                <w:color w:val="000000" w:themeColor="text1"/>
                <w:kern w:val="24"/>
                <w:sz w:val="24"/>
                <w:szCs w:val="24"/>
                <w:highlight w:val="none"/>
                <w14:textFill>
                  <w14:solidFill>
                    <w14:schemeClr w14:val="tx1"/>
                  </w14:solidFill>
                </w14:textFill>
              </w:rPr>
            </w:pPr>
            <w:r>
              <w:rPr>
                <w:rFonts w:hint="eastAsia"/>
                <w:b/>
                <w:bCs/>
                <w:color w:val="000000" w:themeColor="text1"/>
                <w:kern w:val="24"/>
                <w:sz w:val="24"/>
                <w:szCs w:val="24"/>
                <w:highlight w:val="none"/>
                <w:lang w:val="en-US" w:eastAsia="zh-CN"/>
                <w14:textFill>
                  <w14:solidFill>
                    <w14:schemeClr w14:val="tx1"/>
                  </w14:solidFill>
                </w14:textFill>
              </w:rPr>
              <w:t>4.</w:t>
            </w:r>
            <w:r>
              <w:rPr>
                <w:b/>
                <w:bCs/>
                <w:color w:val="000000" w:themeColor="text1"/>
                <w:kern w:val="24"/>
                <w:sz w:val="24"/>
                <w:szCs w:val="24"/>
                <w:highlight w:val="none"/>
                <w14:textFill>
                  <w14:solidFill>
                    <w14:schemeClr w14:val="tx1"/>
                  </w14:solidFill>
                </w14:textFill>
              </w:rPr>
              <w:t>废气处理可行性分析</w:t>
            </w:r>
          </w:p>
          <w:p w14:paraId="69DB9DF8">
            <w:pPr>
              <w:pStyle w:val="91"/>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rPr>
                <w:color w:val="000000" w:themeColor="text1"/>
                <w:kern w:val="24"/>
                <w:sz w:val="24"/>
                <w:szCs w:val="24"/>
                <w:highlight w:val="none"/>
                <w14:textFill>
                  <w14:solidFill>
                    <w14:schemeClr w14:val="tx1"/>
                  </w14:solidFill>
                </w14:textFill>
              </w:rPr>
            </w:pPr>
            <w:r>
              <w:rPr>
                <w:rFonts w:hint="eastAsia"/>
                <w:color w:val="000000" w:themeColor="text1"/>
                <w:kern w:val="24"/>
                <w:sz w:val="24"/>
                <w:szCs w:val="24"/>
                <w:highlight w:val="none"/>
                <w14:textFill>
                  <w14:solidFill>
                    <w14:schemeClr w14:val="tx1"/>
                  </w14:solidFill>
                </w14:textFill>
              </w:rPr>
              <w:t>本项目采取的油气回收处理措施属于《排污许可证申请与核发技术规范 储油库、加油站》（HJ1118-2020）中的可行技术，因此利用该措施回收项目加油工艺排放的非甲烷总烃可行。加油站油气回收一般通过三个阶段的油气回收系统来完成，本项目采用</w:t>
            </w:r>
            <w:r>
              <w:rPr>
                <w:rFonts w:hint="eastAsia"/>
                <w:color w:val="000000" w:themeColor="text1"/>
                <w:kern w:val="24"/>
                <w:sz w:val="24"/>
                <w:szCs w:val="24"/>
                <w:highlight w:val="none"/>
                <w:lang w:val="en-US" w:eastAsia="zh-CN"/>
                <w14:textFill>
                  <w14:solidFill>
                    <w14:schemeClr w14:val="tx1"/>
                  </w14:solidFill>
                </w14:textFill>
              </w:rPr>
              <w:t>三</w:t>
            </w:r>
            <w:r>
              <w:rPr>
                <w:rFonts w:hint="eastAsia"/>
                <w:color w:val="000000" w:themeColor="text1"/>
                <w:kern w:val="24"/>
                <w:sz w:val="24"/>
                <w:szCs w:val="24"/>
                <w:highlight w:val="none"/>
                <w14:textFill>
                  <w14:solidFill>
                    <w14:schemeClr w14:val="tx1"/>
                  </w14:solidFill>
                </w14:textFill>
              </w:rPr>
              <w:t>级油气回收措施进行处理，即第一阶段</w:t>
            </w:r>
            <w:r>
              <w:rPr>
                <w:rFonts w:hint="eastAsia"/>
                <w:color w:val="000000" w:themeColor="text1"/>
                <w:kern w:val="24"/>
                <w:sz w:val="24"/>
                <w:szCs w:val="24"/>
                <w:highlight w:val="none"/>
                <w:lang w:val="en-US" w:eastAsia="zh-CN"/>
                <w14:textFill>
                  <w14:solidFill>
                    <w14:schemeClr w14:val="tx1"/>
                  </w14:solidFill>
                </w14:textFill>
              </w:rPr>
              <w:t>卸油时候的油气回收，</w:t>
            </w:r>
            <w:r>
              <w:rPr>
                <w:rFonts w:hint="eastAsia"/>
                <w:color w:val="000000" w:themeColor="text1"/>
                <w:kern w:val="24"/>
                <w:sz w:val="24"/>
                <w:szCs w:val="24"/>
                <w:highlight w:val="none"/>
                <w14:textFill>
                  <w14:solidFill>
                    <w14:schemeClr w14:val="tx1"/>
                  </w14:solidFill>
                </w14:textFill>
              </w:rPr>
              <w:t>第二阶段汽车加油时的油气回收</w:t>
            </w:r>
            <w:r>
              <w:rPr>
                <w:rFonts w:hint="eastAsia"/>
                <w:color w:val="000000" w:themeColor="text1"/>
                <w:kern w:val="24"/>
                <w:sz w:val="24"/>
                <w:szCs w:val="24"/>
                <w:highlight w:val="none"/>
                <w:lang w:eastAsia="zh-CN"/>
                <w14:textFill>
                  <w14:solidFill>
                    <w14:schemeClr w14:val="tx1"/>
                  </w14:solidFill>
                </w14:textFill>
              </w:rPr>
              <w:t>，</w:t>
            </w:r>
            <w:r>
              <w:rPr>
                <w:rFonts w:hint="eastAsia"/>
                <w:color w:val="000000" w:themeColor="text1"/>
                <w:kern w:val="24"/>
                <w:sz w:val="24"/>
                <w:szCs w:val="24"/>
                <w:highlight w:val="none"/>
                <w14:textFill>
                  <w14:solidFill>
                    <w14:schemeClr w14:val="tx1"/>
                  </w14:solidFill>
                </w14:textFill>
              </w:rPr>
              <w:t>三次油气</w:t>
            </w:r>
            <w:r>
              <w:rPr>
                <w:rFonts w:hint="eastAsia"/>
                <w:color w:val="000000" w:themeColor="text1"/>
                <w:kern w:val="24"/>
                <w:sz w:val="24"/>
                <w:szCs w:val="24"/>
                <w:highlight w:val="none"/>
                <w:lang w:val="en-US" w:eastAsia="zh-CN"/>
                <w14:textFill>
                  <w14:solidFill>
                    <w14:schemeClr w14:val="tx1"/>
                  </w14:solidFill>
                </w14:textFill>
              </w:rPr>
              <w:t>回收是</w:t>
            </w:r>
            <w:r>
              <w:rPr>
                <w:rFonts w:hint="eastAsia"/>
                <w:color w:val="000000" w:themeColor="text1"/>
                <w:kern w:val="24"/>
                <w:sz w:val="24"/>
                <w:szCs w:val="24"/>
                <w:highlight w:val="none"/>
                <w14:textFill>
                  <w14:solidFill>
                    <w14:schemeClr w14:val="tx1"/>
                  </w14:solidFill>
                </w14:textFill>
              </w:rPr>
              <w:t>油罐中油气回收。</w:t>
            </w:r>
          </w:p>
          <w:p w14:paraId="799C5E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000000" w:themeColor="text1"/>
                <w:kern w:val="24"/>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根据国家环保部2012年140号文《关于加强储油库、加油站及油罐车油气污染治理工作的通知》，建设单位应做好加油站废气污染控制措施，</w:t>
            </w:r>
            <w:r>
              <w:rPr>
                <w:rFonts w:hint="eastAsia" w:ascii="Times New Roman" w:hAnsi="Times New Roman" w:cs="Times New Roman"/>
                <w:color w:val="000000" w:themeColor="text1"/>
                <w:sz w:val="24"/>
                <w:szCs w:val="24"/>
                <w:lang w:eastAsia="zh-CN"/>
                <w14:textFill>
                  <w14:solidFill>
                    <w14:schemeClr w14:val="tx1"/>
                  </w14:solidFill>
                </w14:textFill>
              </w:rPr>
              <w:t>应</w:t>
            </w:r>
            <w:r>
              <w:rPr>
                <w:rFonts w:hint="default" w:ascii="Times New Roman" w:hAnsi="Times New Roman" w:cs="Times New Roman"/>
                <w:color w:val="000000" w:themeColor="text1"/>
                <w:sz w:val="24"/>
                <w:szCs w:val="24"/>
                <w14:textFill>
                  <w14:solidFill>
                    <w14:schemeClr w14:val="tx1"/>
                  </w14:solidFill>
                </w14:textFill>
              </w:rPr>
              <w:t>严格按《加油站大气污染物排放标准》（GB20952-</w:t>
            </w:r>
            <w:r>
              <w:rPr>
                <w:rFonts w:hint="eastAsia" w:ascii="Times New Roman" w:hAnsi="Times New Roman" w:cs="Times New Roman"/>
                <w:color w:val="000000" w:themeColor="text1"/>
                <w:sz w:val="24"/>
                <w:szCs w:val="24"/>
                <w:lang w:val="en-US" w:eastAsia="zh-CN"/>
                <w14:textFill>
                  <w14:solidFill>
                    <w14:schemeClr w14:val="tx1"/>
                  </w14:solidFill>
                </w14:textFill>
              </w:rPr>
              <w:t>2020</w:t>
            </w:r>
            <w:r>
              <w:rPr>
                <w:rFonts w:hint="default" w:ascii="Times New Roman" w:hAnsi="Times New Roman" w:cs="Times New Roman"/>
                <w:color w:val="000000" w:themeColor="text1"/>
                <w:sz w:val="24"/>
                <w:szCs w:val="24"/>
                <w14:textFill>
                  <w14:solidFill>
                    <w14:schemeClr w14:val="tx1"/>
                  </w14:solidFill>
                </w14:textFill>
              </w:rPr>
              <w:t>）的要求加油卸油</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储油和加油</w:t>
            </w:r>
            <w:r>
              <w:rPr>
                <w:rFonts w:hint="eastAsia" w:ascii="Times New Roman" w:hAnsi="Times New Roman" w:cs="Times New Roman"/>
                <w:color w:val="000000" w:themeColor="text1"/>
                <w:sz w:val="24"/>
                <w:szCs w:val="24"/>
                <w:lang w:eastAsia="zh-CN"/>
                <w14:textFill>
                  <w14:solidFill>
                    <w14:schemeClr w14:val="tx1"/>
                  </w14:solidFill>
                </w14:textFill>
              </w:rPr>
              <w:t>时</w:t>
            </w:r>
            <w:r>
              <w:rPr>
                <w:rFonts w:hint="default" w:ascii="Times New Roman" w:hAnsi="Times New Roman" w:cs="Times New Roman"/>
                <w:color w:val="000000" w:themeColor="text1"/>
                <w:sz w:val="24"/>
                <w:szCs w:val="24"/>
                <w14:textFill>
                  <w14:solidFill>
                    <w14:schemeClr w14:val="tx1"/>
                  </w14:solidFill>
                </w14:textFill>
              </w:rPr>
              <w:t>排放的油气应采用以密封收集为基础的油气回收方法进行控制</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本站</w:t>
            </w:r>
            <w:r>
              <w:rPr>
                <w:rFonts w:hint="default" w:ascii="Times New Roman" w:hAnsi="Times New Roman" w:cs="Times New Roman"/>
                <w:color w:val="000000" w:themeColor="text1"/>
                <w:sz w:val="24"/>
                <w:szCs w:val="24"/>
                <w:lang w:eastAsia="zh-CN"/>
                <w14:textFill>
                  <w14:solidFill>
                    <w14:schemeClr w14:val="tx1"/>
                  </w14:solidFill>
                </w14:textFill>
              </w:rPr>
              <w:t>设计</w:t>
            </w:r>
            <w:r>
              <w:rPr>
                <w:rFonts w:hint="default" w:ascii="Times New Roman" w:hAnsi="Times New Roman" w:cs="Times New Roman"/>
                <w:color w:val="000000" w:themeColor="text1"/>
                <w:sz w:val="24"/>
                <w:szCs w:val="24"/>
                <w14:textFill>
                  <w14:solidFill>
                    <w14:schemeClr w14:val="tx1"/>
                  </w14:solidFill>
                </w14:textFill>
              </w:rPr>
              <w:t>采用地埋式储油罐，油罐密闭性好，可减少油罐</w:t>
            </w:r>
            <w:r>
              <w:rPr>
                <w:rFonts w:hint="eastAsia" w:ascii="Times New Roman" w:hAnsi="Times New Roman" w:cs="Times New Roman"/>
                <w:color w:val="000000" w:themeColor="text1"/>
                <w:sz w:val="24"/>
                <w:szCs w:val="24"/>
                <w:lang w:eastAsia="zh-CN"/>
                <w14:textFill>
                  <w14:solidFill>
                    <w14:schemeClr w14:val="tx1"/>
                  </w14:solidFill>
                </w14:textFill>
              </w:rPr>
              <w:t>储存</w:t>
            </w:r>
            <w:r>
              <w:rPr>
                <w:rFonts w:hint="default" w:ascii="Times New Roman" w:hAnsi="Times New Roman" w:cs="Times New Roman"/>
                <w:color w:val="000000" w:themeColor="text1"/>
                <w:sz w:val="24"/>
                <w:szCs w:val="24"/>
                <w14:textFill>
                  <w14:solidFill>
                    <w14:schemeClr w14:val="tx1"/>
                  </w14:solidFill>
                </w14:textFill>
              </w:rPr>
              <w:t>蒸发损耗，延缓油品变质。另外，本加油站</w:t>
            </w:r>
            <w:r>
              <w:rPr>
                <w:rFonts w:hint="default" w:ascii="Times New Roman" w:hAnsi="Times New Roman" w:cs="Times New Roman"/>
                <w:color w:val="000000" w:themeColor="text1"/>
                <w:sz w:val="24"/>
                <w:szCs w:val="24"/>
                <w:lang w:eastAsia="zh-CN"/>
                <w14:textFill>
                  <w14:solidFill>
                    <w14:schemeClr w14:val="tx1"/>
                  </w14:solidFill>
                </w14:textFill>
              </w:rPr>
              <w:t>设计</w:t>
            </w:r>
            <w:r>
              <w:rPr>
                <w:rFonts w:hint="default" w:ascii="Times New Roman" w:hAnsi="Times New Roman" w:cs="Times New Roman"/>
                <w:color w:val="000000" w:themeColor="text1"/>
                <w:sz w:val="24"/>
                <w:szCs w:val="24"/>
                <w14:textFill>
                  <w14:solidFill>
                    <w14:schemeClr w14:val="tx1"/>
                  </w14:solidFill>
                </w14:textFill>
              </w:rPr>
              <w:t>采用自封式加油枪及密闭卸油等方式，采用</w:t>
            </w:r>
            <w:r>
              <w:rPr>
                <w:rFonts w:hint="eastAsia" w:cs="Times New Roman"/>
                <w:color w:val="000000" w:themeColor="text1"/>
                <w:sz w:val="24"/>
                <w:szCs w:val="24"/>
                <w:lang w:val="en-US" w:eastAsia="zh-CN"/>
                <w14:textFill>
                  <w14:solidFill>
                    <w14:schemeClr w14:val="tx1"/>
                  </w14:solidFill>
                </w14:textFill>
              </w:rPr>
              <w:t>三次</w:t>
            </w:r>
            <w:r>
              <w:rPr>
                <w:rFonts w:hint="default" w:ascii="Times New Roman" w:hAnsi="Times New Roman" w:cs="Times New Roman"/>
                <w:color w:val="000000" w:themeColor="text1"/>
                <w:sz w:val="24"/>
                <w:szCs w:val="24"/>
                <w14:textFill>
                  <w14:solidFill>
                    <w14:schemeClr w14:val="tx1"/>
                  </w14:solidFill>
                </w14:textFill>
              </w:rPr>
              <w:t>油气回收系统，可以一定程度上减少非甲烷总烃的排放。</w:t>
            </w:r>
          </w:p>
          <w:p w14:paraId="548623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0"/>
                <w:sz w:val="24"/>
                <w:lang w:val="en-US" w:eastAsia="zh-CN"/>
                <w14:textFill>
                  <w14:solidFill>
                    <w14:schemeClr w14:val="tx1"/>
                  </w14:solidFill>
                </w14:textFill>
              </w:rPr>
              <w:t>综上</w:t>
            </w:r>
            <w:r>
              <w:rPr>
                <w:rFonts w:hint="default" w:ascii="Times New Roman" w:hAnsi="Times New Roman" w:cs="Times New Roman" w:eastAsiaTheme="minorEastAsia"/>
                <w:bCs/>
                <w:color w:val="000000" w:themeColor="text1"/>
                <w:kern w:val="0"/>
                <w:sz w:val="24"/>
                <w14:textFill>
                  <w14:solidFill>
                    <w14:schemeClr w14:val="tx1"/>
                  </w14:solidFill>
                </w14:textFill>
              </w:rPr>
              <w:t>，项目在</w:t>
            </w:r>
            <w:r>
              <w:rPr>
                <w:rFonts w:hint="default" w:ascii="Times New Roman" w:hAnsi="Times New Roman" w:cs="Times New Roman" w:eastAsiaTheme="minorEastAsia"/>
                <w:color w:val="000000" w:themeColor="text1"/>
                <w:sz w:val="24"/>
                <w:szCs w:val="32"/>
                <w14:textFill>
                  <w14:solidFill>
                    <w14:schemeClr w14:val="tx1"/>
                  </w14:solidFill>
                </w14:textFill>
              </w:rPr>
              <w:t>采取废气污染治理措施后，污染物排放浓度可满足相应排放标准要求，</w:t>
            </w:r>
            <w:r>
              <w:rPr>
                <w:rFonts w:hint="default" w:ascii="Times New Roman" w:hAnsi="Times New Roman" w:cs="Times New Roman" w:eastAsiaTheme="minorEastAsia"/>
                <w:bCs/>
                <w:color w:val="000000" w:themeColor="text1"/>
                <w:kern w:val="0"/>
                <w:sz w:val="24"/>
                <w:lang w:val="en-US" w:eastAsia="zh-CN"/>
                <w14:textFill>
                  <w14:solidFill>
                    <w14:schemeClr w14:val="tx1"/>
                  </w14:solidFill>
                </w14:textFill>
              </w:rPr>
              <w:t>废气处理设施合理可行，</w:t>
            </w:r>
            <w:r>
              <w:rPr>
                <w:rFonts w:hint="default" w:ascii="Times New Roman" w:hAnsi="Times New Roman" w:cs="Times New Roman" w:eastAsiaTheme="minorEastAsia"/>
                <w:bCs/>
                <w:color w:val="000000" w:themeColor="text1"/>
                <w:kern w:val="0"/>
                <w:sz w:val="24"/>
                <w14:textFill>
                  <w14:solidFill>
                    <w14:schemeClr w14:val="tx1"/>
                  </w14:solidFill>
                </w14:textFill>
              </w:rPr>
              <w:t>运营期废气排放</w:t>
            </w:r>
            <w:r>
              <w:rPr>
                <w:rFonts w:hint="default" w:ascii="Times New Roman" w:hAnsi="Times New Roman" w:cs="Times New Roman" w:eastAsiaTheme="minorEastAsia"/>
                <w:color w:val="000000" w:themeColor="text1"/>
                <w:sz w:val="24"/>
                <w14:textFill>
                  <w14:solidFill>
                    <w14:schemeClr w14:val="tx1"/>
                  </w14:solidFill>
                </w14:textFill>
              </w:rPr>
              <w:t>对周围大气环境的影响较小。</w:t>
            </w:r>
          </w:p>
          <w:p w14:paraId="5EF6390E">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val="0"/>
                <w:color w:val="000000" w:themeColor="text1"/>
                <w:spacing w:val="0"/>
                <w:kern w:val="21"/>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kern w:val="21"/>
                <w:sz w:val="24"/>
                <w:szCs w:val="24"/>
                <w:lang w:val="en-US" w:eastAsia="zh-CN"/>
                <w14:textFill>
                  <w14:solidFill>
                    <w14:schemeClr w14:val="tx1"/>
                  </w14:solidFill>
                </w14:textFill>
              </w:rPr>
              <w:t>4.2.2 废水环境影响和保护措施</w:t>
            </w:r>
          </w:p>
          <w:p w14:paraId="21997541">
            <w:pPr>
              <w:keepNext w:val="0"/>
              <w:keepLines w:val="0"/>
              <w:pageBreakBefore w:val="0"/>
              <w:widowControl w:val="0"/>
              <w:kinsoku/>
              <w:wordWrap/>
              <w:overflowPunct/>
              <w:autoSpaceDE/>
              <w:autoSpaceDN/>
              <w:bidi w:val="0"/>
              <w:adjustRightInd w:val="0"/>
              <w:snapToGrid w:val="0"/>
              <w:spacing w:line="360" w:lineRule="auto"/>
              <w:ind w:left="0" w:leftChars="0" w:right="0" w:rightChars="0" w:firstLine="482" w:firstLineChars="200"/>
              <w:rPr>
                <w:rFonts w:ascii="Times New Roman" w:hAnsi="Times New Roman" w:eastAsiaTheme="minorEastAsia"/>
                <w:b/>
                <w:bCs/>
                <w:color w:val="000000" w:themeColor="text1"/>
                <w:sz w:val="24"/>
                <w:szCs w:val="32"/>
                <w14:textFill>
                  <w14:solidFill>
                    <w14:schemeClr w14:val="tx1"/>
                  </w14:solidFill>
                </w14:textFill>
              </w:rPr>
            </w:pPr>
            <w:r>
              <w:rPr>
                <w:rFonts w:hint="eastAsia" w:ascii="Times New Roman" w:hAnsi="Times New Roman" w:eastAsiaTheme="minorEastAsia"/>
                <w:b/>
                <w:bCs/>
                <w:color w:val="000000" w:themeColor="text1"/>
                <w:sz w:val="24"/>
                <w:szCs w:val="32"/>
                <w:lang w:val="en-US" w:eastAsia="zh-CN"/>
                <w14:textFill>
                  <w14:solidFill>
                    <w14:schemeClr w14:val="tx1"/>
                  </w14:solidFill>
                </w14:textFill>
              </w:rPr>
              <w:t>1.</w:t>
            </w:r>
            <w:r>
              <w:rPr>
                <w:rFonts w:hint="eastAsia" w:ascii="Times New Roman" w:hAnsi="Times New Roman" w:eastAsiaTheme="minorEastAsia"/>
                <w:b/>
                <w:bCs/>
                <w:color w:val="000000" w:themeColor="text1"/>
                <w:sz w:val="24"/>
                <w:szCs w:val="32"/>
                <w14:textFill>
                  <w14:solidFill>
                    <w14:schemeClr w14:val="tx1"/>
                  </w14:solidFill>
                </w14:textFill>
              </w:rPr>
              <w:t>废水污染物排放源</w:t>
            </w:r>
          </w:p>
          <w:p w14:paraId="0EC1858B">
            <w:pPr>
              <w:keepNext w:val="0"/>
              <w:keepLines w:val="0"/>
              <w:pageBreakBefore w:val="0"/>
              <w:widowControl w:val="0"/>
              <w:kinsoku/>
              <w:wordWrap/>
              <w:overflowPunct/>
              <w:autoSpaceDE/>
              <w:autoSpaceDN/>
              <w:bidi w:val="0"/>
              <w:adjustRightInd w:val="0"/>
              <w:snapToGrid w:val="0"/>
              <w:spacing w:line="360" w:lineRule="auto"/>
              <w:ind w:left="0" w:leftChars="0" w:right="0" w:rightChars="0" w:firstLine="480" w:firstLineChars="200"/>
              <w:rPr>
                <w:rFonts w:hint="eastAsia" w:ascii="Times New Roman" w:hAnsi="Times New Roman" w:eastAsia="宋体" w:cs="宋体"/>
                <w:color w:val="000000" w:themeColor="text1"/>
                <w:sz w:val="24"/>
                <w:szCs w:val="22"/>
                <w:lang w:val="en-US" w:eastAsia="zh-CN"/>
                <w14:textFill>
                  <w14:solidFill>
                    <w14:schemeClr w14:val="tx1"/>
                  </w14:solidFill>
                </w14:textFill>
              </w:rPr>
            </w:pPr>
            <w:r>
              <w:rPr>
                <w:rFonts w:hint="eastAsia" w:cs="Times New Roman"/>
                <w:snapToGrid w:val="0"/>
                <w:color w:val="000000" w:themeColor="text1"/>
                <w:sz w:val="24"/>
                <w:lang w:val="en-US" w:eastAsia="zh-CN"/>
                <w14:textFill>
                  <w14:solidFill>
                    <w14:schemeClr w14:val="tx1"/>
                  </w14:solidFill>
                </w14:textFill>
              </w:rPr>
              <w:t>本项目</w:t>
            </w:r>
            <w:r>
              <w:rPr>
                <w:rFonts w:hint="default" w:ascii="Times New Roman" w:hAnsi="Times New Roman" w:eastAsia="宋体" w:cs="Times New Roman"/>
                <w:snapToGrid w:val="0"/>
                <w:color w:val="000000" w:themeColor="text1"/>
                <w:sz w:val="24"/>
                <w14:textFill>
                  <w14:solidFill>
                    <w14:schemeClr w14:val="tx1"/>
                  </w14:solidFill>
                </w14:textFill>
              </w:rPr>
              <w:t>产生的污水主要为</w:t>
            </w:r>
            <w:r>
              <w:rPr>
                <w:rFonts w:hint="eastAsia" w:ascii="Times New Roman" w:hAnsi="Times New Roman" w:eastAsia="宋体" w:cs="Times New Roman"/>
                <w:snapToGrid w:val="0"/>
                <w:color w:val="000000" w:themeColor="text1"/>
                <w:sz w:val="24"/>
                <w:lang w:eastAsia="zh-CN"/>
                <w14:textFill>
                  <w14:solidFill>
                    <w14:schemeClr w14:val="tx1"/>
                  </w14:solidFill>
                </w14:textFill>
              </w:rPr>
              <w:t>生活污水</w:t>
            </w:r>
            <w:r>
              <w:rPr>
                <w:rFonts w:hint="eastAsia" w:cs="Times New Roman"/>
                <w:snapToGrid w:val="0"/>
                <w:color w:val="000000" w:themeColor="text1"/>
                <w:sz w:val="24"/>
                <w:lang w:val="en-US" w:eastAsia="zh-CN"/>
                <w14:textFill>
                  <w14:solidFill>
                    <w14:schemeClr w14:val="tx1"/>
                  </w14:solidFill>
                </w14:textFill>
              </w:rPr>
              <w:t>和洗车废水</w:t>
            </w:r>
            <w:r>
              <w:rPr>
                <w:rFonts w:hint="default" w:ascii="Times New Roman" w:hAnsi="Times New Roman" w:eastAsia="宋体" w:cs="Times New Roman"/>
                <w:snapToGrid w:val="0"/>
                <w:color w:val="000000" w:themeColor="text1"/>
                <w:sz w:val="24"/>
                <w14:textFill>
                  <w14:solidFill>
                    <w14:schemeClr w14:val="tx1"/>
                  </w14:solidFill>
                </w14:textFill>
              </w:rPr>
              <w:t>，</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项目生活用水量约为</w:t>
            </w:r>
            <w:r>
              <w:rPr>
                <w:rFonts w:hint="eastAsia" w:cs="Times New Roman"/>
                <w:snapToGrid w:val="0"/>
                <w:color w:val="000000" w:themeColor="text1"/>
                <w:kern w:val="0"/>
                <w:sz w:val="24"/>
                <w:szCs w:val="22"/>
                <w:lang w:val="en-US" w:eastAsia="zh-CN"/>
                <w14:textFill>
                  <w14:solidFill>
                    <w14:schemeClr w14:val="tx1"/>
                  </w14:solidFill>
                </w14:textFill>
              </w:rPr>
              <w:t>3.25</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d（</w:t>
            </w:r>
            <w:r>
              <w:rPr>
                <w:rFonts w:hint="eastAsia" w:cs="Times New Roman"/>
                <w:snapToGrid w:val="0"/>
                <w:color w:val="000000" w:themeColor="text1"/>
                <w:kern w:val="0"/>
                <w:sz w:val="24"/>
                <w:szCs w:val="22"/>
                <w:lang w:val="en-US" w:eastAsia="zh-CN"/>
                <w14:textFill>
                  <w14:solidFill>
                    <w14:schemeClr w14:val="tx1"/>
                  </w14:solidFill>
                </w14:textFill>
              </w:rPr>
              <w:t>1186.25</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/a</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生活污水按生活用水量的8</w:t>
            </w:r>
            <w:r>
              <w:rPr>
                <w:rFonts w:hint="eastAsia"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0</w:t>
            </w:r>
            <w:r>
              <w:rPr>
                <w:rFonts w:hint="default"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%计</w:t>
            </w:r>
            <w:r>
              <w:rPr>
                <w:rFonts w:hint="eastAsia" w:ascii="Times New Roman" w:hAnsi="Times New Roman" w:cs="Times New Roman"/>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则生活污水产生量为</w:t>
            </w:r>
            <w:r>
              <w:rPr>
                <w:rFonts w:hint="eastAsia" w:cs="Times New Roman"/>
                <w:snapToGrid w:val="0"/>
                <w:color w:val="000000" w:themeColor="text1"/>
                <w:kern w:val="0"/>
                <w:sz w:val="24"/>
                <w:szCs w:val="22"/>
                <w:lang w:val="en-US" w:eastAsia="zh-CN"/>
                <w14:textFill>
                  <w14:solidFill>
                    <w14:schemeClr w14:val="tx1"/>
                  </w14:solidFill>
                </w14:textFill>
              </w:rPr>
              <w:t>2.66</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d（</w:t>
            </w:r>
            <w:r>
              <w:rPr>
                <w:rFonts w:hint="eastAsia" w:cs="Times New Roman"/>
                <w:snapToGrid w:val="0"/>
                <w:color w:val="000000" w:themeColor="text1"/>
                <w:kern w:val="0"/>
                <w:sz w:val="24"/>
                <w:szCs w:val="22"/>
                <w:lang w:val="en-US" w:eastAsia="zh-CN"/>
                <w14:textFill>
                  <w14:solidFill>
                    <w14:schemeClr w14:val="tx1"/>
                  </w14:solidFill>
                </w14:textFill>
              </w:rPr>
              <w:t>970.9</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m</w:t>
            </w:r>
            <w:r>
              <w:rPr>
                <w:rFonts w:hint="default" w:ascii="Times New Roman" w:hAnsi="Times New Roman" w:cs="Times New Roman"/>
                <w:snapToGrid w:val="0"/>
                <w:color w:val="000000" w:themeColor="text1"/>
                <w:kern w:val="0"/>
                <w:sz w:val="24"/>
                <w:szCs w:val="22"/>
                <w:vertAlign w:val="superscript"/>
                <w:lang w:eastAsia="zh-CN"/>
                <w14:textFill>
                  <w14:solidFill>
                    <w14:schemeClr w14:val="tx1"/>
                  </w14:solidFill>
                </w14:textFill>
              </w:rPr>
              <w:t>3</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/a</w:t>
            </w:r>
            <w:r>
              <w:rPr>
                <w:rFonts w:hint="eastAsia" w:ascii="Times New Roman" w:hAnsi="Times New Roman" w:cs="Times New Roman"/>
                <w:snapToGrid w:val="0"/>
                <w:color w:val="000000" w:themeColor="text1"/>
                <w:kern w:val="0"/>
                <w:sz w:val="24"/>
                <w:szCs w:val="22"/>
                <w:lang w:eastAsia="zh-CN"/>
                <w14:textFill>
                  <w14:solidFill>
                    <w14:schemeClr w14:val="tx1"/>
                  </w14:solidFill>
                </w14:textFill>
              </w:rPr>
              <w:t>）</w:t>
            </w:r>
            <w:r>
              <w:rPr>
                <w:rFonts w:hint="eastAsia" w:ascii="Times New Roman" w:hAnsi="Times New Roman" w:eastAsia="宋体" w:cs="Times New Roman"/>
                <w:bCs/>
                <w:color w:val="000000" w:themeColor="text1"/>
                <w:spacing w:val="-10"/>
                <w:sz w:val="24"/>
                <w:szCs w:val="24"/>
                <w:lang w:val="en-US" w:eastAsia="zh-CN"/>
                <w14:textFill>
                  <w14:solidFill>
                    <w14:schemeClr w14:val="tx1"/>
                  </w14:solidFill>
                </w14:textFill>
              </w:rPr>
              <w:t>，其</w:t>
            </w:r>
            <w:r>
              <w:rPr>
                <w:rFonts w:hint="default" w:ascii="Times New Roman" w:hAnsi="Times New Roman" w:eastAsia="宋体" w:cs="Times New Roman"/>
                <w:snapToGrid w:val="0"/>
                <w:color w:val="000000" w:themeColor="text1"/>
                <w:sz w:val="24"/>
                <w14:textFill>
                  <w14:solidFill>
                    <w14:schemeClr w14:val="tx1"/>
                  </w14:solidFill>
                </w14:textFill>
              </w:rPr>
              <w:t>主要污染因子为SS、COD</w:t>
            </w:r>
            <w:r>
              <w:rPr>
                <w:rFonts w:hint="default" w:ascii="Times New Roman" w:hAnsi="Times New Roman" w:eastAsia="宋体" w:cs="Times New Roman"/>
                <w:snapToGrid w:val="0"/>
                <w:color w:val="000000" w:themeColor="text1"/>
                <w:sz w:val="24"/>
                <w:vertAlign w:val="subscript"/>
                <w14:textFill>
                  <w14:solidFill>
                    <w14:schemeClr w14:val="tx1"/>
                  </w14:solidFill>
                </w14:textFill>
              </w:rPr>
              <w:t>Cr</w:t>
            </w:r>
            <w:r>
              <w:rPr>
                <w:rFonts w:hint="default" w:ascii="Times New Roman" w:hAnsi="Times New Roman" w:eastAsia="宋体" w:cs="Times New Roman"/>
                <w:snapToGrid w:val="0"/>
                <w:color w:val="000000" w:themeColor="text1"/>
                <w:sz w:val="24"/>
                <w14:textFill>
                  <w14:solidFill>
                    <w14:schemeClr w14:val="tx1"/>
                  </w14:solidFill>
                </w14:textFill>
              </w:rPr>
              <w:t>、NH</w:t>
            </w:r>
            <w:r>
              <w:rPr>
                <w:rFonts w:hint="default" w:ascii="Times New Roman" w:hAnsi="Times New Roman" w:eastAsia="宋体" w:cs="Times New Roman"/>
                <w:snapToGrid w:val="0"/>
                <w:color w:val="000000" w:themeColor="text1"/>
                <w:sz w:val="24"/>
                <w:vertAlign w:val="subscript"/>
                <w14:textFill>
                  <w14:solidFill>
                    <w14:schemeClr w14:val="tx1"/>
                  </w14:solidFill>
                </w14:textFill>
              </w:rPr>
              <w:t>3</w:t>
            </w:r>
            <w:r>
              <w:rPr>
                <w:rFonts w:hint="default" w:ascii="Times New Roman" w:hAnsi="Times New Roman" w:eastAsia="宋体" w:cs="Times New Roman"/>
                <w:snapToGrid w:val="0"/>
                <w:color w:val="000000" w:themeColor="text1"/>
                <w:sz w:val="24"/>
                <w14:textFill>
                  <w14:solidFill>
                    <w14:schemeClr w14:val="tx1"/>
                  </w14:solidFill>
                </w14:textFill>
              </w:rPr>
              <w:t>-N、BOD</w:t>
            </w:r>
            <w:r>
              <w:rPr>
                <w:rFonts w:hint="default" w:ascii="Times New Roman" w:hAnsi="Times New Roman" w:eastAsia="宋体" w:cs="Times New Roman"/>
                <w:snapToGrid w:val="0"/>
                <w:color w:val="000000" w:themeColor="text1"/>
                <w:sz w:val="24"/>
                <w:vertAlign w:val="subscript"/>
                <w14:textFill>
                  <w14:solidFill>
                    <w14:schemeClr w14:val="tx1"/>
                  </w14:solidFill>
                </w14:textFill>
              </w:rPr>
              <w:t>5</w:t>
            </w:r>
            <w:r>
              <w:rPr>
                <w:rFonts w:hint="default" w:ascii="Times New Roman" w:hAnsi="Times New Roman" w:eastAsia="宋体" w:cs="Times New Roman"/>
                <w:snapToGrid w:val="0"/>
                <w:color w:val="000000" w:themeColor="text1"/>
                <w:sz w:val="24"/>
                <w14:textFill>
                  <w14:solidFill>
                    <w14:schemeClr w14:val="tx1"/>
                  </w14:solidFill>
                </w14:textFill>
              </w:rPr>
              <w:t>等，生活污水</w:t>
            </w:r>
            <w:r>
              <w:rPr>
                <w:rFonts w:hint="eastAsia" w:ascii="Times New Roman" w:hAnsi="Times New Roman" w:eastAsia="宋体" w:cs="Times New Roman"/>
                <w:snapToGrid w:val="0"/>
                <w:color w:val="000000" w:themeColor="text1"/>
                <w:sz w:val="24"/>
                <w:lang w:eastAsia="zh-CN"/>
                <w14:textFill>
                  <w14:solidFill>
                    <w14:schemeClr w14:val="tx1"/>
                  </w14:solidFill>
                </w14:textFill>
              </w:rPr>
              <w:t>排入污水管网，纳入</w:t>
            </w:r>
            <w:r>
              <w:rPr>
                <w:rFonts w:hint="eastAsia" w:cs="Times New Roman"/>
                <w:snapToGrid w:val="0"/>
                <w:color w:val="000000" w:themeColor="text1"/>
                <w:sz w:val="24"/>
                <w:lang w:val="en-US" w:eastAsia="zh-CN"/>
                <w14:textFill>
                  <w14:solidFill>
                    <w14:schemeClr w14:val="tx1"/>
                  </w14:solidFill>
                </w14:textFill>
              </w:rPr>
              <w:t>玛纳斯县城镇污水处理厂</w:t>
            </w:r>
            <w:r>
              <w:rPr>
                <w:rFonts w:hint="default" w:ascii="Times New Roman" w:hAnsi="Times New Roman" w:eastAsia="宋体" w:cs="Times New Roman"/>
                <w:snapToGrid w:val="0"/>
                <w:color w:val="000000" w:themeColor="text1"/>
                <w:sz w:val="24"/>
                <w14:textFill>
                  <w14:solidFill>
                    <w14:schemeClr w14:val="tx1"/>
                  </w14:solidFill>
                </w14:textFill>
              </w:rPr>
              <w:t>处理</w:t>
            </w:r>
            <w:r>
              <w:rPr>
                <w:rFonts w:hint="eastAsia" w:cs="Times New Roman"/>
                <w:snapToGrid w:val="0"/>
                <w:color w:val="000000" w:themeColor="text1"/>
                <w:sz w:val="24"/>
                <w:lang w:eastAsia="zh-CN"/>
                <w14:textFill>
                  <w14:solidFill>
                    <w14:schemeClr w14:val="tx1"/>
                  </w14:solidFill>
                </w14:textFill>
              </w:rPr>
              <w:t>；</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项目</w:t>
            </w:r>
            <w:r>
              <w:rPr>
                <w:rFonts w:hint="eastAsia" w:ascii="Times New Roman" w:hAnsi="Times New Roman" w:cs="Times New Roman"/>
                <w:snapToGrid w:val="0"/>
                <w:color w:val="000000" w:themeColor="text1"/>
                <w:kern w:val="0"/>
                <w:sz w:val="24"/>
                <w:szCs w:val="22"/>
                <w:lang w:val="en-US" w:eastAsia="zh-CN"/>
                <w14:textFill>
                  <w14:solidFill>
                    <w14:schemeClr w14:val="tx1"/>
                  </w14:solidFill>
                </w14:textFill>
              </w:rPr>
              <w:t>洗车</w:t>
            </w:r>
            <w:r>
              <w:rPr>
                <w:rFonts w:hint="default" w:ascii="Times New Roman" w:hAnsi="Times New Roman" w:cs="Times New Roman"/>
                <w:snapToGrid w:val="0"/>
                <w:color w:val="000000" w:themeColor="text1"/>
                <w:kern w:val="0"/>
                <w:sz w:val="24"/>
                <w:szCs w:val="22"/>
                <w:lang w:eastAsia="zh-CN"/>
                <w14:textFill>
                  <w14:solidFill>
                    <w14:schemeClr w14:val="tx1"/>
                  </w14:solidFill>
                </w14:textFill>
              </w:rPr>
              <w:t>用水量约为</w:t>
            </w:r>
            <w:r>
              <w:rPr>
                <w:rFonts w:hint="eastAsia" w:cs="Times New Roman"/>
                <w:snapToGrid w:val="0"/>
                <w:color w:val="0000FF"/>
                <w:kern w:val="0"/>
                <w:sz w:val="24"/>
                <w:szCs w:val="22"/>
                <w:lang w:val="en-US" w:eastAsia="zh-CN"/>
              </w:rPr>
              <w:t>0.54m</w:t>
            </w:r>
            <w:r>
              <w:rPr>
                <w:rFonts w:hint="eastAsia" w:cs="Times New Roman"/>
                <w:snapToGrid w:val="0"/>
                <w:color w:val="0000FF"/>
                <w:kern w:val="0"/>
                <w:sz w:val="24"/>
                <w:szCs w:val="22"/>
                <w:vertAlign w:val="superscript"/>
                <w:lang w:val="en-US" w:eastAsia="zh-CN"/>
              </w:rPr>
              <w:t>3</w:t>
            </w:r>
            <w:r>
              <w:rPr>
                <w:rFonts w:hint="eastAsia" w:cs="Times New Roman"/>
                <w:snapToGrid w:val="0"/>
                <w:color w:val="0000FF"/>
                <w:kern w:val="0"/>
                <w:sz w:val="24"/>
                <w:szCs w:val="22"/>
                <w:lang w:val="en-US" w:eastAsia="zh-CN"/>
              </w:rPr>
              <w:t>/d（197.1m</w:t>
            </w:r>
            <w:r>
              <w:rPr>
                <w:rFonts w:hint="eastAsia" w:cs="Times New Roman"/>
                <w:snapToGrid w:val="0"/>
                <w:color w:val="0000FF"/>
                <w:kern w:val="0"/>
                <w:sz w:val="24"/>
                <w:szCs w:val="22"/>
                <w:vertAlign w:val="superscript"/>
                <w:lang w:val="en-US" w:eastAsia="zh-CN"/>
              </w:rPr>
              <w:t>3</w:t>
            </w:r>
            <w:r>
              <w:rPr>
                <w:rFonts w:hint="eastAsia" w:cs="Times New Roman"/>
                <w:snapToGrid w:val="0"/>
                <w:color w:val="0000FF"/>
                <w:kern w:val="0"/>
                <w:sz w:val="24"/>
                <w:szCs w:val="22"/>
                <w:lang w:val="en-US" w:eastAsia="zh-CN"/>
              </w:rPr>
              <w:t>/a）</w:t>
            </w:r>
            <w:r>
              <w:rPr>
                <w:rFonts w:hint="eastAsia" w:ascii="Times New Roman" w:hAnsi="Times New Roman" w:cs="Times New Roman"/>
                <w:snapToGrid w:val="0"/>
                <w:color w:val="0000FF"/>
                <w:kern w:val="0"/>
                <w:sz w:val="24"/>
                <w:szCs w:val="24"/>
                <w:highlight w:val="none"/>
                <w:lang w:val="en-US" w:eastAsia="zh-CN"/>
              </w:rPr>
              <w:t>，</w:t>
            </w:r>
            <w:r>
              <w:rPr>
                <w:rFonts w:hint="eastAsia" w:cs="Times New Roman"/>
                <w:snapToGrid w:val="0"/>
                <w:color w:val="0000FF"/>
                <w:kern w:val="0"/>
                <w:sz w:val="24"/>
                <w:szCs w:val="22"/>
                <w:lang w:val="en-US" w:eastAsia="zh-CN"/>
              </w:rPr>
              <w:t>洗车废水按洗车用水的80%计，</w:t>
            </w:r>
            <w:r>
              <w:rPr>
                <w:rFonts w:hint="default" w:ascii="Times New Roman" w:hAnsi="Times New Roman" w:eastAsia="宋体" w:cs="Times New Roman"/>
                <w:snapToGrid w:val="0"/>
                <w:color w:val="0000FF"/>
                <w:sz w:val="24"/>
                <w:szCs w:val="24"/>
                <w:lang w:val="en-US" w:eastAsia="zh-CN"/>
              </w:rPr>
              <w:t>则</w:t>
            </w:r>
            <w:r>
              <w:rPr>
                <w:rFonts w:hint="eastAsia" w:ascii="Times New Roman" w:hAnsi="Times New Roman" w:eastAsia="宋体" w:cs="Times New Roman"/>
                <w:snapToGrid w:val="0"/>
                <w:color w:val="0000FF"/>
                <w:sz w:val="24"/>
                <w:szCs w:val="24"/>
                <w:lang w:val="en-US" w:eastAsia="zh-CN"/>
              </w:rPr>
              <w:t>洗车废水</w:t>
            </w:r>
            <w:r>
              <w:rPr>
                <w:rFonts w:hint="default" w:ascii="Times New Roman" w:hAnsi="Times New Roman" w:eastAsia="宋体" w:cs="Times New Roman"/>
                <w:snapToGrid w:val="0"/>
                <w:color w:val="0000FF"/>
                <w:sz w:val="24"/>
                <w:szCs w:val="24"/>
                <w:lang w:val="en-US" w:eastAsia="zh-CN"/>
              </w:rPr>
              <w:t>产生量为</w:t>
            </w:r>
            <w:r>
              <w:rPr>
                <w:rFonts w:hint="eastAsia" w:cs="Times New Roman"/>
                <w:snapToGrid w:val="0"/>
                <w:color w:val="0000FF"/>
                <w:kern w:val="0"/>
                <w:sz w:val="24"/>
                <w:szCs w:val="22"/>
                <w:lang w:val="en-US" w:eastAsia="zh-CN"/>
              </w:rPr>
              <w:t>0.432m</w:t>
            </w:r>
            <w:r>
              <w:rPr>
                <w:rFonts w:hint="eastAsia" w:cs="Times New Roman"/>
                <w:snapToGrid w:val="0"/>
                <w:color w:val="0000FF"/>
                <w:kern w:val="0"/>
                <w:sz w:val="24"/>
                <w:szCs w:val="22"/>
                <w:vertAlign w:val="superscript"/>
                <w:lang w:val="en-US" w:eastAsia="zh-CN"/>
              </w:rPr>
              <w:t>3</w:t>
            </w:r>
            <w:r>
              <w:rPr>
                <w:rFonts w:hint="eastAsia" w:cs="Times New Roman"/>
                <w:snapToGrid w:val="0"/>
                <w:color w:val="0000FF"/>
                <w:kern w:val="0"/>
                <w:sz w:val="24"/>
                <w:szCs w:val="22"/>
                <w:lang w:val="en-US" w:eastAsia="zh-CN"/>
              </w:rPr>
              <w:t>/d（157.68m</w:t>
            </w:r>
            <w:r>
              <w:rPr>
                <w:rFonts w:hint="eastAsia" w:cs="Times New Roman"/>
                <w:snapToGrid w:val="0"/>
                <w:color w:val="0000FF"/>
                <w:kern w:val="0"/>
                <w:sz w:val="24"/>
                <w:szCs w:val="22"/>
                <w:vertAlign w:val="superscript"/>
                <w:lang w:val="en-US" w:eastAsia="zh-CN"/>
              </w:rPr>
              <w:t>3</w:t>
            </w:r>
            <w:r>
              <w:rPr>
                <w:rFonts w:hint="eastAsia" w:cs="Times New Roman"/>
                <w:snapToGrid w:val="0"/>
                <w:color w:val="0000FF"/>
                <w:kern w:val="0"/>
                <w:sz w:val="24"/>
                <w:szCs w:val="22"/>
                <w:lang w:val="en-US" w:eastAsia="zh-CN"/>
              </w:rPr>
              <w:t>/a）</w:t>
            </w: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w:t>
            </w:r>
            <w:r>
              <w:rPr>
                <w:rFonts w:hint="eastAsia" w:cs="Times New Roman" w:eastAsiaTheme="minorEastAsia"/>
                <w:color w:val="0000FF"/>
                <w:sz w:val="24"/>
                <w:szCs w:val="24"/>
                <w:lang w:val="en-US" w:eastAsia="zh-CN"/>
              </w:rPr>
              <w:t>洗车废水</w:t>
            </w:r>
            <w:r>
              <w:rPr>
                <w:rFonts w:hint="eastAsia" w:ascii="Times New Roman" w:hAnsi="Times New Roman" w:cs="Times New Roman" w:eastAsiaTheme="minorEastAsia"/>
                <w:color w:val="0000FF"/>
                <w:sz w:val="24"/>
                <w:szCs w:val="24"/>
                <w:lang w:val="en-US" w:eastAsia="zh-CN"/>
              </w:rPr>
              <w:t>所含主要污染物</w:t>
            </w:r>
            <w:r>
              <w:rPr>
                <w:rFonts w:hint="eastAsia" w:cs="Times New Roman" w:eastAsiaTheme="minorEastAsia"/>
                <w:color w:val="0000FF"/>
                <w:sz w:val="24"/>
                <w:szCs w:val="24"/>
                <w:lang w:val="en-US" w:eastAsia="zh-CN"/>
              </w:rPr>
              <w:t>为石油类和悬浮物，</w:t>
            </w:r>
            <w:r>
              <w:rPr>
                <w:rFonts w:hint="eastAsia" w:ascii="Times New Roman" w:hAnsi="Times New Roman" w:cs="Times New Roman" w:eastAsiaTheme="minorEastAsia"/>
                <w:color w:val="0000FF"/>
                <w:sz w:val="24"/>
                <w:szCs w:val="24"/>
                <w:lang w:val="en-US" w:eastAsia="zh-CN"/>
              </w:rPr>
              <w:t>石油类约为10～50mg/L，悬浮物约为200～500mg/L</w:t>
            </w:r>
            <w:r>
              <w:rPr>
                <w:rFonts w:hint="eastAsia" w:cs="Times New Roman" w:eastAsiaTheme="minorEastAsia"/>
                <w:color w:val="0000FF"/>
                <w:sz w:val="24"/>
                <w:szCs w:val="24"/>
                <w:lang w:val="en-US" w:eastAsia="zh-CN"/>
              </w:rPr>
              <w:t>，经隔油沉淀池（</w:t>
            </w:r>
            <w:r>
              <w:rPr>
                <w:rFonts w:hint="eastAsia" w:cs="Times New Roman"/>
                <w:color w:val="0000FF"/>
                <w:sz w:val="21"/>
                <w:szCs w:val="21"/>
                <w:lang w:val="en-US" w:eastAsia="zh-CN"/>
              </w:rPr>
              <w:t>（</w:t>
            </w:r>
            <w:r>
              <w:rPr>
                <w:rFonts w:hint="eastAsia" w:cs="Times New Roman"/>
                <w:color w:val="0000FF"/>
                <w:sz w:val="24"/>
                <w:szCs w:val="24"/>
                <w:lang w:val="en-US" w:eastAsia="zh-CN"/>
              </w:rPr>
              <w:t>3m</w:t>
            </w:r>
            <w:r>
              <w:rPr>
                <w:rFonts w:hint="eastAsia" w:cs="Times New Roman"/>
                <w:color w:val="0000FF"/>
                <w:sz w:val="24"/>
                <w:szCs w:val="24"/>
                <w:vertAlign w:val="superscript"/>
                <w:lang w:val="en-US" w:eastAsia="zh-CN"/>
              </w:rPr>
              <w:t>3</w:t>
            </w:r>
            <w:r>
              <w:rPr>
                <w:rFonts w:hint="eastAsia" w:cs="Times New Roman"/>
                <w:color w:val="0000FF"/>
                <w:sz w:val="24"/>
                <w:szCs w:val="24"/>
                <w:lang w:val="en-US" w:eastAsia="zh-CN"/>
              </w:rPr>
              <w:t>）</w:t>
            </w:r>
            <w:r>
              <w:rPr>
                <w:rFonts w:hint="eastAsia" w:cs="Times New Roman" w:eastAsiaTheme="minorEastAsia"/>
                <w:color w:val="0000FF"/>
                <w:sz w:val="24"/>
                <w:szCs w:val="24"/>
                <w:lang w:val="en-US" w:eastAsia="zh-CN"/>
              </w:rPr>
              <w:t>）处理后排入市政管网，纳入玛纳斯县城镇污水处理厂处理</w:t>
            </w:r>
            <w:r>
              <w:rPr>
                <w:rFonts w:hint="eastAsia" w:ascii="Times New Roman" w:hAnsi="Times New Roman" w:cs="Times New Roman" w:eastAsiaTheme="minorEastAsia"/>
                <w:color w:val="0000FF"/>
                <w:sz w:val="24"/>
                <w:szCs w:val="24"/>
                <w:lang w:val="en-US" w:eastAsia="zh-CN"/>
              </w:rPr>
              <w:t>。本</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项目生产废水及生活污水排放信息详见下表。</w:t>
            </w:r>
          </w:p>
          <w:p w14:paraId="65624913">
            <w:pPr>
              <w:pStyle w:val="98"/>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表4-</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项目生活污水排放信息一览表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1556"/>
              <w:gridCol w:w="833"/>
              <w:gridCol w:w="792"/>
              <w:gridCol w:w="997"/>
              <w:gridCol w:w="1157"/>
              <w:gridCol w:w="921"/>
              <w:gridCol w:w="954"/>
            </w:tblGrid>
            <w:tr w14:paraId="040BD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pct"/>
                  <w:gridSpan w:val="2"/>
                  <w:tcBorders>
                    <w:tl2br w:val="nil"/>
                    <w:tr2bl w:val="nil"/>
                  </w:tcBorders>
                  <w:vAlign w:val="center"/>
                </w:tcPr>
                <w:p w14:paraId="21B1593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产污环节</w:t>
                  </w:r>
                </w:p>
              </w:tc>
              <w:tc>
                <w:tcPr>
                  <w:tcW w:w="2290" w:type="pct"/>
                  <w:gridSpan w:val="4"/>
                  <w:tcBorders>
                    <w:tl2br w:val="nil"/>
                    <w:tr2bl w:val="nil"/>
                  </w:tcBorders>
                  <w:vAlign w:val="center"/>
                </w:tcPr>
                <w:p w14:paraId="007F550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职工生活</w:t>
                  </w:r>
                </w:p>
              </w:tc>
              <w:tc>
                <w:tcPr>
                  <w:tcW w:w="1135" w:type="pct"/>
                  <w:gridSpan w:val="2"/>
                  <w:tcBorders>
                    <w:tl2br w:val="nil"/>
                    <w:tr2bl w:val="nil"/>
                  </w:tcBorders>
                  <w:vAlign w:val="center"/>
                </w:tcPr>
                <w:p w14:paraId="603FC69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洗车</w:t>
                  </w:r>
                </w:p>
              </w:tc>
            </w:tr>
            <w:tr w14:paraId="628C2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pct"/>
                  <w:gridSpan w:val="2"/>
                  <w:tcBorders>
                    <w:tl2br w:val="nil"/>
                    <w:tr2bl w:val="nil"/>
                  </w:tcBorders>
                  <w:vAlign w:val="center"/>
                </w:tcPr>
                <w:p w14:paraId="0BB15AB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2290" w:type="pct"/>
                  <w:gridSpan w:val="4"/>
                  <w:tcBorders>
                    <w:tl2br w:val="nil"/>
                    <w:tr2bl w:val="nil"/>
                  </w:tcBorders>
                  <w:vAlign w:val="center"/>
                </w:tcPr>
                <w:p w14:paraId="6DBC87A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生活污水</w:t>
                  </w:r>
                </w:p>
              </w:tc>
              <w:tc>
                <w:tcPr>
                  <w:tcW w:w="1135" w:type="pct"/>
                  <w:gridSpan w:val="2"/>
                  <w:tcBorders>
                    <w:tl2br w:val="nil"/>
                    <w:tr2bl w:val="nil"/>
                  </w:tcBorders>
                  <w:vAlign w:val="center"/>
                </w:tcPr>
                <w:p w14:paraId="6EC2EA3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洗车废水</w:t>
                  </w:r>
                </w:p>
              </w:tc>
            </w:tr>
            <w:tr w14:paraId="6268D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pct"/>
                  <w:gridSpan w:val="2"/>
                  <w:tcBorders>
                    <w:tl2br w:val="nil"/>
                    <w:tr2bl w:val="nil"/>
                  </w:tcBorders>
                  <w:vAlign w:val="center"/>
                </w:tcPr>
                <w:p w14:paraId="5569BFF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污染物种类</w:t>
                  </w:r>
                </w:p>
              </w:tc>
              <w:tc>
                <w:tcPr>
                  <w:tcW w:w="505" w:type="pct"/>
                  <w:tcBorders>
                    <w:tl2br w:val="nil"/>
                    <w:tr2bl w:val="nil"/>
                  </w:tcBorders>
                  <w:vAlign w:val="center"/>
                </w:tcPr>
                <w:p w14:paraId="3F9E123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480" w:type="pct"/>
                  <w:tcBorders>
                    <w:tl2br w:val="nil"/>
                    <w:tr2bl w:val="nil"/>
                  </w:tcBorders>
                  <w:vAlign w:val="center"/>
                </w:tcPr>
                <w:p w14:paraId="30BE75C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p>
              </w:tc>
              <w:tc>
                <w:tcPr>
                  <w:tcW w:w="604" w:type="pct"/>
                  <w:tcBorders>
                    <w:tl2br w:val="nil"/>
                    <w:tr2bl w:val="nil"/>
                  </w:tcBorders>
                  <w:vAlign w:val="center"/>
                </w:tcPr>
                <w:p w14:paraId="0A55970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701" w:type="pct"/>
                  <w:tcBorders>
                    <w:tl2br w:val="nil"/>
                    <w:tr2bl w:val="nil"/>
                  </w:tcBorders>
                  <w:vAlign w:val="center"/>
                </w:tcPr>
                <w:p w14:paraId="49C8917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氨氮</w:t>
                  </w:r>
                </w:p>
              </w:tc>
              <w:tc>
                <w:tcPr>
                  <w:tcW w:w="558" w:type="pct"/>
                  <w:tcBorders>
                    <w:tl2br w:val="nil"/>
                    <w:tr2bl w:val="nil"/>
                  </w:tcBorders>
                  <w:vAlign w:val="center"/>
                </w:tcPr>
                <w:p w14:paraId="3D3A466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577" w:type="pct"/>
                  <w:tcBorders>
                    <w:tl2br w:val="nil"/>
                    <w:tr2bl w:val="nil"/>
                  </w:tcBorders>
                  <w:vAlign w:val="center"/>
                </w:tcPr>
                <w:p w14:paraId="4A5C39C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石油类</w:t>
                  </w:r>
                </w:p>
              </w:tc>
            </w:tr>
            <w:tr w14:paraId="5D6CE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pct"/>
                  <w:gridSpan w:val="2"/>
                  <w:tcBorders>
                    <w:tl2br w:val="nil"/>
                    <w:tr2bl w:val="nil"/>
                  </w:tcBorders>
                  <w:vAlign w:val="center"/>
                </w:tcPr>
                <w:p w14:paraId="088A360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污染物产生浓度（mg/L）</w:t>
                  </w:r>
                </w:p>
              </w:tc>
              <w:tc>
                <w:tcPr>
                  <w:tcW w:w="505" w:type="pct"/>
                  <w:tcBorders>
                    <w:tl2br w:val="nil"/>
                    <w:tr2bl w:val="nil"/>
                  </w:tcBorders>
                  <w:vAlign w:val="center"/>
                </w:tcPr>
                <w:p w14:paraId="3406440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277</w:t>
                  </w:r>
                </w:p>
              </w:tc>
              <w:tc>
                <w:tcPr>
                  <w:tcW w:w="480" w:type="pct"/>
                  <w:tcBorders>
                    <w:tl2br w:val="nil"/>
                    <w:tr2bl w:val="nil"/>
                  </w:tcBorders>
                  <w:vAlign w:val="center"/>
                </w:tcPr>
                <w:p w14:paraId="2631EED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180</w:t>
                  </w:r>
                </w:p>
              </w:tc>
              <w:tc>
                <w:tcPr>
                  <w:tcW w:w="604" w:type="pct"/>
                  <w:tcBorders>
                    <w:tl2br w:val="nil"/>
                    <w:tr2bl w:val="nil"/>
                  </w:tcBorders>
                  <w:vAlign w:val="center"/>
                </w:tcPr>
                <w:p w14:paraId="232D867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175</w:t>
                  </w:r>
                </w:p>
              </w:tc>
              <w:tc>
                <w:tcPr>
                  <w:tcW w:w="701" w:type="pct"/>
                  <w:tcBorders>
                    <w:tl2br w:val="nil"/>
                    <w:tr2bl w:val="nil"/>
                  </w:tcBorders>
                  <w:vAlign w:val="center"/>
                </w:tcPr>
                <w:p w14:paraId="6CBDD15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c>
                <w:tcPr>
                  <w:tcW w:w="558" w:type="pct"/>
                  <w:tcBorders>
                    <w:tl2br w:val="nil"/>
                    <w:tr2bl w:val="nil"/>
                  </w:tcBorders>
                  <w:vAlign w:val="center"/>
                </w:tcPr>
                <w:p w14:paraId="7AFD4A1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500</w:t>
                  </w:r>
                </w:p>
              </w:tc>
              <w:tc>
                <w:tcPr>
                  <w:tcW w:w="577" w:type="pct"/>
                  <w:tcBorders>
                    <w:tl2br w:val="nil"/>
                    <w:tr2bl w:val="nil"/>
                  </w:tcBorders>
                  <w:vAlign w:val="center"/>
                </w:tcPr>
                <w:p w14:paraId="6564B2F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r>
            <w:tr w14:paraId="54CE9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vMerge w:val="restart"/>
                  <w:tcBorders>
                    <w:tl2br w:val="nil"/>
                    <w:tr2bl w:val="nil"/>
                  </w:tcBorders>
                  <w:vAlign w:val="center"/>
                </w:tcPr>
                <w:p w14:paraId="4999DBE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w:t>
                  </w:r>
                </w:p>
                <w:p w14:paraId="60CC08A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设施</w:t>
                  </w:r>
                </w:p>
              </w:tc>
              <w:tc>
                <w:tcPr>
                  <w:tcW w:w="943" w:type="pct"/>
                  <w:tcBorders>
                    <w:tl2br w:val="nil"/>
                    <w:tr2bl w:val="nil"/>
                  </w:tcBorders>
                  <w:vAlign w:val="center"/>
                </w:tcPr>
                <w:p w14:paraId="2ACBF87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处理能力</w:t>
                  </w:r>
                </w:p>
              </w:tc>
              <w:tc>
                <w:tcPr>
                  <w:tcW w:w="2290" w:type="pct"/>
                  <w:gridSpan w:val="4"/>
                  <w:tcBorders>
                    <w:tl2br w:val="nil"/>
                    <w:tr2bl w:val="nil"/>
                  </w:tcBorders>
                  <w:vAlign w:val="center"/>
                </w:tcPr>
                <w:p w14:paraId="7812B1C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58" w:type="pct"/>
                  <w:tcBorders>
                    <w:tl2br w:val="nil"/>
                    <w:tr2bl w:val="nil"/>
                  </w:tcBorders>
                  <w:vAlign w:val="center"/>
                </w:tcPr>
                <w:p w14:paraId="49651B9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577" w:type="pct"/>
                  <w:tcBorders>
                    <w:tl2br w:val="nil"/>
                    <w:tr2bl w:val="nil"/>
                  </w:tcBorders>
                  <w:vAlign w:val="center"/>
                </w:tcPr>
                <w:p w14:paraId="2DEC7D5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08F56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vMerge w:val="continue"/>
                  <w:tcBorders>
                    <w:tl2br w:val="nil"/>
                    <w:tr2bl w:val="nil"/>
                  </w:tcBorders>
                  <w:vAlign w:val="center"/>
                </w:tcPr>
                <w:p w14:paraId="3AEAC35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43" w:type="pct"/>
                  <w:tcBorders>
                    <w:tl2br w:val="nil"/>
                    <w:tr2bl w:val="nil"/>
                  </w:tcBorders>
                  <w:vAlign w:val="center"/>
                </w:tcPr>
                <w:p w14:paraId="7EC52C4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治理工艺</w:t>
                  </w:r>
                </w:p>
              </w:tc>
              <w:tc>
                <w:tcPr>
                  <w:tcW w:w="2290" w:type="pct"/>
                  <w:gridSpan w:val="4"/>
                  <w:tcBorders>
                    <w:tl2br w:val="nil"/>
                    <w:tr2bl w:val="nil"/>
                  </w:tcBorders>
                  <w:vAlign w:val="center"/>
                </w:tcPr>
                <w:p w14:paraId="048803B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市政管网+</w:t>
                  </w:r>
                  <w:r>
                    <w:rPr>
                      <w:rFonts w:hint="default" w:ascii="Times New Roman" w:hAnsi="Times New Roman" w:eastAsia="宋体" w:cs="Times New Roman"/>
                      <w:color w:val="000000" w:themeColor="text1"/>
                      <w:sz w:val="21"/>
                      <w:szCs w:val="21"/>
                      <w:lang w:eastAsia="zh-CN"/>
                      <w14:textFill>
                        <w14:solidFill>
                          <w14:schemeClr w14:val="tx1"/>
                        </w14:solidFill>
                      </w14:textFill>
                    </w:rPr>
                    <w:t>污水处理厂</w:t>
                  </w:r>
                </w:p>
              </w:tc>
              <w:tc>
                <w:tcPr>
                  <w:tcW w:w="1135" w:type="pct"/>
                  <w:gridSpan w:val="2"/>
                  <w:tcBorders>
                    <w:tl2br w:val="nil"/>
                    <w:tr2bl w:val="nil"/>
                  </w:tcBorders>
                  <w:vAlign w:val="center"/>
                </w:tcPr>
                <w:p w14:paraId="3CFB223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隔油沉淀池（3m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w:t>
                  </w:r>
                </w:p>
              </w:tc>
            </w:tr>
            <w:tr w14:paraId="18CFF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vMerge w:val="continue"/>
                  <w:tcBorders>
                    <w:tl2br w:val="nil"/>
                    <w:tr2bl w:val="nil"/>
                  </w:tcBorders>
                  <w:vAlign w:val="center"/>
                </w:tcPr>
                <w:p w14:paraId="4D3D630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43" w:type="pct"/>
                  <w:tcBorders>
                    <w:tl2br w:val="nil"/>
                    <w:tr2bl w:val="nil"/>
                  </w:tcBorders>
                  <w:vAlign w:val="center"/>
                </w:tcPr>
                <w:p w14:paraId="0BBDF37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治理效率</w:t>
                  </w:r>
                </w:p>
              </w:tc>
              <w:tc>
                <w:tcPr>
                  <w:tcW w:w="505" w:type="pct"/>
                  <w:tcBorders>
                    <w:tl2br w:val="nil"/>
                    <w:tr2bl w:val="nil"/>
                  </w:tcBorders>
                  <w:vAlign w:val="center"/>
                </w:tcPr>
                <w:p w14:paraId="0D50DA8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0" w:type="pct"/>
                  <w:tcBorders>
                    <w:tl2br w:val="nil"/>
                    <w:tr2bl w:val="nil"/>
                  </w:tcBorders>
                  <w:vAlign w:val="center"/>
                </w:tcPr>
                <w:p w14:paraId="0F46A54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04" w:type="pct"/>
                  <w:tcBorders>
                    <w:tl2br w:val="nil"/>
                    <w:tr2bl w:val="nil"/>
                  </w:tcBorders>
                  <w:vAlign w:val="center"/>
                </w:tcPr>
                <w:p w14:paraId="57CF516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2C5514D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58" w:type="pct"/>
                  <w:tcBorders>
                    <w:tl2br w:val="nil"/>
                    <w:tr2bl w:val="nil"/>
                  </w:tcBorders>
                  <w:shd w:val="clear" w:color="auto" w:fill="auto"/>
                  <w:vAlign w:val="center"/>
                </w:tcPr>
                <w:p w14:paraId="051BB19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w:t>
                  </w:r>
                </w:p>
              </w:tc>
              <w:tc>
                <w:tcPr>
                  <w:tcW w:w="577" w:type="pct"/>
                  <w:tcBorders>
                    <w:tl2br w:val="nil"/>
                    <w:tr2bl w:val="nil"/>
                  </w:tcBorders>
                  <w:shd w:val="clear" w:color="auto" w:fill="auto"/>
                  <w:vAlign w:val="center"/>
                </w:tcPr>
                <w:p w14:paraId="31FD224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98%</w:t>
                  </w:r>
                </w:p>
              </w:tc>
            </w:tr>
            <w:tr w14:paraId="102F3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vMerge w:val="continue"/>
                  <w:tcBorders>
                    <w:tl2br w:val="nil"/>
                    <w:tr2bl w:val="nil"/>
                  </w:tcBorders>
                  <w:vAlign w:val="center"/>
                </w:tcPr>
                <w:p w14:paraId="2D9B9B4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43" w:type="pct"/>
                  <w:tcBorders>
                    <w:tl2br w:val="nil"/>
                    <w:tr2bl w:val="nil"/>
                  </w:tcBorders>
                  <w:vAlign w:val="center"/>
                </w:tcPr>
                <w:p w14:paraId="77AB979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是否可行技术</w:t>
                  </w:r>
                </w:p>
              </w:tc>
              <w:tc>
                <w:tcPr>
                  <w:tcW w:w="2290" w:type="pct"/>
                  <w:gridSpan w:val="4"/>
                  <w:tcBorders>
                    <w:tl2br w:val="nil"/>
                    <w:tr2bl w:val="nil"/>
                  </w:tcBorders>
                  <w:vAlign w:val="center"/>
                </w:tcPr>
                <w:p w14:paraId="372EF23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58" w:type="pct"/>
                  <w:tcBorders>
                    <w:tl2br w:val="nil"/>
                    <w:tr2bl w:val="nil"/>
                  </w:tcBorders>
                  <w:vAlign w:val="center"/>
                </w:tcPr>
                <w:p w14:paraId="48ED332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是</w:t>
                  </w:r>
                </w:p>
              </w:tc>
              <w:tc>
                <w:tcPr>
                  <w:tcW w:w="577" w:type="pct"/>
                  <w:tcBorders>
                    <w:tl2br w:val="nil"/>
                    <w:tr2bl w:val="nil"/>
                  </w:tcBorders>
                  <w:vAlign w:val="center"/>
                </w:tcPr>
                <w:p w14:paraId="6C5DB7A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是</w:t>
                  </w:r>
                </w:p>
              </w:tc>
            </w:tr>
            <w:tr w14:paraId="5E8B4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pct"/>
                  <w:gridSpan w:val="2"/>
                  <w:tcBorders>
                    <w:tl2br w:val="nil"/>
                    <w:tr2bl w:val="nil"/>
                  </w:tcBorders>
                  <w:vAlign w:val="center"/>
                </w:tcPr>
                <w:p w14:paraId="0D431AF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废水排放量（t/a）</w:t>
                  </w:r>
                </w:p>
              </w:tc>
              <w:tc>
                <w:tcPr>
                  <w:tcW w:w="2290" w:type="pct"/>
                  <w:gridSpan w:val="4"/>
                  <w:tcBorders>
                    <w:tl2br w:val="nil"/>
                    <w:tr2bl w:val="nil"/>
                  </w:tcBorders>
                  <w:vAlign w:val="center"/>
                </w:tcPr>
                <w:p w14:paraId="2B6A37A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949</w:t>
                  </w:r>
                </w:p>
              </w:tc>
              <w:tc>
                <w:tcPr>
                  <w:tcW w:w="1135" w:type="pct"/>
                  <w:gridSpan w:val="2"/>
                  <w:tcBorders>
                    <w:tl2br w:val="nil"/>
                    <w:tr2bl w:val="nil"/>
                  </w:tcBorders>
                  <w:vAlign w:val="center"/>
                </w:tcPr>
                <w:p w14:paraId="58DCCB3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157.68</w:t>
                  </w:r>
                </w:p>
              </w:tc>
            </w:tr>
            <w:tr w14:paraId="53901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pct"/>
                  <w:gridSpan w:val="2"/>
                  <w:tcBorders>
                    <w:tl2br w:val="nil"/>
                    <w:tr2bl w:val="nil"/>
                  </w:tcBorders>
                  <w:vAlign w:val="center"/>
                </w:tcPr>
                <w:p w14:paraId="7FA803C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污染物排放浓度（mg/L）</w:t>
                  </w:r>
                </w:p>
              </w:tc>
              <w:tc>
                <w:tcPr>
                  <w:tcW w:w="505" w:type="pct"/>
                  <w:tcBorders>
                    <w:tl2br w:val="nil"/>
                    <w:tr2bl w:val="nil"/>
                  </w:tcBorders>
                  <w:vAlign w:val="center"/>
                </w:tcPr>
                <w:p w14:paraId="7516FFC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277</w:t>
                  </w:r>
                </w:p>
              </w:tc>
              <w:tc>
                <w:tcPr>
                  <w:tcW w:w="480" w:type="pct"/>
                  <w:tcBorders>
                    <w:tl2br w:val="nil"/>
                    <w:tr2bl w:val="nil"/>
                  </w:tcBorders>
                  <w:vAlign w:val="center"/>
                </w:tcPr>
                <w:p w14:paraId="7262C7F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180</w:t>
                  </w:r>
                </w:p>
              </w:tc>
              <w:tc>
                <w:tcPr>
                  <w:tcW w:w="604" w:type="pct"/>
                  <w:tcBorders>
                    <w:tl2br w:val="nil"/>
                    <w:tr2bl w:val="nil"/>
                  </w:tcBorders>
                  <w:vAlign w:val="center"/>
                </w:tcPr>
                <w:p w14:paraId="3A7B0EA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175</w:t>
                  </w:r>
                </w:p>
              </w:tc>
              <w:tc>
                <w:tcPr>
                  <w:tcW w:w="701" w:type="pct"/>
                  <w:tcBorders>
                    <w:tl2br w:val="nil"/>
                    <w:tr2bl w:val="nil"/>
                  </w:tcBorders>
                  <w:vAlign w:val="center"/>
                </w:tcPr>
                <w:p w14:paraId="6D3EA18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c>
                <w:tcPr>
                  <w:tcW w:w="558" w:type="pct"/>
                  <w:tcBorders>
                    <w:tl2br w:val="nil"/>
                    <w:tr2bl w:val="nil"/>
                  </w:tcBorders>
                  <w:vAlign w:val="center"/>
                </w:tcPr>
                <w:p w14:paraId="0067702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75</w:t>
                  </w:r>
                </w:p>
              </w:tc>
              <w:tc>
                <w:tcPr>
                  <w:tcW w:w="577" w:type="pct"/>
                  <w:tcBorders>
                    <w:tl2br w:val="nil"/>
                    <w:tr2bl w:val="nil"/>
                  </w:tcBorders>
                  <w:vAlign w:val="center"/>
                </w:tcPr>
                <w:p w14:paraId="7B38C22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r>
            <w:tr w14:paraId="2093C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pct"/>
                  <w:gridSpan w:val="2"/>
                  <w:tcBorders>
                    <w:tl2br w:val="nil"/>
                    <w:tr2bl w:val="nil"/>
                  </w:tcBorders>
                  <w:vAlign w:val="center"/>
                </w:tcPr>
                <w:p w14:paraId="0197443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污染物排放量（t/a）</w:t>
                  </w:r>
                </w:p>
              </w:tc>
              <w:tc>
                <w:tcPr>
                  <w:tcW w:w="505" w:type="pct"/>
                  <w:tcBorders>
                    <w:tl2br w:val="nil"/>
                    <w:tr2bl w:val="nil"/>
                  </w:tcBorders>
                  <w:vAlign w:val="center"/>
                </w:tcPr>
                <w:p w14:paraId="46E54FE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0.26</w:t>
                  </w:r>
                  <w:r>
                    <w:rPr>
                      <w:rFonts w:hint="eastAsia" w:cs="Times New Roman"/>
                      <w:i w:val="0"/>
                      <w:iCs w:val="0"/>
                      <w:color w:val="000000" w:themeColor="text1"/>
                      <w:kern w:val="0"/>
                      <w:sz w:val="21"/>
                      <w:szCs w:val="21"/>
                      <w:u w:val="none"/>
                      <w:lang w:val="en-US" w:eastAsia="zh-CN" w:bidi="ar"/>
                      <w14:textFill>
                        <w14:solidFill>
                          <w14:schemeClr w14:val="tx1"/>
                        </w14:solidFill>
                      </w14:textFill>
                    </w:rPr>
                    <w:t>3</w:t>
                  </w:r>
                </w:p>
              </w:tc>
              <w:tc>
                <w:tcPr>
                  <w:tcW w:w="480" w:type="pct"/>
                  <w:tcBorders>
                    <w:tl2br w:val="nil"/>
                    <w:tr2bl w:val="nil"/>
                  </w:tcBorders>
                  <w:vAlign w:val="center"/>
                </w:tcPr>
                <w:p w14:paraId="5863B0C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0.17</w:t>
                  </w:r>
                  <w:r>
                    <w:rPr>
                      <w:rFonts w:hint="eastAsia" w:cs="Times New Roman"/>
                      <w:i w:val="0"/>
                      <w:iCs w:val="0"/>
                      <w:color w:val="000000" w:themeColor="text1"/>
                      <w:kern w:val="0"/>
                      <w:sz w:val="21"/>
                      <w:szCs w:val="21"/>
                      <w:u w:val="none"/>
                      <w:lang w:val="en-US" w:eastAsia="zh-CN" w:bidi="ar"/>
                      <w14:textFill>
                        <w14:solidFill>
                          <w14:schemeClr w14:val="tx1"/>
                        </w14:solidFill>
                      </w14:textFill>
                    </w:rPr>
                    <w:t>1</w:t>
                  </w:r>
                </w:p>
              </w:tc>
              <w:tc>
                <w:tcPr>
                  <w:tcW w:w="604" w:type="pct"/>
                  <w:tcBorders>
                    <w:tl2br w:val="nil"/>
                    <w:tr2bl w:val="nil"/>
                  </w:tcBorders>
                  <w:vAlign w:val="center"/>
                </w:tcPr>
                <w:p w14:paraId="383ADAB4">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w:t>
                  </w:r>
                  <w:r>
                    <w:rPr>
                      <w:rFonts w:hint="eastAsia" w:cs="Times New Roman"/>
                      <w:i w:val="0"/>
                      <w:iCs w:val="0"/>
                      <w:color w:val="000000" w:themeColor="text1"/>
                      <w:kern w:val="0"/>
                      <w:sz w:val="21"/>
                      <w:szCs w:val="21"/>
                      <w:u w:val="none"/>
                      <w:lang w:val="en-US" w:eastAsia="zh-CN" w:bidi="ar"/>
                      <w14:textFill>
                        <w14:solidFill>
                          <w14:schemeClr w14:val="tx1"/>
                        </w14:solidFill>
                      </w14:textFill>
                    </w:rPr>
                    <w:t>66</w:t>
                  </w:r>
                </w:p>
              </w:tc>
              <w:tc>
                <w:tcPr>
                  <w:tcW w:w="701" w:type="pct"/>
                  <w:tcBorders>
                    <w:tl2br w:val="nil"/>
                    <w:tr2bl w:val="nil"/>
                  </w:tcBorders>
                  <w:vAlign w:val="center"/>
                </w:tcPr>
                <w:p w14:paraId="45184124">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w:t>
                  </w:r>
                  <w:r>
                    <w:rPr>
                      <w:rFonts w:hint="eastAsia" w:cs="Times New Roman"/>
                      <w:i w:val="0"/>
                      <w:iCs w:val="0"/>
                      <w:color w:val="000000" w:themeColor="text1"/>
                      <w:kern w:val="0"/>
                      <w:sz w:val="21"/>
                      <w:szCs w:val="21"/>
                      <w:u w:val="none"/>
                      <w:lang w:val="en-US" w:eastAsia="zh-CN" w:bidi="ar"/>
                      <w14:textFill>
                        <w14:solidFill>
                          <w14:schemeClr w14:val="tx1"/>
                        </w14:solidFill>
                      </w14:textFill>
                    </w:rPr>
                    <w:t>85</w:t>
                  </w:r>
                </w:p>
              </w:tc>
              <w:tc>
                <w:tcPr>
                  <w:tcW w:w="558" w:type="pct"/>
                  <w:tcBorders>
                    <w:tl2br w:val="nil"/>
                    <w:tr2bl w:val="nil"/>
                  </w:tcBorders>
                  <w:vAlign w:val="center"/>
                </w:tcPr>
                <w:p w14:paraId="731216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0.012</w:t>
                  </w:r>
                </w:p>
              </w:tc>
              <w:tc>
                <w:tcPr>
                  <w:tcW w:w="577" w:type="pct"/>
                  <w:tcBorders>
                    <w:tl2br w:val="nil"/>
                    <w:tr2bl w:val="nil"/>
                  </w:tcBorders>
                  <w:vAlign w:val="center"/>
                </w:tcPr>
                <w:p w14:paraId="480B17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0.0002</w:t>
                  </w:r>
                </w:p>
              </w:tc>
            </w:tr>
            <w:tr w14:paraId="3E397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pct"/>
                  <w:gridSpan w:val="2"/>
                  <w:tcBorders>
                    <w:tl2br w:val="nil"/>
                    <w:tr2bl w:val="nil"/>
                  </w:tcBorders>
                  <w:vAlign w:val="center"/>
                </w:tcPr>
                <w:p w14:paraId="457F39D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排放方式</w:t>
                  </w:r>
                </w:p>
              </w:tc>
              <w:tc>
                <w:tcPr>
                  <w:tcW w:w="3426" w:type="pct"/>
                  <w:gridSpan w:val="6"/>
                  <w:tcBorders>
                    <w:tl2br w:val="nil"/>
                    <w:tr2bl w:val="nil"/>
                  </w:tcBorders>
                  <w:vAlign w:val="center"/>
                </w:tcPr>
                <w:p w14:paraId="0ABD8D8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直接排放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间接排放☑</w:t>
                  </w:r>
                </w:p>
              </w:tc>
            </w:tr>
            <w:tr w14:paraId="6FAB9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pct"/>
                  <w:gridSpan w:val="2"/>
                  <w:tcBorders>
                    <w:tl2br w:val="nil"/>
                    <w:tr2bl w:val="nil"/>
                  </w:tcBorders>
                  <w:vAlign w:val="center"/>
                </w:tcPr>
                <w:p w14:paraId="2747506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排放去向</w:t>
                  </w:r>
                </w:p>
              </w:tc>
              <w:tc>
                <w:tcPr>
                  <w:tcW w:w="3426" w:type="pct"/>
                  <w:gridSpan w:val="6"/>
                  <w:tcBorders>
                    <w:tl2br w:val="nil"/>
                    <w:tr2bl w:val="nil"/>
                  </w:tcBorders>
                  <w:vAlign w:val="center"/>
                </w:tcPr>
                <w:p w14:paraId="1626E9F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通过市政污水管网</w:t>
                  </w:r>
                  <w:r>
                    <w:rPr>
                      <w:rFonts w:hint="eastAsia" w:cs="Times New Roman"/>
                      <w:color w:val="000000" w:themeColor="text1"/>
                      <w:sz w:val="21"/>
                      <w:szCs w:val="21"/>
                      <w:lang w:val="en-US" w:eastAsia="zh-CN"/>
                      <w14:textFill>
                        <w14:solidFill>
                          <w14:schemeClr w14:val="tx1"/>
                        </w14:solidFill>
                      </w14:textFill>
                    </w:rPr>
                    <w:t>，纳入玛纳斯县城镇污水处理厂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w:t>
                  </w:r>
                  <w:r>
                    <w:rPr>
                      <w:rFonts w:hint="default" w:ascii="Times New Roman" w:hAnsi="Times New Roman" w:eastAsia="宋体" w:cs="Times New Roman"/>
                      <w:color w:val="000000" w:themeColor="text1"/>
                      <w:sz w:val="21"/>
                      <w:szCs w:val="21"/>
                      <w14:textFill>
                        <w14:solidFill>
                          <w14:schemeClr w14:val="tx1"/>
                        </w14:solidFill>
                      </w14:textFill>
                    </w:rPr>
                    <w:t>后</w:t>
                  </w:r>
                </w:p>
              </w:tc>
            </w:tr>
            <w:tr w14:paraId="5179A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pct"/>
                  <w:gridSpan w:val="2"/>
                  <w:tcBorders>
                    <w:tl2br w:val="nil"/>
                    <w:tr2bl w:val="nil"/>
                  </w:tcBorders>
                  <w:vAlign w:val="center"/>
                </w:tcPr>
                <w:p w14:paraId="054D9A7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排放规律</w:t>
                  </w:r>
                </w:p>
              </w:tc>
              <w:tc>
                <w:tcPr>
                  <w:tcW w:w="3426" w:type="pct"/>
                  <w:gridSpan w:val="6"/>
                  <w:tcBorders>
                    <w:tl2br w:val="nil"/>
                    <w:tr2bl w:val="nil"/>
                  </w:tcBorders>
                  <w:vAlign w:val="center"/>
                </w:tcPr>
                <w:p w14:paraId="5D1AD9D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间断排放，排放期间流量不稳定且无规律，但不属于冲击型排放</w:t>
                  </w:r>
                </w:p>
              </w:tc>
            </w:tr>
            <w:tr w14:paraId="47983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vMerge w:val="restart"/>
                  <w:tcBorders>
                    <w:tl2br w:val="nil"/>
                    <w:tr2bl w:val="nil"/>
                  </w:tcBorders>
                  <w:vAlign w:val="center"/>
                </w:tcPr>
                <w:p w14:paraId="6FB1EC2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排放口基本情况</w:t>
                  </w:r>
                </w:p>
              </w:tc>
              <w:tc>
                <w:tcPr>
                  <w:tcW w:w="943" w:type="pct"/>
                  <w:tcBorders>
                    <w:tl2br w:val="nil"/>
                    <w:tr2bl w:val="nil"/>
                  </w:tcBorders>
                  <w:vAlign w:val="center"/>
                </w:tcPr>
                <w:p w14:paraId="41DF9E9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编号</w:t>
                  </w:r>
                </w:p>
              </w:tc>
              <w:tc>
                <w:tcPr>
                  <w:tcW w:w="3426" w:type="pct"/>
                  <w:gridSpan w:val="6"/>
                  <w:tcBorders>
                    <w:tl2br w:val="nil"/>
                    <w:tr2bl w:val="nil"/>
                  </w:tcBorders>
                  <w:vAlign w:val="center"/>
                </w:tcPr>
                <w:p w14:paraId="6122ED5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DW001</w:t>
                  </w:r>
                </w:p>
              </w:tc>
            </w:tr>
            <w:tr w14:paraId="64EB4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vMerge w:val="continue"/>
                  <w:tcBorders>
                    <w:tl2br w:val="nil"/>
                    <w:tr2bl w:val="nil"/>
                  </w:tcBorders>
                  <w:vAlign w:val="center"/>
                </w:tcPr>
                <w:p w14:paraId="301899B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43" w:type="pct"/>
                  <w:tcBorders>
                    <w:tl2br w:val="nil"/>
                    <w:tr2bl w:val="nil"/>
                  </w:tcBorders>
                  <w:vAlign w:val="center"/>
                </w:tcPr>
                <w:p w14:paraId="65EDEC3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3426" w:type="pct"/>
                  <w:gridSpan w:val="6"/>
                  <w:tcBorders>
                    <w:tl2br w:val="nil"/>
                    <w:tr2bl w:val="nil"/>
                  </w:tcBorders>
                  <w:vAlign w:val="center"/>
                </w:tcPr>
                <w:p w14:paraId="3054A02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企业总排放口</w:t>
                  </w:r>
                </w:p>
              </w:tc>
            </w:tr>
            <w:tr w14:paraId="65DD1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vMerge w:val="continue"/>
                  <w:tcBorders>
                    <w:tl2br w:val="nil"/>
                    <w:tr2bl w:val="nil"/>
                  </w:tcBorders>
                  <w:vAlign w:val="center"/>
                </w:tcPr>
                <w:p w14:paraId="4974CBE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43" w:type="pct"/>
                  <w:tcBorders>
                    <w:tl2br w:val="nil"/>
                    <w:tr2bl w:val="nil"/>
                  </w:tcBorders>
                  <w:vAlign w:val="center"/>
                </w:tcPr>
                <w:p w14:paraId="0F8D3AD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类型</w:t>
                  </w:r>
                </w:p>
              </w:tc>
              <w:tc>
                <w:tcPr>
                  <w:tcW w:w="3426" w:type="pct"/>
                  <w:gridSpan w:val="6"/>
                  <w:tcBorders>
                    <w:tl2br w:val="nil"/>
                    <w:tr2bl w:val="nil"/>
                  </w:tcBorders>
                  <w:vAlign w:val="center"/>
                </w:tcPr>
                <w:p w14:paraId="4CD8570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一般排放口</w:t>
                  </w:r>
                </w:p>
              </w:tc>
            </w:tr>
            <w:tr w14:paraId="6E418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vMerge w:val="continue"/>
                  <w:tcBorders>
                    <w:tl2br w:val="nil"/>
                    <w:tr2bl w:val="nil"/>
                  </w:tcBorders>
                  <w:vAlign w:val="center"/>
                </w:tcPr>
                <w:p w14:paraId="041FDE7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43" w:type="pct"/>
                  <w:tcBorders>
                    <w:tl2br w:val="nil"/>
                    <w:tr2bl w:val="nil"/>
                  </w:tcBorders>
                  <w:vAlign w:val="center"/>
                </w:tcPr>
                <w:p w14:paraId="7A2D2A8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地理坐标</w:t>
                  </w:r>
                </w:p>
              </w:tc>
              <w:tc>
                <w:tcPr>
                  <w:tcW w:w="3426" w:type="pct"/>
                  <w:gridSpan w:val="6"/>
                  <w:tcBorders>
                    <w:tl2br w:val="nil"/>
                    <w:tr2bl w:val="nil"/>
                  </w:tcBorders>
                  <w:vAlign w:val="center"/>
                </w:tcPr>
                <w:p w14:paraId="583A4CA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E86°12′12.444″，N44°18′3.730″</w:t>
                  </w:r>
                </w:p>
              </w:tc>
            </w:tr>
            <w:tr w14:paraId="7E2FC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vMerge w:val="restart"/>
                  <w:tcBorders>
                    <w:tl2br w:val="nil"/>
                    <w:tr2bl w:val="nil"/>
                  </w:tcBorders>
                  <w:vAlign w:val="center"/>
                </w:tcPr>
                <w:p w14:paraId="4BBC0ED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国家或地方污染物排放标准</w:t>
                  </w:r>
                </w:p>
              </w:tc>
              <w:tc>
                <w:tcPr>
                  <w:tcW w:w="943" w:type="pct"/>
                  <w:tcBorders>
                    <w:tl2br w:val="nil"/>
                    <w:tr2bl w:val="nil"/>
                  </w:tcBorders>
                  <w:vAlign w:val="center"/>
                </w:tcPr>
                <w:p w14:paraId="305A2F8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3426" w:type="pct"/>
                  <w:gridSpan w:val="6"/>
                  <w:tcBorders>
                    <w:tl2br w:val="nil"/>
                    <w:tr2bl w:val="nil"/>
                  </w:tcBorders>
                  <w:vAlign w:val="center"/>
                </w:tcPr>
                <w:p w14:paraId="0179B3A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玛纳斯县城镇污水处理厂</w:t>
                  </w:r>
                </w:p>
              </w:tc>
            </w:tr>
            <w:tr w14:paraId="2A3EF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vMerge w:val="continue"/>
                  <w:tcBorders>
                    <w:tl2br w:val="nil"/>
                    <w:tr2bl w:val="nil"/>
                  </w:tcBorders>
                  <w:vAlign w:val="center"/>
                </w:tcPr>
                <w:p w14:paraId="331BD4C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43" w:type="pct"/>
                  <w:tcBorders>
                    <w:tl2br w:val="nil"/>
                    <w:tr2bl w:val="nil"/>
                  </w:tcBorders>
                  <w:vAlign w:val="center"/>
                </w:tcPr>
                <w:p w14:paraId="59BE006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浓度限值（mg/L）</w:t>
                  </w:r>
                </w:p>
              </w:tc>
              <w:tc>
                <w:tcPr>
                  <w:tcW w:w="505" w:type="pct"/>
                  <w:tcBorders>
                    <w:tl2br w:val="nil"/>
                    <w:tr2bl w:val="nil"/>
                  </w:tcBorders>
                  <w:vAlign w:val="center"/>
                </w:tcPr>
                <w:p w14:paraId="357A651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c>
                <w:tcPr>
                  <w:tcW w:w="480" w:type="pct"/>
                  <w:tcBorders>
                    <w:tl2br w:val="nil"/>
                    <w:tr2bl w:val="nil"/>
                  </w:tcBorders>
                  <w:vAlign w:val="center"/>
                </w:tcPr>
                <w:p w14:paraId="42083C8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180</w:t>
                  </w:r>
                </w:p>
              </w:tc>
              <w:tc>
                <w:tcPr>
                  <w:tcW w:w="604" w:type="pct"/>
                  <w:tcBorders>
                    <w:tl2br w:val="nil"/>
                    <w:tr2bl w:val="nil"/>
                  </w:tcBorders>
                  <w:vAlign w:val="center"/>
                </w:tcPr>
                <w:p w14:paraId="7983464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300</w:t>
                  </w:r>
                </w:p>
              </w:tc>
              <w:tc>
                <w:tcPr>
                  <w:tcW w:w="701" w:type="pct"/>
                  <w:tcBorders>
                    <w:tl2br w:val="nil"/>
                    <w:tr2bl w:val="nil"/>
                  </w:tcBorders>
                  <w:vAlign w:val="center"/>
                </w:tcPr>
                <w:p w14:paraId="6CFAAD0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558" w:type="pct"/>
                  <w:tcBorders>
                    <w:tl2br w:val="nil"/>
                    <w:tr2bl w:val="nil"/>
                  </w:tcBorders>
                  <w:vAlign w:val="center"/>
                </w:tcPr>
                <w:p w14:paraId="4C25C6F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300</w:t>
                  </w:r>
                </w:p>
              </w:tc>
              <w:tc>
                <w:tcPr>
                  <w:tcW w:w="577" w:type="pct"/>
                  <w:tcBorders>
                    <w:tl2br w:val="nil"/>
                    <w:tr2bl w:val="nil"/>
                  </w:tcBorders>
                  <w:vAlign w:val="center"/>
                </w:tcPr>
                <w:p w14:paraId="0A1C98F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r>
            <w:tr w14:paraId="3889D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3" w:type="pct"/>
                  <w:gridSpan w:val="2"/>
                  <w:tcBorders>
                    <w:tl2br w:val="nil"/>
                    <w:tr2bl w:val="nil"/>
                  </w:tcBorders>
                  <w:vAlign w:val="center"/>
                </w:tcPr>
                <w:p w14:paraId="04214A0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是否达标</w:t>
                  </w:r>
                </w:p>
              </w:tc>
              <w:tc>
                <w:tcPr>
                  <w:tcW w:w="505" w:type="pct"/>
                  <w:tcBorders>
                    <w:tl2br w:val="nil"/>
                    <w:tr2bl w:val="nil"/>
                  </w:tcBorders>
                  <w:vAlign w:val="center"/>
                </w:tcPr>
                <w:p w14:paraId="176ACA5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c>
                <w:tcPr>
                  <w:tcW w:w="480" w:type="pct"/>
                  <w:tcBorders>
                    <w:tl2br w:val="nil"/>
                    <w:tr2bl w:val="nil"/>
                  </w:tcBorders>
                  <w:vAlign w:val="center"/>
                </w:tcPr>
                <w:p w14:paraId="3F53A08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c>
                <w:tcPr>
                  <w:tcW w:w="604" w:type="pct"/>
                  <w:tcBorders>
                    <w:tl2br w:val="nil"/>
                    <w:tr2bl w:val="nil"/>
                  </w:tcBorders>
                  <w:vAlign w:val="center"/>
                </w:tcPr>
                <w:p w14:paraId="3C85918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c>
                <w:tcPr>
                  <w:tcW w:w="701" w:type="pct"/>
                  <w:tcBorders>
                    <w:tl2br w:val="nil"/>
                    <w:tr2bl w:val="nil"/>
                  </w:tcBorders>
                  <w:vAlign w:val="center"/>
                </w:tcPr>
                <w:p w14:paraId="36C5BB1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c>
                <w:tcPr>
                  <w:tcW w:w="558" w:type="pct"/>
                  <w:tcBorders>
                    <w:tl2br w:val="nil"/>
                    <w:tr2bl w:val="nil"/>
                  </w:tcBorders>
                  <w:vAlign w:val="center"/>
                </w:tcPr>
                <w:p w14:paraId="6FB6A1C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是</w:t>
                  </w:r>
                </w:p>
              </w:tc>
              <w:tc>
                <w:tcPr>
                  <w:tcW w:w="577" w:type="pct"/>
                  <w:tcBorders>
                    <w:tl2br w:val="nil"/>
                    <w:tr2bl w:val="nil"/>
                  </w:tcBorders>
                  <w:vAlign w:val="center"/>
                </w:tcPr>
                <w:p w14:paraId="4D2FA55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是</w:t>
                  </w:r>
                </w:p>
              </w:tc>
            </w:tr>
          </w:tbl>
          <w:p w14:paraId="45912CB9">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2" w:firstLineChars="200"/>
              <w:textAlignment w:val="auto"/>
              <w:rPr>
                <w:rFonts w:hint="default" w:ascii="Times New Roman" w:hAnsi="Times New Roman" w:cs="Times New Roman" w:eastAsiaTheme="minorEastAsia"/>
                <w:b/>
                <w:bCs/>
                <w:color w:val="000000" w:themeColor="text1"/>
                <w:sz w:val="24"/>
                <w:szCs w:val="32"/>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32"/>
                <w:lang w:val="en-US" w:eastAsia="zh-CN"/>
                <w14:textFill>
                  <w14:solidFill>
                    <w14:schemeClr w14:val="tx1"/>
                  </w14:solidFill>
                </w14:textFill>
              </w:rPr>
              <w:t>2.废水</w:t>
            </w:r>
            <w:r>
              <w:rPr>
                <w:rFonts w:hint="default" w:ascii="Times New Roman" w:hAnsi="Times New Roman" w:cs="Times New Roman" w:eastAsiaTheme="minorEastAsia"/>
                <w:b/>
                <w:bCs/>
                <w:color w:val="000000" w:themeColor="text1"/>
                <w:sz w:val="24"/>
                <w:szCs w:val="32"/>
                <w:lang w:val="en-US" w:eastAsia="zh-CN"/>
                <w14:textFill>
                  <w14:solidFill>
                    <w14:schemeClr w14:val="tx1"/>
                  </w14:solidFill>
                </w14:textFill>
              </w:rPr>
              <w:t>监测计划</w:t>
            </w:r>
          </w:p>
          <w:p w14:paraId="2E530C7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根据《排污单位自行监测技术指南</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总则》（HJ819-2017）</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和</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排污许可证申请与核发技术规范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eastAsia="zh-CN"/>
                <w14:textFill>
                  <w14:solidFill>
                    <w14:schemeClr w14:val="tx1"/>
                  </w14:solidFill>
                </w14:textFill>
              </w:rPr>
              <w:t>储油库、加油站</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HJ1118-2020）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监测要求，一般排放口、间接排放对生活污水无监测频次要求，因此本次环评不对运营期生活污水提出监测要求。</w:t>
            </w:r>
          </w:p>
          <w:p w14:paraId="345862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9"/>
              <w:rPr>
                <w:rFonts w:ascii="Times New Roman" w:hAnsi="Times New Roman" w:eastAsiaTheme="minorEastAsia"/>
                <w:b/>
                <w:bCs/>
                <w:color w:val="000000" w:themeColor="text1"/>
                <w:sz w:val="24"/>
                <w:szCs w:val="32"/>
                <w14:textFill>
                  <w14:solidFill>
                    <w14:schemeClr w14:val="tx1"/>
                  </w14:solidFill>
                </w14:textFill>
              </w:rPr>
            </w:pPr>
            <w:r>
              <w:rPr>
                <w:rFonts w:hint="eastAsia" w:ascii="Times New Roman" w:hAnsi="Times New Roman" w:eastAsiaTheme="minorEastAsia"/>
                <w:b/>
                <w:bCs/>
                <w:color w:val="000000" w:themeColor="text1"/>
                <w:sz w:val="24"/>
                <w:szCs w:val="32"/>
                <w:lang w:val="en-US" w:eastAsia="zh-CN"/>
                <w14:textFill>
                  <w14:solidFill>
                    <w14:schemeClr w14:val="tx1"/>
                  </w14:solidFill>
                </w14:textFill>
              </w:rPr>
              <w:t>3.</w:t>
            </w:r>
            <w:r>
              <w:rPr>
                <w:rFonts w:hint="eastAsia" w:ascii="Times New Roman" w:hAnsi="Times New Roman" w:eastAsiaTheme="minorEastAsia"/>
                <w:b/>
                <w:bCs/>
                <w:color w:val="000000" w:themeColor="text1"/>
                <w:sz w:val="24"/>
                <w:szCs w:val="32"/>
                <w14:textFill>
                  <w14:solidFill>
                    <w14:schemeClr w14:val="tx1"/>
                  </w14:solidFill>
                </w14:textFill>
              </w:rPr>
              <w:t>污水处理厂的依托可行性</w:t>
            </w:r>
          </w:p>
          <w:p w14:paraId="5D88481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baseline"/>
              <w:outlineLvl w:val="9"/>
              <w:rPr>
                <w:rFonts w:hint="eastAsia" w:cs="Times New Roman"/>
                <w:color w:val="0000FF"/>
                <w:spacing w:val="0"/>
                <w:kern w:val="24"/>
                <w:position w:val="0"/>
                <w:sz w:val="24"/>
                <w:highlight w:val="none"/>
                <w:lang w:val="en-US" w:eastAsia="zh-CN"/>
              </w:rPr>
            </w:pPr>
            <w:r>
              <w:rPr>
                <w:rFonts w:hint="eastAsia" w:cs="Times New Roman"/>
                <w:color w:val="0000FF"/>
                <w:spacing w:val="0"/>
                <w:kern w:val="24"/>
                <w:position w:val="0"/>
                <w:sz w:val="24"/>
                <w:highlight w:val="none"/>
                <w:lang w:eastAsia="zh-CN"/>
              </w:rPr>
              <w:t>（</w:t>
            </w:r>
            <w:r>
              <w:rPr>
                <w:rFonts w:hint="eastAsia" w:cs="Times New Roman"/>
                <w:color w:val="0000FF"/>
                <w:spacing w:val="0"/>
                <w:kern w:val="24"/>
                <w:position w:val="0"/>
                <w:sz w:val="24"/>
                <w:highlight w:val="none"/>
                <w:lang w:val="en-US" w:eastAsia="zh-CN"/>
              </w:rPr>
              <w:t>1</w:t>
            </w:r>
            <w:r>
              <w:rPr>
                <w:rFonts w:hint="eastAsia" w:cs="Times New Roman"/>
                <w:color w:val="0000FF"/>
                <w:spacing w:val="0"/>
                <w:kern w:val="24"/>
                <w:position w:val="0"/>
                <w:sz w:val="24"/>
                <w:highlight w:val="none"/>
                <w:lang w:eastAsia="zh-CN"/>
              </w:rPr>
              <w:t>）</w:t>
            </w:r>
            <w:r>
              <w:rPr>
                <w:rFonts w:hint="eastAsia" w:cs="Times New Roman"/>
                <w:color w:val="0000FF"/>
                <w:spacing w:val="0"/>
                <w:kern w:val="24"/>
                <w:position w:val="0"/>
                <w:sz w:val="24"/>
                <w:highlight w:val="none"/>
                <w:lang w:val="en-US" w:eastAsia="zh-CN"/>
              </w:rPr>
              <w:t>废水处理措施可行性</w:t>
            </w:r>
          </w:p>
          <w:p w14:paraId="313486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baseline"/>
              <w:outlineLvl w:val="9"/>
              <w:rPr>
                <w:rFonts w:hint="default" w:eastAsia="宋体" w:cs="Times New Roman"/>
                <w:color w:val="0000FF"/>
                <w:spacing w:val="0"/>
                <w:kern w:val="24"/>
                <w:position w:val="0"/>
                <w:sz w:val="24"/>
                <w:highlight w:val="none"/>
                <w:lang w:val="en-US" w:eastAsia="zh-CN"/>
              </w:rPr>
            </w:pPr>
            <w:r>
              <w:rPr>
                <w:rFonts w:hint="default" w:eastAsia="宋体" w:cs="Times New Roman"/>
                <w:color w:val="0000FF"/>
                <w:spacing w:val="0"/>
                <w:kern w:val="24"/>
                <w:position w:val="0"/>
                <w:sz w:val="24"/>
                <w:highlight w:val="none"/>
                <w:lang w:val="en-US" w:eastAsia="zh-CN"/>
              </w:rPr>
              <w:t>项目</w:t>
            </w:r>
            <w:r>
              <w:rPr>
                <w:rFonts w:hint="eastAsia" w:eastAsia="宋体" w:cs="Times New Roman"/>
                <w:color w:val="0000FF"/>
                <w:spacing w:val="0"/>
                <w:kern w:val="24"/>
                <w:position w:val="0"/>
                <w:sz w:val="24"/>
                <w:highlight w:val="none"/>
                <w:lang w:val="en-US" w:eastAsia="zh-CN"/>
              </w:rPr>
              <w:t>洗车废水</w:t>
            </w:r>
            <w:r>
              <w:rPr>
                <w:rFonts w:hint="default" w:eastAsia="宋体" w:cs="Times New Roman"/>
                <w:color w:val="0000FF"/>
                <w:spacing w:val="0"/>
                <w:kern w:val="24"/>
                <w:position w:val="0"/>
                <w:sz w:val="24"/>
                <w:highlight w:val="none"/>
                <w:lang w:val="en-US" w:eastAsia="zh-CN"/>
              </w:rPr>
              <w:t>采用</w:t>
            </w:r>
            <w:r>
              <w:rPr>
                <w:rFonts w:hint="eastAsia" w:eastAsia="宋体" w:cs="Times New Roman"/>
                <w:color w:val="0000FF"/>
                <w:spacing w:val="0"/>
                <w:kern w:val="24"/>
                <w:position w:val="0"/>
                <w:sz w:val="24"/>
                <w:highlight w:val="none"/>
                <w:lang w:val="en-US" w:eastAsia="zh-CN"/>
              </w:rPr>
              <w:t>隔油沉淀池</w:t>
            </w:r>
            <w:r>
              <w:rPr>
                <w:rFonts w:hint="default" w:eastAsia="宋体" w:cs="Times New Roman"/>
                <w:color w:val="0000FF"/>
                <w:spacing w:val="0"/>
                <w:kern w:val="24"/>
                <w:position w:val="0"/>
                <w:sz w:val="24"/>
                <w:highlight w:val="none"/>
                <w:lang w:val="en-US" w:eastAsia="zh-CN"/>
              </w:rPr>
              <w:t>处理后排入市政管网。</w:t>
            </w:r>
            <w:r>
              <w:rPr>
                <w:rFonts w:hint="eastAsia" w:eastAsia="宋体" w:cs="Times New Roman"/>
                <w:color w:val="0000FF"/>
                <w:spacing w:val="0"/>
                <w:kern w:val="24"/>
                <w:position w:val="0"/>
                <w:sz w:val="24"/>
                <w:highlight w:val="none"/>
                <w:lang w:val="en-US" w:eastAsia="zh-CN"/>
              </w:rPr>
              <w:t>隔油沉淀池</w:t>
            </w:r>
            <w:r>
              <w:rPr>
                <w:rFonts w:hint="default" w:eastAsia="宋体" w:cs="Times New Roman"/>
                <w:color w:val="0000FF"/>
                <w:spacing w:val="0"/>
                <w:kern w:val="24"/>
                <w:position w:val="0"/>
                <w:sz w:val="24"/>
                <w:highlight w:val="none"/>
                <w:lang w:val="en-US" w:eastAsia="zh-CN"/>
              </w:rPr>
              <w:t>是利用废水中悬浮物和水的比重不同而达到分离的目的。隔油</w:t>
            </w:r>
            <w:r>
              <w:rPr>
                <w:rFonts w:hint="eastAsia" w:eastAsia="宋体" w:cs="Times New Roman"/>
                <w:color w:val="0000FF"/>
                <w:spacing w:val="0"/>
                <w:kern w:val="24"/>
                <w:position w:val="0"/>
                <w:sz w:val="24"/>
                <w:highlight w:val="none"/>
                <w:lang w:val="en-US" w:eastAsia="zh-CN"/>
              </w:rPr>
              <w:t>沉淀池</w:t>
            </w:r>
            <w:r>
              <w:rPr>
                <w:rFonts w:hint="default" w:eastAsia="宋体" w:cs="Times New Roman"/>
                <w:color w:val="0000FF"/>
                <w:spacing w:val="0"/>
                <w:kern w:val="24"/>
                <w:position w:val="0"/>
                <w:sz w:val="24"/>
                <w:highlight w:val="none"/>
                <w:lang w:val="en-US" w:eastAsia="zh-CN"/>
              </w:rPr>
              <w:t>的构造多采用平流式，含油废水通过配水槽进入平面为矩形的隔油池，沿水平方向缓慢流动，在流动中油品上浮水面，由集油管或设置在池面的刮油机推送到集油管中流入脱水罐。在隔油池中沉淀下来的重油及其他杂质，积聚到池底污泥斗中，通过排泥管进入污泥管中。经过隔油处理的废水则溢流入排水渠排出池外。可以达到油水分离的目的。项目</w:t>
            </w:r>
            <w:r>
              <w:rPr>
                <w:rFonts w:hint="eastAsia" w:eastAsia="宋体" w:cs="Times New Roman"/>
                <w:color w:val="0000FF"/>
                <w:spacing w:val="0"/>
                <w:kern w:val="24"/>
                <w:position w:val="0"/>
                <w:sz w:val="24"/>
                <w:highlight w:val="none"/>
                <w:lang w:val="en-US" w:eastAsia="zh-CN"/>
              </w:rPr>
              <w:t>洗车废水</w:t>
            </w:r>
            <w:r>
              <w:rPr>
                <w:rFonts w:hint="default" w:eastAsia="宋体" w:cs="Times New Roman"/>
                <w:color w:val="0000FF"/>
                <w:spacing w:val="0"/>
                <w:kern w:val="24"/>
                <w:position w:val="0"/>
                <w:sz w:val="24"/>
                <w:highlight w:val="none"/>
                <w:lang w:val="en-US" w:eastAsia="zh-CN"/>
              </w:rPr>
              <w:t>中含有汽油、柴油</w:t>
            </w:r>
            <w:r>
              <w:rPr>
                <w:rFonts w:hint="eastAsia" w:eastAsia="宋体" w:cs="Times New Roman"/>
                <w:color w:val="0000FF"/>
                <w:spacing w:val="0"/>
                <w:kern w:val="24"/>
                <w:position w:val="0"/>
                <w:sz w:val="24"/>
                <w:highlight w:val="none"/>
                <w:lang w:val="en-US" w:eastAsia="zh-CN"/>
              </w:rPr>
              <w:t>、及泥沙</w:t>
            </w:r>
            <w:r>
              <w:rPr>
                <w:rFonts w:hint="default" w:eastAsia="宋体" w:cs="Times New Roman"/>
                <w:color w:val="0000FF"/>
                <w:spacing w:val="0"/>
                <w:kern w:val="24"/>
                <w:position w:val="0"/>
                <w:sz w:val="24"/>
                <w:highlight w:val="none"/>
                <w:lang w:val="en-US" w:eastAsia="zh-CN"/>
              </w:rPr>
              <w:t>等物质，经隔油</w:t>
            </w:r>
            <w:r>
              <w:rPr>
                <w:rFonts w:hint="eastAsia" w:eastAsia="宋体" w:cs="Times New Roman"/>
                <w:color w:val="0000FF"/>
                <w:spacing w:val="0"/>
                <w:kern w:val="24"/>
                <w:position w:val="0"/>
                <w:sz w:val="24"/>
                <w:highlight w:val="none"/>
                <w:lang w:val="en-US" w:eastAsia="zh-CN"/>
              </w:rPr>
              <w:t>沉淀池</w:t>
            </w:r>
            <w:r>
              <w:rPr>
                <w:rFonts w:hint="default" w:eastAsia="宋体" w:cs="Times New Roman"/>
                <w:color w:val="0000FF"/>
                <w:spacing w:val="0"/>
                <w:kern w:val="24"/>
                <w:position w:val="0"/>
                <w:sz w:val="24"/>
                <w:highlight w:val="none"/>
                <w:lang w:val="en-US" w:eastAsia="zh-CN"/>
              </w:rPr>
              <w:t>处理后，废水中汽油、柴油等杂质可以得到分离。</w:t>
            </w:r>
            <w:r>
              <w:rPr>
                <w:rFonts w:hint="eastAsia" w:eastAsia="宋体" w:cs="Times New Roman"/>
                <w:color w:val="0000FF"/>
                <w:spacing w:val="0"/>
                <w:kern w:val="24"/>
                <w:position w:val="0"/>
                <w:sz w:val="24"/>
                <w:highlight w:val="none"/>
                <w:lang w:val="en-US" w:eastAsia="zh-CN"/>
              </w:rPr>
              <w:t>通过废水污染物排放源计算，洗车废水经隔油沉淀池处理后，可达到《污水综合排放标准》（GB8978-1996）表4中三级标准限值（SS：400mg/L；石油类：20mg/L），且</w:t>
            </w:r>
            <w:r>
              <w:rPr>
                <w:rFonts w:hint="default" w:eastAsia="宋体" w:cs="Times New Roman"/>
                <w:color w:val="0000FF"/>
                <w:spacing w:val="0"/>
                <w:kern w:val="24"/>
                <w:position w:val="0"/>
                <w:sz w:val="24"/>
                <w:highlight w:val="none"/>
                <w:lang w:val="en-US" w:eastAsia="zh-CN"/>
              </w:rPr>
              <w:t>隔油</w:t>
            </w:r>
            <w:r>
              <w:rPr>
                <w:rFonts w:hint="eastAsia" w:eastAsia="宋体" w:cs="Times New Roman"/>
                <w:color w:val="0000FF"/>
                <w:spacing w:val="0"/>
                <w:kern w:val="24"/>
                <w:position w:val="0"/>
                <w:sz w:val="24"/>
                <w:highlight w:val="none"/>
                <w:lang w:val="en-US" w:eastAsia="zh-CN"/>
              </w:rPr>
              <w:t>沉淀池</w:t>
            </w:r>
            <w:r>
              <w:rPr>
                <w:rFonts w:hint="default" w:eastAsia="宋体" w:cs="Times New Roman"/>
                <w:color w:val="0000FF"/>
                <w:spacing w:val="0"/>
                <w:kern w:val="24"/>
                <w:position w:val="0"/>
                <w:sz w:val="24"/>
                <w:highlight w:val="none"/>
                <w:lang w:val="en-US" w:eastAsia="zh-CN"/>
              </w:rPr>
              <w:t>预处理设施属于《排污许可证申请与核发技术规范储油罐、加油站》（HJ1118-2020）表 C.2 废水处理可行技术中所列的可行技术</w:t>
            </w:r>
            <w:r>
              <w:rPr>
                <w:rFonts w:hint="eastAsia" w:eastAsia="宋体" w:cs="Times New Roman"/>
                <w:color w:val="0000FF"/>
                <w:spacing w:val="0"/>
                <w:kern w:val="24"/>
                <w:position w:val="0"/>
                <w:sz w:val="24"/>
                <w:highlight w:val="none"/>
                <w:lang w:val="en-US" w:eastAsia="zh-CN"/>
              </w:rPr>
              <w:t>，综上所述，洗车废水</w:t>
            </w:r>
            <w:r>
              <w:rPr>
                <w:rFonts w:hint="default" w:eastAsia="宋体" w:cs="Times New Roman"/>
                <w:color w:val="0000FF"/>
                <w:spacing w:val="0"/>
                <w:kern w:val="24"/>
                <w:position w:val="0"/>
                <w:sz w:val="24"/>
                <w:highlight w:val="none"/>
                <w:lang w:val="en-US" w:eastAsia="zh-CN"/>
              </w:rPr>
              <w:t>采用</w:t>
            </w:r>
            <w:r>
              <w:rPr>
                <w:rFonts w:hint="eastAsia" w:eastAsia="宋体" w:cs="Times New Roman"/>
                <w:color w:val="0000FF"/>
                <w:spacing w:val="0"/>
                <w:kern w:val="24"/>
                <w:position w:val="0"/>
                <w:sz w:val="24"/>
                <w:highlight w:val="none"/>
                <w:lang w:val="en-US" w:eastAsia="zh-CN"/>
              </w:rPr>
              <w:t>隔油沉淀池</w:t>
            </w:r>
            <w:r>
              <w:rPr>
                <w:rFonts w:hint="default" w:eastAsia="宋体" w:cs="Times New Roman"/>
                <w:color w:val="0000FF"/>
                <w:spacing w:val="0"/>
                <w:kern w:val="24"/>
                <w:position w:val="0"/>
                <w:sz w:val="24"/>
                <w:highlight w:val="none"/>
                <w:lang w:val="en-US" w:eastAsia="zh-CN"/>
              </w:rPr>
              <w:t>处理</w:t>
            </w:r>
            <w:r>
              <w:rPr>
                <w:rFonts w:hint="eastAsia" w:eastAsia="宋体" w:cs="Times New Roman"/>
                <w:color w:val="0000FF"/>
                <w:spacing w:val="0"/>
                <w:kern w:val="24"/>
                <w:position w:val="0"/>
                <w:sz w:val="24"/>
                <w:highlight w:val="none"/>
                <w:lang w:val="en-US" w:eastAsia="zh-CN"/>
              </w:rPr>
              <w:t>可行。</w:t>
            </w:r>
          </w:p>
          <w:p w14:paraId="6B2C9B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baseline"/>
              <w:outlineLvl w:val="9"/>
              <w:rPr>
                <w:rFonts w:hint="eastAsia" w:ascii="Times New Roman" w:hAnsi="Times New Roman" w:eastAsia="宋体" w:cs="Times New Roman"/>
                <w:color w:val="000000" w:themeColor="text1"/>
                <w:spacing w:val="0"/>
                <w:kern w:val="24"/>
                <w:position w:val="0"/>
                <w:sz w:val="24"/>
                <w:highlight w:val="none"/>
                <w:lang w:eastAsia="zh-CN"/>
                <w14:textFill>
                  <w14:solidFill>
                    <w14:schemeClr w14:val="tx1"/>
                  </w14:solidFill>
                </w14:textFill>
              </w:rPr>
            </w:pPr>
            <w:r>
              <w:rPr>
                <w:rFonts w:hint="eastAsia" w:cs="Times New Roman"/>
                <w:color w:val="000000" w:themeColor="text1"/>
                <w:spacing w:val="0"/>
                <w:kern w:val="24"/>
                <w:position w:val="0"/>
                <w:sz w:val="24"/>
                <w:highlight w:val="none"/>
                <w:lang w:eastAsia="zh-CN"/>
                <w14:textFill>
                  <w14:solidFill>
                    <w14:schemeClr w14:val="tx1"/>
                  </w14:solidFill>
                </w14:textFill>
              </w:rPr>
              <w:t>（</w:t>
            </w:r>
            <w:r>
              <w:rPr>
                <w:rFonts w:hint="eastAsia" w:cs="Times New Roman"/>
                <w:color w:val="000000" w:themeColor="text1"/>
                <w:spacing w:val="0"/>
                <w:kern w:val="24"/>
                <w:position w:val="0"/>
                <w:sz w:val="24"/>
                <w:highlight w:val="none"/>
                <w:lang w:val="en-US" w:eastAsia="zh-CN"/>
                <w14:textFill>
                  <w14:solidFill>
                    <w14:schemeClr w14:val="tx1"/>
                  </w14:solidFill>
                </w14:textFill>
              </w:rPr>
              <w:t>2</w:t>
            </w:r>
            <w:r>
              <w:rPr>
                <w:rFonts w:hint="eastAsia" w:cs="Times New Roman"/>
                <w:color w:val="000000" w:themeColor="text1"/>
                <w:spacing w:val="0"/>
                <w:kern w:val="24"/>
                <w:position w:val="0"/>
                <w:sz w:val="24"/>
                <w:highlight w:val="none"/>
                <w:lang w:eastAsia="zh-CN"/>
                <w14:textFill>
                  <w14:solidFill>
                    <w14:schemeClr w14:val="tx1"/>
                  </w14:solidFill>
                </w14:textFill>
              </w:rPr>
              <w:t>）污水处理厂的依托可行性</w:t>
            </w:r>
          </w:p>
          <w:p w14:paraId="66CFEA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baseline"/>
              <w:outlineLvl w:val="9"/>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t>生活污水排市政污水管网，最终纳入</w:t>
            </w:r>
            <w:r>
              <w:rPr>
                <w:rFonts w:hint="eastAsia" w:cs="Times New Roman"/>
                <w:color w:val="000000" w:themeColor="text1"/>
                <w:spacing w:val="0"/>
                <w:kern w:val="24"/>
                <w:position w:val="0"/>
                <w:sz w:val="24"/>
                <w:highlight w:val="none"/>
                <w:lang w:eastAsia="zh-CN"/>
                <w14:textFill>
                  <w14:solidFill>
                    <w14:schemeClr w14:val="tx1"/>
                  </w14:solidFill>
                </w14:textFill>
              </w:rPr>
              <w:t>玛纳斯县城镇污水处理厂</w:t>
            </w:r>
            <w:r>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t>处理。</w:t>
            </w:r>
          </w:p>
          <w:p w14:paraId="26ED03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baseline"/>
              <w:outlineLvl w:val="9"/>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pPr>
            <w:r>
              <w:rPr>
                <w:rFonts w:hint="eastAsia" w:cs="Times New Roman"/>
                <w:color w:val="000000" w:themeColor="text1"/>
                <w:spacing w:val="0"/>
                <w:kern w:val="24"/>
                <w:position w:val="0"/>
                <w:sz w:val="24"/>
                <w:highlight w:val="none"/>
                <w:lang w:eastAsia="zh-CN"/>
                <w14:textFill>
                  <w14:solidFill>
                    <w14:schemeClr w14:val="tx1"/>
                  </w14:solidFill>
                </w14:textFill>
              </w:rPr>
              <w:t>玛纳斯县城镇污水处理厂</w:t>
            </w:r>
            <w:r>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t>位于</w:t>
            </w:r>
            <w:r>
              <w:rPr>
                <w:rFonts w:hint="eastAsia" w:cs="Times New Roman"/>
                <w:color w:val="000000" w:themeColor="text1"/>
                <w:spacing w:val="0"/>
                <w:kern w:val="24"/>
                <w:position w:val="0"/>
                <w:sz w:val="24"/>
                <w:highlight w:val="none"/>
                <w:lang w:eastAsia="zh-CN"/>
                <w14:textFill>
                  <w14:solidFill>
                    <w14:schemeClr w14:val="tx1"/>
                  </w14:solidFill>
                </w14:textFill>
              </w:rPr>
              <w:t>玛纳斯县广东地乡小海子村三队</w:t>
            </w:r>
            <w:r>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t>，</w:t>
            </w:r>
            <w:r>
              <w:rPr>
                <w:rFonts w:hint="eastAsia" w:cs="Times New Roman"/>
                <w:color w:val="000000" w:themeColor="text1"/>
                <w:spacing w:val="0"/>
                <w:kern w:val="24"/>
                <w:position w:val="0"/>
                <w:sz w:val="24"/>
                <w:highlight w:val="none"/>
                <w:lang w:val="en-US" w:eastAsia="zh-CN"/>
                <w14:textFill>
                  <w14:solidFill>
                    <w14:schemeClr w14:val="tx1"/>
                  </w14:solidFill>
                </w14:textFill>
              </w:rPr>
              <w:t>现已正常运营</w:t>
            </w:r>
            <w:r>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t>，设计污水处理能力为</w:t>
            </w:r>
            <w:r>
              <w:rPr>
                <w:rFonts w:hint="eastAsia" w:cs="Times New Roman"/>
                <w:color w:val="000000" w:themeColor="text1"/>
                <w:spacing w:val="0"/>
                <w:kern w:val="24"/>
                <w:position w:val="0"/>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t>万m</w:t>
            </w:r>
            <w:r>
              <w:rPr>
                <w:rFonts w:hint="default" w:ascii="Times New Roman" w:hAnsi="Times New Roman" w:eastAsia="宋体" w:cs="Times New Roman"/>
                <w:color w:val="000000" w:themeColor="text1"/>
                <w:spacing w:val="0"/>
                <w:kern w:val="24"/>
                <w:position w:val="0"/>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t>/d，出水水质达到《城镇污水处理厂污染物排放标准》（GB18918-2002）一级A标准，本项目生活污水中污染物浓度满足《污水综合排放标准》（GB8978-1996）三级标准排放限值要求（COD≤500mg/L、BOD5≤300mg/L、SS≤400mg/L），同时满足</w:t>
            </w:r>
            <w:r>
              <w:rPr>
                <w:rFonts w:hint="eastAsia" w:cs="Times New Roman"/>
                <w:color w:val="000000" w:themeColor="text1"/>
                <w:spacing w:val="0"/>
                <w:kern w:val="24"/>
                <w:position w:val="0"/>
                <w:sz w:val="24"/>
                <w:highlight w:val="none"/>
                <w:lang w:eastAsia="zh-CN"/>
                <w14:textFill>
                  <w14:solidFill>
                    <w14:schemeClr w14:val="tx1"/>
                  </w14:solidFill>
                </w14:textFill>
              </w:rPr>
              <w:t>玛纳斯县城镇污水处理厂</w:t>
            </w:r>
            <w:r>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t>对生活废水的纳管要求，</w:t>
            </w:r>
            <w:r>
              <w:rPr>
                <w:rFonts w:hint="eastAsia" w:cs="Times New Roman"/>
                <w:color w:val="0000FF"/>
                <w:spacing w:val="0"/>
                <w:kern w:val="24"/>
                <w:position w:val="0"/>
                <w:sz w:val="24"/>
                <w:highlight w:val="none"/>
                <w:lang w:eastAsia="zh-CN"/>
              </w:rPr>
              <w:t>目前实际处理水量约为</w:t>
            </w:r>
            <w:r>
              <w:rPr>
                <w:rFonts w:hint="eastAsia" w:cs="Times New Roman"/>
                <w:color w:val="0000FF"/>
                <w:spacing w:val="0"/>
                <w:kern w:val="24"/>
                <w:position w:val="0"/>
                <w:sz w:val="24"/>
                <w:highlight w:val="none"/>
                <w:lang w:val="en-US" w:eastAsia="zh-CN"/>
              </w:rPr>
              <w:t>438万m</w:t>
            </w:r>
            <w:r>
              <w:rPr>
                <w:rFonts w:hint="eastAsia" w:cs="Times New Roman"/>
                <w:color w:val="0000FF"/>
                <w:spacing w:val="0"/>
                <w:kern w:val="24"/>
                <w:position w:val="0"/>
                <w:sz w:val="24"/>
                <w:highlight w:val="none"/>
                <w:vertAlign w:val="superscript"/>
                <w:lang w:val="en-US" w:eastAsia="zh-CN"/>
              </w:rPr>
              <w:t>3</w:t>
            </w:r>
            <w:r>
              <w:rPr>
                <w:rFonts w:hint="eastAsia" w:cs="Times New Roman"/>
                <w:color w:val="0000FF"/>
                <w:spacing w:val="0"/>
                <w:kern w:val="24"/>
                <w:position w:val="0"/>
                <w:sz w:val="24"/>
                <w:highlight w:val="none"/>
                <w:vertAlign w:val="baseline"/>
                <w:lang w:val="en-US" w:eastAsia="zh-CN"/>
              </w:rPr>
              <w:t>/a</w:t>
            </w:r>
            <w:r>
              <w:rPr>
                <w:rFonts w:hint="eastAsia" w:cs="Times New Roman"/>
                <w:color w:val="0000FF"/>
                <w:spacing w:val="0"/>
                <w:kern w:val="24"/>
                <w:position w:val="0"/>
                <w:sz w:val="24"/>
                <w:highlight w:val="none"/>
                <w:lang w:val="en-US" w:eastAsia="zh-CN"/>
              </w:rPr>
              <w:t>，</w:t>
            </w:r>
            <w:r>
              <w:rPr>
                <w:rFonts w:hint="default" w:ascii="Times New Roman" w:hAnsi="Times New Roman" w:eastAsia="宋体" w:cs="Times New Roman"/>
                <w:color w:val="0000FF"/>
                <w:spacing w:val="0"/>
                <w:kern w:val="24"/>
                <w:position w:val="0"/>
                <w:sz w:val="24"/>
                <w:highlight w:val="none"/>
              </w:rPr>
              <w:t>本项目污水产生量为</w:t>
            </w:r>
            <w:r>
              <w:rPr>
                <w:rFonts w:hint="eastAsia" w:cs="Times New Roman"/>
                <w:color w:val="0000FF"/>
                <w:spacing w:val="0"/>
                <w:kern w:val="24"/>
                <w:position w:val="0"/>
                <w:sz w:val="24"/>
                <w:highlight w:val="none"/>
                <w:lang w:val="en-US" w:eastAsia="zh-CN"/>
              </w:rPr>
              <w:t>1106.68</w:t>
            </w:r>
            <w:r>
              <w:rPr>
                <w:rFonts w:hint="default" w:ascii="Times New Roman" w:hAnsi="Times New Roman" w:eastAsia="宋体" w:cs="Times New Roman"/>
                <w:color w:val="0000FF"/>
                <w:spacing w:val="0"/>
                <w:kern w:val="24"/>
                <w:position w:val="0"/>
                <w:sz w:val="24"/>
                <w:highlight w:val="none"/>
              </w:rPr>
              <w:t>m</w:t>
            </w:r>
            <w:r>
              <w:rPr>
                <w:rFonts w:hint="default" w:ascii="Times New Roman" w:hAnsi="Times New Roman" w:eastAsia="宋体" w:cs="Times New Roman"/>
                <w:color w:val="0000FF"/>
                <w:spacing w:val="0"/>
                <w:kern w:val="24"/>
                <w:position w:val="0"/>
                <w:sz w:val="24"/>
                <w:highlight w:val="none"/>
                <w:vertAlign w:val="superscript"/>
              </w:rPr>
              <w:t>3</w:t>
            </w:r>
            <w:r>
              <w:rPr>
                <w:rFonts w:hint="default" w:ascii="Times New Roman" w:hAnsi="Times New Roman" w:eastAsia="宋体" w:cs="Times New Roman"/>
                <w:color w:val="0000FF"/>
                <w:spacing w:val="0"/>
                <w:kern w:val="24"/>
                <w:position w:val="0"/>
                <w:sz w:val="24"/>
                <w:highlight w:val="none"/>
              </w:rPr>
              <w:t>/a，</w:t>
            </w:r>
            <w:r>
              <w:rPr>
                <w:rFonts w:hint="eastAsia" w:cs="Times New Roman"/>
                <w:color w:val="0000FF"/>
                <w:spacing w:val="0"/>
                <w:kern w:val="24"/>
                <w:position w:val="0"/>
                <w:sz w:val="24"/>
                <w:highlight w:val="none"/>
                <w:lang w:eastAsia="zh-CN"/>
              </w:rPr>
              <w:t>占处理余量的</w:t>
            </w:r>
            <w:r>
              <w:rPr>
                <w:rFonts w:hint="eastAsia" w:cs="Times New Roman"/>
                <w:color w:val="0000FF"/>
                <w:spacing w:val="0"/>
                <w:kern w:val="24"/>
                <w:position w:val="0"/>
                <w:sz w:val="24"/>
                <w:highlight w:val="none"/>
                <w:lang w:val="en-US" w:eastAsia="zh-CN"/>
              </w:rPr>
              <w:t>0.025%，</w:t>
            </w:r>
            <w:r>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t>对污水处理厂正常运行冲击较小，则本项目废水能够纳入</w:t>
            </w:r>
            <w:r>
              <w:rPr>
                <w:rFonts w:hint="eastAsia" w:cs="Times New Roman"/>
                <w:color w:val="000000" w:themeColor="text1"/>
                <w:spacing w:val="0"/>
                <w:kern w:val="24"/>
                <w:position w:val="0"/>
                <w:sz w:val="24"/>
                <w:highlight w:val="none"/>
                <w:lang w:eastAsia="zh-CN"/>
                <w14:textFill>
                  <w14:solidFill>
                    <w14:schemeClr w14:val="tx1"/>
                  </w14:solidFill>
                </w14:textFill>
              </w:rPr>
              <w:t>玛纳斯县城镇污水处理厂</w:t>
            </w:r>
            <w:r>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t>处理。</w:t>
            </w:r>
          </w:p>
          <w:p w14:paraId="0DDD27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t>综上所述，项目</w:t>
            </w:r>
            <w:r>
              <w:rPr>
                <w:rFonts w:hint="eastAsia" w:cs="Times New Roman"/>
                <w:color w:val="000000" w:themeColor="text1"/>
                <w:spacing w:val="0"/>
                <w:kern w:val="24"/>
                <w:position w:val="0"/>
                <w:sz w:val="24"/>
                <w:highlight w:val="none"/>
                <w:lang w:val="en-US" w:eastAsia="zh-CN"/>
                <w14:textFill>
                  <w14:solidFill>
                    <w14:schemeClr w14:val="tx1"/>
                  </w14:solidFill>
                </w14:textFill>
              </w:rPr>
              <w:t>生活污水</w:t>
            </w:r>
            <w:r>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t>进入</w:t>
            </w:r>
            <w:r>
              <w:rPr>
                <w:rFonts w:hint="eastAsia" w:cs="Times New Roman"/>
                <w:color w:val="000000" w:themeColor="text1"/>
                <w:kern w:val="24"/>
                <w:sz w:val="24"/>
                <w:szCs w:val="24"/>
                <w:lang w:val="en-US" w:eastAsia="zh-CN"/>
                <w14:textFill>
                  <w14:solidFill>
                    <w14:schemeClr w14:val="tx1"/>
                  </w14:solidFill>
                </w14:textFill>
              </w:rPr>
              <w:t>玛纳斯县城镇污水处理厂</w:t>
            </w:r>
            <w:r>
              <w:rPr>
                <w:rFonts w:hint="default" w:ascii="Times New Roman" w:hAnsi="Times New Roman" w:eastAsia="宋体" w:cs="Times New Roman"/>
                <w:color w:val="000000" w:themeColor="text1"/>
                <w:spacing w:val="0"/>
                <w:kern w:val="24"/>
                <w:position w:val="0"/>
                <w:sz w:val="24"/>
                <w:highlight w:val="none"/>
                <w14:textFill>
                  <w14:solidFill>
                    <w14:schemeClr w14:val="tx1"/>
                  </w14:solidFill>
                </w14:textFill>
              </w:rPr>
              <w:t>处理是可行的，项目排放的废水不会对区域水环境产生影响。</w:t>
            </w:r>
          </w:p>
          <w:p w14:paraId="28967C54">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textAlignment w:val="auto"/>
              <w:outlineLvl w:val="9"/>
              <w:rPr>
                <w:rFonts w:hint="default" w:ascii="Times New Roman" w:hAnsi="Times New Roman" w:eastAsia="宋体" w:cs="Times New Roman"/>
                <w:b/>
                <w:bCs w:val="0"/>
                <w:color w:val="000000" w:themeColor="text1"/>
                <w:spacing w:val="0"/>
                <w:kern w:val="21"/>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kern w:val="21"/>
                <w:sz w:val="24"/>
                <w:szCs w:val="24"/>
                <w:lang w:val="en-US" w:eastAsia="zh-CN"/>
                <w14:textFill>
                  <w14:solidFill>
                    <w14:schemeClr w14:val="tx1"/>
                  </w14:solidFill>
                </w14:textFill>
              </w:rPr>
              <w:t>4.2.3 噪声影响和保护措施</w:t>
            </w:r>
          </w:p>
          <w:p w14:paraId="15633BAC">
            <w:pPr>
              <w:keepNext w:val="0"/>
              <w:keepLines w:val="0"/>
              <w:pageBreakBefore w:val="0"/>
              <w:widowControl w:val="0"/>
              <w:tabs>
                <w:tab w:val="left" w:pos="1282"/>
              </w:tabs>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000000" w:themeColor="text1"/>
                <w:kern w:val="24"/>
                <w:sz w:val="24"/>
                <w:szCs w:val="24"/>
                <w:highlight w:val="none"/>
                <w:lang w:eastAsia="zh-CN"/>
                <w14:textFill>
                  <w14:solidFill>
                    <w14:schemeClr w14:val="tx1"/>
                  </w14:solidFill>
                </w14:textFill>
              </w:rPr>
            </w:pPr>
            <w:r>
              <w:rPr>
                <w:rFonts w:hint="eastAsia" w:cs="Times New Roman"/>
                <w:b/>
                <w:bCs/>
                <w:color w:val="000000" w:themeColor="text1"/>
                <w:kern w:val="24"/>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kern w:val="24"/>
                <w:sz w:val="24"/>
                <w:szCs w:val="24"/>
                <w:highlight w:val="none"/>
                <w:lang w:eastAsia="zh-CN"/>
                <w14:textFill>
                  <w14:solidFill>
                    <w14:schemeClr w14:val="tx1"/>
                  </w14:solidFill>
                </w14:textFill>
              </w:rPr>
              <w:t>预测模型</w:t>
            </w:r>
          </w:p>
          <w:p w14:paraId="5BD1CC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根据项目建设内容及《环境影响评价技术导则</w:t>
            </w:r>
            <w:r>
              <w:rPr>
                <w:rFonts w:hint="eastAsia" w:ascii="Times New Roman" w:hAnsi="Times New Roman" w:cs="Times New Roman"/>
                <w:color w:val="000000" w:themeColor="text1"/>
                <w:kern w:val="24"/>
                <w:sz w:val="24"/>
                <w:szCs w:val="24"/>
                <w:highlight w:val="none"/>
                <w:lang w:eastAsia="zh-CN"/>
                <w14:textFill>
                  <w14:solidFill>
                    <w14:schemeClr w14:val="tx1"/>
                  </w14:solidFill>
                </w14:textFill>
              </w:rPr>
              <w:t xml:space="preserve"> </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声环境》（HJ2.4-2021）的要求，项目环评采用的模型为《环境影响评价技术导则 声环境》</w:t>
            </w:r>
            <w:r>
              <w:rPr>
                <w:rFonts w:hint="default"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HJ2.4.2021</w:t>
            </w:r>
            <w:r>
              <w:rPr>
                <w:rFonts w:hint="default"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附录B（规范性附录）中“B.1工业噪声预测计算模型”。</w:t>
            </w:r>
          </w:p>
          <w:p w14:paraId="186B0CEF">
            <w:pPr>
              <w:keepNext w:val="0"/>
              <w:keepLines w:val="0"/>
              <w:pageBreakBefore w:val="0"/>
              <w:widowControl w:val="0"/>
              <w:tabs>
                <w:tab w:val="left" w:pos="1282"/>
              </w:tabs>
              <w:kinsoku/>
              <w:wordWrap/>
              <w:overflowPunct/>
              <w:topLinePunct w:val="0"/>
              <w:autoSpaceDE/>
              <w:autoSpaceDN/>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b w:val="0"/>
                <w:bCs w:val="0"/>
                <w:color w:val="000000" w:themeColor="text1"/>
                <w:kern w:val="24"/>
                <w:sz w:val="24"/>
                <w:szCs w:val="24"/>
                <w:highlight w:val="none"/>
                <w:lang w:val="en-US" w:eastAsia="zh-CN"/>
                <w14:textFill>
                  <w14:solidFill>
                    <w14:schemeClr w14:val="tx1"/>
                  </w14:solidFill>
                </w14:textFill>
              </w:rPr>
            </w:pPr>
            <w:r>
              <w:rPr>
                <w:rFonts w:hint="eastAsia" w:cs="Times New Roman"/>
                <w:b w:val="0"/>
                <w:bCs w:val="0"/>
                <w:color w:val="000000" w:themeColor="text1"/>
                <w:kern w:val="24"/>
                <w:sz w:val="24"/>
                <w:szCs w:val="24"/>
                <w:highlight w:val="none"/>
                <w:lang w:val="en-US" w:eastAsia="zh-CN"/>
                <w14:textFill>
                  <w14:solidFill>
                    <w14:schemeClr w14:val="tx1"/>
                  </w14:solidFill>
                </w14:textFill>
              </w:rPr>
              <w:t>（1）室内声源等效室外声源声功率级计算方法</w:t>
            </w:r>
          </w:p>
          <w:p w14:paraId="0E4DB654">
            <w:pPr>
              <w:pStyle w:val="11"/>
              <w:keepNext w:val="0"/>
              <w:keepLines w:val="0"/>
              <w:pageBreakBefore w:val="0"/>
              <w:widowControl w:val="0"/>
              <w:kinsoku/>
              <w:wordWrap/>
              <w:overflowPunct/>
              <w:autoSpaceDE/>
              <w:autoSpaceDN/>
              <w:bidi w:val="0"/>
              <w:adjustRightInd w:val="0"/>
              <w:snapToGrid w:val="0"/>
              <w:spacing w:before="0" w:after="0" w:line="360" w:lineRule="auto"/>
              <w:ind w:left="0" w:leftChars="0" w:right="0" w:rightChars="0" w:firstLine="480" w:firstLineChars="200"/>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default" w:ascii="Times New Roman" w:hAnsi="Times New Roman" w:eastAsia="宋体" w:cs="Times New Roman"/>
                <w:color w:val="000000" w:themeColor="text1"/>
                <w:kern w:val="24"/>
                <w:sz w:val="24"/>
                <w:szCs w:val="24"/>
                <w14:textFill>
                  <w14:solidFill>
                    <w14:schemeClr w14:val="tx1"/>
                  </w14:solidFill>
                </w14:textFill>
              </w:rPr>
              <w:t>声源位于室内，室内声源采用等效室外声源声功率级法进行计算。设靠近开口处（</w:t>
            </w:r>
            <w:r>
              <w:rPr>
                <w:rFonts w:hint="default" w:ascii="Times New Roman" w:hAnsi="Times New Roman" w:eastAsia="宋体" w:cs="Times New Roman"/>
                <w:color w:val="000000" w:themeColor="text1"/>
                <w:spacing w:val="0"/>
                <w:kern w:val="24"/>
                <w:sz w:val="24"/>
                <w:szCs w:val="24"/>
                <w14:textFill>
                  <w14:solidFill>
                    <w14:schemeClr w14:val="tx1"/>
                  </w14:solidFill>
                </w14:textFill>
              </w:rPr>
              <w:t>或窗户）室内、室外某倍频带的声压级或</w:t>
            </w:r>
            <w:r>
              <w:rPr>
                <w:rFonts w:hint="default" w:ascii="Times New Roman" w:hAnsi="Times New Roman" w:eastAsia="宋体" w:cs="Times New Roman"/>
                <w:color w:val="000000" w:themeColor="text1"/>
                <w:kern w:val="24"/>
                <w:sz w:val="24"/>
                <w:szCs w:val="24"/>
                <w14:textFill>
                  <w14:solidFill>
                    <w14:schemeClr w14:val="tx1"/>
                  </w14:solidFill>
                </w14:textFill>
              </w:rPr>
              <w:t>A</w:t>
            </w:r>
            <w:r>
              <w:rPr>
                <w:rFonts w:hint="default" w:ascii="Times New Roman" w:hAnsi="Times New Roman" w:eastAsia="宋体" w:cs="Times New Roman"/>
                <w:color w:val="000000" w:themeColor="text1"/>
                <w:spacing w:val="0"/>
                <w:kern w:val="24"/>
                <w:sz w:val="24"/>
                <w:szCs w:val="24"/>
                <w14:textFill>
                  <w14:solidFill>
                    <w14:schemeClr w14:val="tx1"/>
                  </w14:solidFill>
                </w14:textFill>
              </w:rPr>
              <w:t>声级分别为</w:t>
            </w:r>
            <w:r>
              <w:rPr>
                <w:rFonts w:hint="default" w:ascii="Times New Roman" w:hAnsi="Times New Roman" w:eastAsia="宋体" w:cs="Times New Roman"/>
                <w:i/>
                <w:color w:val="000000" w:themeColor="text1"/>
                <w:kern w:val="24"/>
                <w:sz w:val="24"/>
                <w:szCs w:val="24"/>
                <w14:textFill>
                  <w14:solidFill>
                    <w14:schemeClr w14:val="tx1"/>
                  </w14:solidFill>
                </w14:textFill>
              </w:rPr>
              <w:t>L</w:t>
            </w:r>
            <w:r>
              <w:rPr>
                <w:rFonts w:hint="default" w:ascii="Times New Roman" w:hAnsi="Times New Roman" w:eastAsia="宋体" w:cs="Times New Roman"/>
                <w:i/>
                <w:color w:val="000000" w:themeColor="text1"/>
                <w:kern w:val="24"/>
                <w:sz w:val="24"/>
                <w:szCs w:val="24"/>
                <w:vertAlign w:val="subscript"/>
                <w14:textFill>
                  <w14:solidFill>
                    <w14:schemeClr w14:val="tx1"/>
                  </w14:solidFill>
                </w14:textFill>
              </w:rPr>
              <w:t>p1</w:t>
            </w:r>
            <w:r>
              <w:rPr>
                <w:rFonts w:hint="default" w:ascii="Times New Roman" w:hAnsi="Times New Roman" w:eastAsia="宋体" w:cs="Times New Roman"/>
                <w:color w:val="000000" w:themeColor="text1"/>
                <w:spacing w:val="0"/>
                <w:kern w:val="24"/>
                <w:sz w:val="24"/>
                <w:szCs w:val="24"/>
                <w:vertAlign w:val="baseline"/>
                <w14:textFill>
                  <w14:solidFill>
                    <w14:schemeClr w14:val="tx1"/>
                  </w14:solidFill>
                </w14:textFill>
              </w:rPr>
              <w:t>和</w:t>
            </w:r>
            <w:r>
              <w:rPr>
                <w:rFonts w:hint="default" w:ascii="Times New Roman" w:hAnsi="Times New Roman" w:eastAsia="宋体" w:cs="Times New Roman"/>
                <w:i/>
                <w:color w:val="000000" w:themeColor="text1"/>
                <w:kern w:val="24"/>
                <w:sz w:val="24"/>
                <w:szCs w:val="24"/>
                <w:vertAlign w:val="baseline"/>
                <w14:textFill>
                  <w14:solidFill>
                    <w14:schemeClr w14:val="tx1"/>
                  </w14:solidFill>
                </w14:textFill>
              </w:rPr>
              <w:t>L</w:t>
            </w:r>
            <w:r>
              <w:rPr>
                <w:rFonts w:hint="default" w:ascii="Times New Roman" w:hAnsi="Times New Roman" w:eastAsia="宋体" w:cs="Times New Roman"/>
                <w:i/>
                <w:color w:val="000000" w:themeColor="text1"/>
                <w:kern w:val="24"/>
                <w:sz w:val="24"/>
                <w:szCs w:val="24"/>
                <w:vertAlign w:val="subscript"/>
                <w14:textFill>
                  <w14:solidFill>
                    <w14:schemeClr w14:val="tx1"/>
                  </w14:solidFill>
                </w14:textFill>
              </w:rPr>
              <w:t>p2</w:t>
            </w:r>
            <w:r>
              <w:rPr>
                <w:rFonts w:hint="default" w:ascii="Times New Roman" w:hAnsi="Times New Roman" w:eastAsia="宋体" w:cs="Times New Roman"/>
                <w:color w:val="000000" w:themeColor="text1"/>
                <w:spacing w:val="0"/>
                <w:kern w:val="24"/>
                <w:sz w:val="24"/>
                <w:szCs w:val="24"/>
                <w:vertAlign w:val="baseline"/>
                <w14:textFill>
                  <w14:solidFill>
                    <w14:schemeClr w14:val="tx1"/>
                  </w14:solidFill>
                </w14:textFill>
              </w:rPr>
              <w:t>。若声源所在室内声场为近似扩散声场，则室外的倍频带声压级可按式</w:t>
            </w:r>
            <w:r>
              <w:rPr>
                <w:rFonts w:hint="default" w:ascii="Times New Roman" w:hAnsi="Times New Roman" w:eastAsia="宋体" w:cs="Times New Roman"/>
                <w:color w:val="000000" w:themeColor="text1"/>
                <w:kern w:val="24"/>
                <w:sz w:val="24"/>
                <w:szCs w:val="24"/>
                <w:vertAlign w:val="baseline"/>
                <w14:textFill>
                  <w14:solidFill>
                    <w14:schemeClr w14:val="tx1"/>
                  </w14:solidFill>
                </w14:textFill>
              </w:rPr>
              <w:t>（B.1）</w:t>
            </w:r>
            <w:r>
              <w:rPr>
                <w:rFonts w:hint="default" w:ascii="Times New Roman" w:hAnsi="Times New Roman" w:eastAsia="宋体" w:cs="Times New Roman"/>
                <w:color w:val="000000" w:themeColor="text1"/>
                <w:spacing w:val="0"/>
                <w:kern w:val="24"/>
                <w:sz w:val="24"/>
                <w:szCs w:val="24"/>
                <w:vertAlign w:val="baseline"/>
                <w14:textFill>
                  <w14:solidFill>
                    <w14:schemeClr w14:val="tx1"/>
                  </w14:solidFill>
                </w14:textFill>
              </w:rPr>
              <w:t>近似求出：</w:t>
            </w:r>
          </w:p>
          <w:p w14:paraId="73C69741">
            <w:pPr>
              <w:keepNext w:val="0"/>
              <w:keepLines w:val="0"/>
              <w:pageBreakBefore w:val="0"/>
              <w:widowControl w:val="0"/>
              <w:kinsoku/>
              <w:wordWrap/>
              <w:overflowPunct/>
              <w:autoSpaceDE/>
              <w:autoSpaceDN/>
              <w:bidi w:val="0"/>
              <w:adjustRightInd w:val="0"/>
              <w:snapToGrid w:val="0"/>
              <w:spacing w:before="0" w:line="360" w:lineRule="auto"/>
              <w:ind w:left="0" w:leftChars="0" w:right="0" w:rightChars="0" w:firstLine="0" w:firstLineChars="0"/>
              <w:jc w:val="center"/>
              <w:rPr>
                <w:rFonts w:hint="default" w:ascii="Times New Roman" w:hAnsi="Times New Roman" w:eastAsia="宋体" w:cs="Times New Roman"/>
                <w:color w:val="000000" w:themeColor="text1"/>
                <w:kern w:val="24"/>
                <w:sz w:val="24"/>
                <w14:textFill>
                  <w14:solidFill>
                    <w14:schemeClr w14:val="tx1"/>
                  </w14:solidFill>
                </w14:textFill>
              </w:rPr>
            </w:pPr>
            <w:r>
              <w:rPr>
                <w:rFonts w:hint="default" w:ascii="Times New Roman" w:hAnsi="Times New Roman" w:eastAsia="宋体" w:cs="Times New Roman"/>
                <w:i/>
                <w:iCs/>
                <w:color w:val="000000" w:themeColor="text1"/>
                <w:sz w:val="24"/>
                <w:lang w:val="en-US" w:eastAsia="zh-CN"/>
                <w14:textFill>
                  <w14:solidFill>
                    <w14:schemeClr w14:val="tx1"/>
                  </w14:solidFill>
                </w14:textFill>
              </w:rPr>
              <w:t>L</w:t>
            </w:r>
            <w:r>
              <w:rPr>
                <w:rFonts w:hint="default" w:ascii="Times New Roman" w:hAnsi="Times New Roman" w:eastAsia="宋体" w:cs="Times New Roman"/>
                <w:i/>
                <w:iCs/>
                <w:color w:val="000000" w:themeColor="text1"/>
                <w:sz w:val="24"/>
                <w:vertAlign w:val="subscript"/>
                <w:lang w:val="en-US" w:eastAsia="zh-CN"/>
                <w14:textFill>
                  <w14:solidFill>
                    <w14:schemeClr w14:val="tx1"/>
                  </w14:solidFill>
                </w14:textFill>
              </w:rPr>
              <w:t>p2</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i/>
                <w:iCs/>
                <w:color w:val="000000" w:themeColor="text1"/>
                <w:sz w:val="24"/>
                <w:lang w:val="en-US" w:eastAsia="zh-CN"/>
                <w14:textFill>
                  <w14:solidFill>
                    <w14:schemeClr w14:val="tx1"/>
                  </w14:solidFill>
                </w14:textFill>
              </w:rPr>
              <w:t>L</w:t>
            </w:r>
            <w:r>
              <w:rPr>
                <w:rFonts w:hint="default" w:ascii="Times New Roman" w:hAnsi="Times New Roman" w:eastAsia="宋体" w:cs="Times New Roman"/>
                <w:i/>
                <w:iCs/>
                <w:color w:val="000000" w:themeColor="text1"/>
                <w:sz w:val="24"/>
                <w:vertAlign w:val="subscript"/>
                <w:lang w:val="en-US" w:eastAsia="zh-CN"/>
                <w14:textFill>
                  <w14:solidFill>
                    <w14:schemeClr w14:val="tx1"/>
                  </w14:solidFill>
                </w14:textFill>
              </w:rPr>
              <w:t>p1</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i/>
                <w:iCs/>
                <w:color w:val="000000" w:themeColor="text1"/>
                <w:sz w:val="24"/>
                <w:lang w:val="en-US" w:eastAsia="zh-CN"/>
                <w14:textFill>
                  <w14:solidFill>
                    <w14:schemeClr w14:val="tx1"/>
                  </w14:solidFill>
                </w14:textFill>
              </w:rPr>
              <w:t>TL</w:t>
            </w:r>
            <w:r>
              <w:rPr>
                <w:rFonts w:hint="default" w:ascii="Times New Roman" w:hAnsi="Times New Roman" w:eastAsia="宋体" w:cs="Times New Roman"/>
                <w:color w:val="000000" w:themeColor="text1"/>
                <w:sz w:val="24"/>
                <w:lang w:val="en-US" w:eastAsia="zh-CN"/>
                <w14:textFill>
                  <w14:solidFill>
                    <w14:schemeClr w14:val="tx1"/>
                  </w14:solidFill>
                </w14:textFill>
              </w:rPr>
              <w:t>+6）         （B.1）</w:t>
            </w:r>
          </w:p>
          <w:p w14:paraId="78647CCC">
            <w:pPr>
              <w:pStyle w:val="11"/>
              <w:keepNext w:val="0"/>
              <w:keepLines w:val="0"/>
              <w:pageBreakBefore w:val="0"/>
              <w:widowControl w:val="0"/>
              <w:kinsoku/>
              <w:wordWrap/>
              <w:overflowPunct/>
              <w:autoSpaceDE/>
              <w:autoSpaceDN/>
              <w:bidi w:val="0"/>
              <w:adjustRightInd w:val="0"/>
              <w:snapToGrid w:val="0"/>
              <w:spacing w:before="0" w:after="0" w:line="360" w:lineRule="auto"/>
              <w:ind w:left="0" w:leftChars="0" w:right="0" w:rightChars="0" w:firstLine="480" w:firstLineChars="200"/>
              <w:jc w:val="both"/>
              <w:rPr>
                <w:rFonts w:hint="default" w:ascii="Times New Roman" w:hAnsi="Times New Roman" w:eastAsia="宋体" w:cs="Times New Roman"/>
                <w:color w:val="000000" w:themeColor="text1"/>
                <w:kern w:val="24"/>
                <w:sz w:val="24"/>
                <w:szCs w:val="24"/>
                <w:vertAlign w:val="baseline"/>
                <w14:textFill>
                  <w14:solidFill>
                    <w14:schemeClr w14:val="tx1"/>
                  </w14:solidFill>
                </w14:textFill>
              </w:rPr>
            </w:pPr>
            <w:r>
              <w:rPr>
                <w:rFonts w:hint="default" w:ascii="Times New Roman" w:hAnsi="Times New Roman" w:eastAsia="宋体" w:cs="Times New Roman"/>
                <w:color w:val="000000" w:themeColor="text1"/>
                <w:kern w:val="24"/>
                <w:sz w:val="24"/>
                <w:szCs w:val="24"/>
                <w14:textFill>
                  <w14:solidFill>
                    <w14:schemeClr w14:val="tx1"/>
                  </w14:solidFill>
                </w14:textFill>
              </w:rPr>
              <w:t>式中：</w:t>
            </w:r>
            <w:r>
              <w:rPr>
                <w:rFonts w:hint="default" w:ascii="Times New Roman" w:hAnsi="Times New Roman" w:eastAsia="宋体" w:cs="Times New Roman"/>
                <w:i/>
                <w:color w:val="000000" w:themeColor="text1"/>
                <w:kern w:val="24"/>
                <w:position w:val="0"/>
                <w:sz w:val="24"/>
                <w:szCs w:val="24"/>
                <w14:textFill>
                  <w14:solidFill>
                    <w14:schemeClr w14:val="tx1"/>
                  </w14:solidFill>
                </w14:textFill>
              </w:rPr>
              <w:t>L</w:t>
            </w:r>
            <w:r>
              <w:rPr>
                <w:rFonts w:hint="default" w:ascii="Times New Roman" w:hAnsi="Times New Roman" w:eastAsia="宋体" w:cs="Times New Roman"/>
                <w:i/>
                <w:color w:val="000000" w:themeColor="text1"/>
                <w:kern w:val="24"/>
                <w:position w:val="0"/>
                <w:sz w:val="24"/>
                <w:szCs w:val="24"/>
                <w:vertAlign w:val="subscript"/>
                <w14:textFill>
                  <w14:solidFill>
                    <w14:schemeClr w14:val="tx1"/>
                  </w14:solidFill>
                </w14:textFill>
              </w:rPr>
              <w:t>p</w:t>
            </w:r>
            <w:r>
              <w:rPr>
                <w:rFonts w:hint="default" w:ascii="Times New Roman" w:hAnsi="Times New Roman" w:eastAsia="宋体" w:cs="Times New Roman"/>
                <w:color w:val="000000" w:themeColor="text1"/>
                <w:kern w:val="24"/>
                <w:position w:val="0"/>
                <w:sz w:val="24"/>
                <w:szCs w:val="24"/>
                <w:vertAlign w:val="subscript"/>
                <w14:textFill>
                  <w14:solidFill>
                    <w14:schemeClr w14:val="tx1"/>
                  </w14:solidFill>
                </w14:textFill>
              </w:rPr>
              <w:t>1</w:t>
            </w:r>
            <w:r>
              <w:rPr>
                <w:rFonts w:hint="default" w:ascii="Times New Roman" w:hAnsi="Times New Roman" w:eastAsia="宋体" w:cs="Times New Roman"/>
                <w:color w:val="000000" w:themeColor="text1"/>
                <w:kern w:val="24"/>
                <w:position w:val="0"/>
                <w:sz w:val="24"/>
                <w:szCs w:val="24"/>
                <w:vertAlign w:val="baseline"/>
                <w14:textFill>
                  <w14:solidFill>
                    <w14:schemeClr w14:val="tx1"/>
                  </w14:solidFill>
                </w14:textFill>
              </w:rPr>
              <w:t>——</w:t>
            </w:r>
            <w:r>
              <w:rPr>
                <w:rFonts w:hint="default" w:ascii="Times New Roman" w:hAnsi="Times New Roman" w:eastAsia="宋体" w:cs="Times New Roman"/>
                <w:color w:val="000000" w:themeColor="text1"/>
                <w:spacing w:val="0"/>
                <w:kern w:val="24"/>
                <w:sz w:val="24"/>
                <w:szCs w:val="24"/>
                <w:vertAlign w:val="baseline"/>
                <w14:textFill>
                  <w14:solidFill>
                    <w14:schemeClr w14:val="tx1"/>
                  </w14:solidFill>
                </w14:textFill>
              </w:rPr>
              <w:t>靠近开口处</w:t>
            </w:r>
            <w:r>
              <w:rPr>
                <w:rFonts w:hint="default" w:ascii="Times New Roman" w:hAnsi="Times New Roman" w:eastAsia="宋体" w:cs="Times New Roman"/>
                <w:color w:val="000000" w:themeColor="text1"/>
                <w:kern w:val="24"/>
                <w:sz w:val="24"/>
                <w:szCs w:val="24"/>
                <w:vertAlign w:val="baseline"/>
                <w14:textFill>
                  <w14:solidFill>
                    <w14:schemeClr w14:val="tx1"/>
                  </w14:solidFill>
                </w14:textFill>
              </w:rPr>
              <w:t>（</w:t>
            </w:r>
            <w:r>
              <w:rPr>
                <w:rFonts w:hint="default" w:ascii="Times New Roman" w:hAnsi="Times New Roman" w:eastAsia="宋体" w:cs="Times New Roman"/>
                <w:color w:val="000000" w:themeColor="text1"/>
                <w:spacing w:val="0"/>
                <w:kern w:val="24"/>
                <w:sz w:val="24"/>
                <w:szCs w:val="24"/>
                <w:vertAlign w:val="baseline"/>
                <w14:textFill>
                  <w14:solidFill>
                    <w14:schemeClr w14:val="tx1"/>
                  </w14:solidFill>
                </w14:textFill>
              </w:rPr>
              <w:t>或窗户）室内某倍频带的声压级或</w:t>
            </w:r>
            <w:r>
              <w:rPr>
                <w:rFonts w:hint="default" w:ascii="Times New Roman" w:hAnsi="Times New Roman" w:eastAsia="宋体" w:cs="Times New Roman"/>
                <w:color w:val="000000" w:themeColor="text1"/>
                <w:kern w:val="24"/>
                <w:position w:val="0"/>
                <w:sz w:val="24"/>
                <w:szCs w:val="24"/>
                <w:vertAlign w:val="baseline"/>
                <w14:textFill>
                  <w14:solidFill>
                    <w14:schemeClr w14:val="tx1"/>
                  </w14:solidFill>
                </w14:textFill>
              </w:rPr>
              <w:t>A</w:t>
            </w:r>
            <w:r>
              <w:rPr>
                <w:rFonts w:hint="default" w:ascii="Times New Roman" w:hAnsi="Times New Roman" w:eastAsia="宋体" w:cs="Times New Roman"/>
                <w:color w:val="000000" w:themeColor="text1"/>
                <w:spacing w:val="0"/>
                <w:kern w:val="24"/>
                <w:sz w:val="24"/>
                <w:szCs w:val="24"/>
                <w:vertAlign w:val="baseline"/>
                <w14:textFill>
                  <w14:solidFill>
                    <w14:schemeClr w14:val="tx1"/>
                  </w14:solidFill>
                </w14:textFill>
              </w:rPr>
              <w:t>声级，</w:t>
            </w:r>
            <w:r>
              <w:rPr>
                <w:rFonts w:hint="default" w:ascii="Times New Roman" w:hAnsi="Times New Roman" w:eastAsia="宋体" w:cs="Times New Roman"/>
                <w:color w:val="000000" w:themeColor="text1"/>
                <w:kern w:val="24"/>
                <w:position w:val="0"/>
                <w:sz w:val="24"/>
                <w:szCs w:val="24"/>
                <w:vertAlign w:val="baseline"/>
                <w14:textFill>
                  <w14:solidFill>
                    <w14:schemeClr w14:val="tx1"/>
                  </w14:solidFill>
                </w14:textFill>
              </w:rPr>
              <w:t>dB</w:t>
            </w:r>
            <w:r>
              <w:rPr>
                <w:rFonts w:hint="default" w:ascii="Times New Roman" w:hAnsi="Times New Roman" w:eastAsia="宋体" w:cs="Times New Roman"/>
                <w:color w:val="000000" w:themeColor="text1"/>
                <w:kern w:val="24"/>
                <w:sz w:val="24"/>
                <w:szCs w:val="24"/>
                <w:vertAlign w:val="baseline"/>
                <w14:textFill>
                  <w14:solidFill>
                    <w14:schemeClr w14:val="tx1"/>
                  </w14:solidFill>
                </w14:textFill>
              </w:rPr>
              <w:t>；</w:t>
            </w:r>
          </w:p>
          <w:p w14:paraId="7A6C7AC2">
            <w:pPr>
              <w:pStyle w:val="11"/>
              <w:keepNext w:val="0"/>
              <w:keepLines w:val="0"/>
              <w:pageBreakBefore w:val="0"/>
              <w:widowControl w:val="0"/>
              <w:kinsoku/>
              <w:wordWrap/>
              <w:overflowPunct/>
              <w:autoSpaceDE/>
              <w:autoSpaceDN/>
              <w:bidi w:val="0"/>
              <w:adjustRightInd w:val="0"/>
              <w:snapToGrid w:val="0"/>
              <w:spacing w:before="0" w:after="0" w:line="360" w:lineRule="auto"/>
              <w:ind w:left="0" w:leftChars="0" w:right="0" w:rightChars="0" w:firstLine="1200" w:firstLineChars="500"/>
              <w:jc w:val="both"/>
              <w:rPr>
                <w:rFonts w:hint="default" w:ascii="Times New Roman" w:hAnsi="Times New Roman" w:eastAsia="宋体" w:cs="Times New Roman"/>
                <w:color w:val="000000" w:themeColor="text1"/>
                <w:kern w:val="24"/>
                <w:sz w:val="24"/>
                <w:szCs w:val="24"/>
                <w:vertAlign w:val="baseline"/>
                <w14:textFill>
                  <w14:solidFill>
                    <w14:schemeClr w14:val="tx1"/>
                  </w14:solidFill>
                </w14:textFill>
              </w:rPr>
            </w:pPr>
            <w:r>
              <w:rPr>
                <w:rFonts w:hint="default" w:ascii="Times New Roman" w:hAnsi="Times New Roman" w:eastAsia="宋体" w:cs="Times New Roman"/>
                <w:i/>
                <w:color w:val="000000" w:themeColor="text1"/>
                <w:kern w:val="24"/>
                <w:position w:val="0"/>
                <w:sz w:val="24"/>
                <w:szCs w:val="24"/>
                <w:vertAlign w:val="baseline"/>
                <w14:textFill>
                  <w14:solidFill>
                    <w14:schemeClr w14:val="tx1"/>
                  </w14:solidFill>
                </w14:textFill>
              </w:rPr>
              <w:t>L</w:t>
            </w:r>
            <w:r>
              <w:rPr>
                <w:rFonts w:hint="default" w:ascii="Times New Roman" w:hAnsi="Times New Roman" w:eastAsia="宋体" w:cs="Times New Roman"/>
                <w:i/>
                <w:color w:val="000000" w:themeColor="text1"/>
                <w:kern w:val="24"/>
                <w:position w:val="0"/>
                <w:sz w:val="24"/>
                <w:szCs w:val="24"/>
                <w:vertAlign w:val="subscript"/>
                <w14:textFill>
                  <w14:solidFill>
                    <w14:schemeClr w14:val="tx1"/>
                  </w14:solidFill>
                </w14:textFill>
              </w:rPr>
              <w:t>p</w:t>
            </w:r>
            <w:r>
              <w:rPr>
                <w:rFonts w:hint="default" w:ascii="Times New Roman" w:hAnsi="Times New Roman" w:eastAsia="宋体" w:cs="Times New Roman"/>
                <w:color w:val="000000" w:themeColor="text1"/>
                <w:kern w:val="24"/>
                <w:position w:val="0"/>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kern w:val="24"/>
                <w:position w:val="0"/>
                <w:sz w:val="24"/>
                <w:szCs w:val="24"/>
                <w:vertAlign w:val="baseline"/>
                <w14:textFill>
                  <w14:solidFill>
                    <w14:schemeClr w14:val="tx1"/>
                  </w14:solidFill>
                </w14:textFill>
              </w:rPr>
              <w:t>——</w:t>
            </w:r>
            <w:r>
              <w:rPr>
                <w:rFonts w:hint="default" w:ascii="Times New Roman" w:hAnsi="Times New Roman" w:eastAsia="宋体" w:cs="Times New Roman"/>
                <w:color w:val="000000" w:themeColor="text1"/>
                <w:spacing w:val="0"/>
                <w:kern w:val="24"/>
                <w:sz w:val="24"/>
                <w:szCs w:val="24"/>
                <w:vertAlign w:val="baseline"/>
                <w14:textFill>
                  <w14:solidFill>
                    <w14:schemeClr w14:val="tx1"/>
                  </w14:solidFill>
                </w14:textFill>
              </w:rPr>
              <w:t>靠近开口处</w:t>
            </w:r>
            <w:r>
              <w:rPr>
                <w:rFonts w:hint="default" w:ascii="Times New Roman" w:hAnsi="Times New Roman" w:eastAsia="宋体" w:cs="Times New Roman"/>
                <w:color w:val="000000" w:themeColor="text1"/>
                <w:kern w:val="24"/>
                <w:sz w:val="24"/>
                <w:szCs w:val="24"/>
                <w:vertAlign w:val="baseline"/>
                <w14:textFill>
                  <w14:solidFill>
                    <w14:schemeClr w14:val="tx1"/>
                  </w14:solidFill>
                </w14:textFill>
              </w:rPr>
              <w:t>（</w:t>
            </w:r>
            <w:r>
              <w:rPr>
                <w:rFonts w:hint="default" w:ascii="Times New Roman" w:hAnsi="Times New Roman" w:eastAsia="宋体" w:cs="Times New Roman"/>
                <w:color w:val="000000" w:themeColor="text1"/>
                <w:spacing w:val="0"/>
                <w:kern w:val="24"/>
                <w:sz w:val="24"/>
                <w:szCs w:val="24"/>
                <w:vertAlign w:val="baseline"/>
                <w14:textFill>
                  <w14:solidFill>
                    <w14:schemeClr w14:val="tx1"/>
                  </w14:solidFill>
                </w14:textFill>
              </w:rPr>
              <w:t>或窗户</w:t>
            </w:r>
            <w:r>
              <w:rPr>
                <w:rFonts w:hint="default" w:ascii="Times New Roman" w:hAnsi="Times New Roman" w:eastAsia="宋体" w:cs="Times New Roman"/>
                <w:color w:val="000000" w:themeColor="text1"/>
                <w:kern w:val="24"/>
                <w:sz w:val="24"/>
                <w:szCs w:val="24"/>
                <w:vertAlign w:val="baseline"/>
                <w14:textFill>
                  <w14:solidFill>
                    <w14:schemeClr w14:val="tx1"/>
                  </w14:solidFill>
                </w14:textFill>
              </w:rPr>
              <w:t>）</w:t>
            </w:r>
            <w:r>
              <w:rPr>
                <w:rFonts w:hint="default" w:ascii="Times New Roman" w:hAnsi="Times New Roman" w:eastAsia="宋体" w:cs="Times New Roman"/>
                <w:color w:val="000000" w:themeColor="text1"/>
                <w:spacing w:val="0"/>
                <w:kern w:val="24"/>
                <w:sz w:val="24"/>
                <w:szCs w:val="24"/>
                <w:vertAlign w:val="baseline"/>
                <w14:textFill>
                  <w14:solidFill>
                    <w14:schemeClr w14:val="tx1"/>
                  </w14:solidFill>
                </w14:textFill>
              </w:rPr>
              <w:t>室外某倍频带的声压级或</w:t>
            </w:r>
            <w:r>
              <w:rPr>
                <w:rFonts w:hint="default" w:ascii="Times New Roman" w:hAnsi="Times New Roman" w:eastAsia="宋体" w:cs="Times New Roman"/>
                <w:color w:val="000000" w:themeColor="text1"/>
                <w:kern w:val="24"/>
                <w:position w:val="0"/>
                <w:sz w:val="24"/>
                <w:szCs w:val="24"/>
                <w:vertAlign w:val="baseline"/>
                <w14:textFill>
                  <w14:solidFill>
                    <w14:schemeClr w14:val="tx1"/>
                  </w14:solidFill>
                </w14:textFill>
              </w:rPr>
              <w:t>A</w:t>
            </w:r>
            <w:r>
              <w:rPr>
                <w:rFonts w:hint="default" w:ascii="Times New Roman" w:hAnsi="Times New Roman" w:eastAsia="宋体" w:cs="Times New Roman"/>
                <w:color w:val="000000" w:themeColor="text1"/>
                <w:spacing w:val="0"/>
                <w:kern w:val="24"/>
                <w:sz w:val="24"/>
                <w:szCs w:val="24"/>
                <w:vertAlign w:val="baseline"/>
                <w14:textFill>
                  <w14:solidFill>
                    <w14:schemeClr w14:val="tx1"/>
                  </w14:solidFill>
                </w14:textFill>
              </w:rPr>
              <w:t>声级，</w:t>
            </w:r>
            <w:r>
              <w:rPr>
                <w:rFonts w:hint="default" w:ascii="Times New Roman" w:hAnsi="Times New Roman" w:eastAsia="宋体" w:cs="Times New Roman"/>
                <w:color w:val="000000" w:themeColor="text1"/>
                <w:kern w:val="24"/>
                <w:position w:val="0"/>
                <w:sz w:val="24"/>
                <w:szCs w:val="24"/>
                <w:vertAlign w:val="baseline"/>
                <w14:textFill>
                  <w14:solidFill>
                    <w14:schemeClr w14:val="tx1"/>
                  </w14:solidFill>
                </w14:textFill>
              </w:rPr>
              <w:t>dB</w:t>
            </w:r>
            <w:r>
              <w:rPr>
                <w:rFonts w:hint="default" w:ascii="Times New Roman" w:hAnsi="Times New Roman" w:eastAsia="宋体" w:cs="Times New Roman"/>
                <w:color w:val="000000" w:themeColor="text1"/>
                <w:kern w:val="24"/>
                <w:sz w:val="24"/>
                <w:szCs w:val="24"/>
                <w:vertAlign w:val="baseline"/>
                <w14:textFill>
                  <w14:solidFill>
                    <w14:schemeClr w14:val="tx1"/>
                  </w14:solidFill>
                </w14:textFill>
              </w:rPr>
              <w:t>；</w:t>
            </w:r>
          </w:p>
          <w:p w14:paraId="2EAB8E67">
            <w:pPr>
              <w:pStyle w:val="11"/>
              <w:keepNext w:val="0"/>
              <w:keepLines w:val="0"/>
              <w:pageBreakBefore w:val="0"/>
              <w:widowControl w:val="0"/>
              <w:kinsoku/>
              <w:wordWrap/>
              <w:overflowPunct/>
              <w:autoSpaceDE/>
              <w:autoSpaceDN/>
              <w:bidi w:val="0"/>
              <w:adjustRightInd w:val="0"/>
              <w:snapToGrid w:val="0"/>
              <w:spacing w:before="0" w:after="0" w:line="360" w:lineRule="auto"/>
              <w:ind w:left="0" w:leftChars="0" w:right="0" w:rightChars="0" w:firstLine="1200" w:firstLineChars="500"/>
              <w:jc w:val="both"/>
              <w:rPr>
                <w:rFonts w:hint="default" w:ascii="Times New Roman" w:hAnsi="Times New Roman" w:eastAsia="宋体" w:cs="Times New Roman"/>
                <w:snapToGrid w:val="0"/>
                <w:color w:val="000000" w:themeColor="text1"/>
                <w:kern w:val="0"/>
                <w:sz w:val="24"/>
                <w:szCs w:val="24"/>
                <w:vertAlign w:val="baseline"/>
                <w14:textFill>
                  <w14:solidFill>
                    <w14:schemeClr w14:val="tx1"/>
                  </w14:solidFill>
                </w14:textFill>
              </w:rPr>
            </w:pPr>
            <w:r>
              <w:rPr>
                <w:rFonts w:hint="default" w:ascii="Times New Roman" w:hAnsi="Times New Roman" w:eastAsia="宋体" w:cs="Times New Roman"/>
                <w:i/>
                <w:snapToGrid w:val="0"/>
                <w:color w:val="000000" w:themeColor="text1"/>
                <w:kern w:val="0"/>
                <w:position w:val="0"/>
                <w:sz w:val="24"/>
                <w:szCs w:val="24"/>
                <w:vertAlign w:val="baseline"/>
                <w14:textFill>
                  <w14:solidFill>
                    <w14:schemeClr w14:val="tx1"/>
                  </w14:solidFill>
                </w14:textFill>
              </w:rPr>
              <w:t>TL</w:t>
            </w:r>
            <w:r>
              <w:rPr>
                <w:rFonts w:hint="default" w:ascii="Times New Roman" w:hAnsi="Times New Roman" w:eastAsia="宋体" w:cs="Times New Roman"/>
                <w:snapToGrid w:val="0"/>
                <w:color w:val="000000" w:themeColor="text1"/>
                <w:kern w:val="0"/>
                <w:position w:val="0"/>
                <w:sz w:val="24"/>
                <w:szCs w:val="24"/>
                <w:vertAlign w:val="baseline"/>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4"/>
                <w:szCs w:val="24"/>
                <w:vertAlign w:val="baseline"/>
                <w14:textFill>
                  <w14:solidFill>
                    <w14:schemeClr w14:val="tx1"/>
                  </w14:solidFill>
                </w14:textFill>
              </w:rPr>
              <w:t>隔墙（或窗户）倍频带或</w:t>
            </w:r>
            <w:r>
              <w:rPr>
                <w:rFonts w:hint="default" w:ascii="Times New Roman" w:hAnsi="Times New Roman" w:eastAsia="宋体" w:cs="Times New Roman"/>
                <w:snapToGrid w:val="0"/>
                <w:color w:val="000000" w:themeColor="text1"/>
                <w:kern w:val="0"/>
                <w:position w:val="0"/>
                <w:sz w:val="24"/>
                <w:szCs w:val="24"/>
                <w:vertAlign w:val="baseline"/>
                <w14:textFill>
                  <w14:solidFill>
                    <w14:schemeClr w14:val="tx1"/>
                  </w14:solidFill>
                </w14:textFill>
              </w:rPr>
              <w:t>A</w:t>
            </w:r>
            <w:r>
              <w:rPr>
                <w:rFonts w:hint="default" w:ascii="Times New Roman" w:hAnsi="Times New Roman" w:eastAsia="宋体" w:cs="Times New Roman"/>
                <w:snapToGrid w:val="0"/>
                <w:color w:val="000000" w:themeColor="text1"/>
                <w:spacing w:val="0"/>
                <w:kern w:val="0"/>
                <w:sz w:val="24"/>
                <w:szCs w:val="24"/>
                <w:vertAlign w:val="baseline"/>
                <w14:textFill>
                  <w14:solidFill>
                    <w14:schemeClr w14:val="tx1"/>
                  </w14:solidFill>
                </w14:textFill>
              </w:rPr>
              <w:t>声级的隔声量，</w:t>
            </w:r>
            <w:r>
              <w:rPr>
                <w:rFonts w:hint="default" w:ascii="Times New Roman" w:hAnsi="Times New Roman" w:eastAsia="宋体" w:cs="Times New Roman"/>
                <w:snapToGrid w:val="0"/>
                <w:color w:val="000000" w:themeColor="text1"/>
                <w:kern w:val="0"/>
                <w:position w:val="0"/>
                <w:sz w:val="24"/>
                <w:szCs w:val="24"/>
                <w:vertAlign w:val="baseline"/>
                <w14:textFill>
                  <w14:solidFill>
                    <w14:schemeClr w14:val="tx1"/>
                  </w14:solidFill>
                </w14:textFill>
              </w:rPr>
              <w:t>dB</w:t>
            </w:r>
            <w:r>
              <w:rPr>
                <w:rFonts w:hint="default" w:ascii="Times New Roman" w:hAnsi="Times New Roman" w:eastAsia="宋体" w:cs="Times New Roman"/>
                <w:snapToGrid w:val="0"/>
                <w:color w:val="000000" w:themeColor="text1"/>
                <w:kern w:val="0"/>
                <w:sz w:val="24"/>
                <w:szCs w:val="24"/>
                <w:vertAlign w:val="baseline"/>
                <w14:textFill>
                  <w14:solidFill>
                    <w14:schemeClr w14:val="tx1"/>
                  </w14:solidFill>
                </w14:textFill>
              </w:rPr>
              <w:t>。</w:t>
            </w:r>
          </w:p>
          <w:p w14:paraId="2FC9E687">
            <w:pPr>
              <w:pStyle w:val="11"/>
              <w:keepNext w:val="0"/>
              <w:keepLines w:val="0"/>
              <w:pageBreakBefore w:val="0"/>
              <w:widowControl w:val="0"/>
              <w:kinsoku/>
              <w:wordWrap/>
              <w:overflowPunct/>
              <w:autoSpaceDE/>
              <w:autoSpaceDN/>
              <w:bidi w:val="0"/>
              <w:adjustRightInd w:val="0"/>
              <w:snapToGrid w:val="0"/>
              <w:spacing w:before="0" w:after="0" w:line="360" w:lineRule="auto"/>
              <w:ind w:left="0" w:leftChars="0" w:right="0" w:righ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343275" cy="1647825"/>
                  <wp:effectExtent l="0" t="0" r="9525" b="9525"/>
                  <wp:docPr id="3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0"/>
                          <pic:cNvPicPr>
                            <a:picLocks noChangeAspect="1"/>
                          </pic:cNvPicPr>
                        </pic:nvPicPr>
                        <pic:blipFill>
                          <a:blip r:embed="rId16"/>
                          <a:stretch>
                            <a:fillRect/>
                          </a:stretch>
                        </pic:blipFill>
                        <pic:spPr>
                          <a:xfrm>
                            <a:off x="0" y="0"/>
                            <a:ext cx="3343275" cy="1647825"/>
                          </a:xfrm>
                          <a:prstGeom prst="rect">
                            <a:avLst/>
                          </a:prstGeom>
                          <a:noFill/>
                          <a:ln>
                            <a:noFill/>
                          </a:ln>
                        </pic:spPr>
                      </pic:pic>
                    </a:graphicData>
                  </a:graphic>
                </wp:inline>
              </w:drawing>
            </w:r>
          </w:p>
          <w:p w14:paraId="2879F683">
            <w:pPr>
              <w:pStyle w:val="11"/>
              <w:keepNext w:val="0"/>
              <w:keepLines w:val="0"/>
              <w:pageBreakBefore w:val="0"/>
              <w:widowControl w:val="0"/>
              <w:kinsoku/>
              <w:wordWrap/>
              <w:overflowPunct/>
              <w:autoSpaceDE/>
              <w:autoSpaceDN/>
              <w:bidi w:val="0"/>
              <w:adjustRightInd w:val="0"/>
              <w:snapToGrid w:val="0"/>
              <w:spacing w:before="157" w:beforeLines="50" w:after="0" w:line="240" w:lineRule="auto"/>
              <w:ind w:left="0" w:leftChars="0" w:right="0" w:rightChars="0" w:firstLine="0" w:firstLineChars="0"/>
              <w:jc w:val="center"/>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default" w:ascii="Times New Roman" w:hAnsi="Times New Roman" w:eastAsia="宋体" w:cs="Times New Roman"/>
                <w:b/>
                <w:bCs/>
                <w:color w:val="000000" w:themeColor="text1"/>
                <w:spacing w:val="0"/>
                <w:kern w:val="24"/>
                <w:sz w:val="21"/>
                <w:szCs w:val="21"/>
                <w14:textFill>
                  <w14:solidFill>
                    <w14:schemeClr w14:val="tx1"/>
                  </w14:solidFill>
                </w14:textFill>
              </w:rPr>
              <w:t>室</w:t>
            </w:r>
            <w:r>
              <w:rPr>
                <w:rFonts w:hint="default" w:ascii="Times New Roman" w:hAnsi="Times New Roman" w:eastAsia="宋体" w:cs="Times New Roman"/>
                <w:b/>
                <w:bCs/>
                <w:color w:val="000000" w:themeColor="text1"/>
                <w:kern w:val="24"/>
                <w:sz w:val="21"/>
                <w:szCs w:val="21"/>
                <w14:textFill>
                  <w14:solidFill>
                    <w14:schemeClr w14:val="tx1"/>
                  </w14:solidFill>
                </w14:textFill>
              </w:rPr>
              <w:t>内</w:t>
            </w:r>
            <w:r>
              <w:rPr>
                <w:rFonts w:hint="default" w:ascii="Times New Roman" w:hAnsi="Times New Roman" w:eastAsia="宋体" w:cs="Times New Roman"/>
                <w:b/>
                <w:bCs/>
                <w:color w:val="000000" w:themeColor="text1"/>
                <w:spacing w:val="0"/>
                <w:kern w:val="24"/>
                <w:sz w:val="21"/>
                <w:szCs w:val="21"/>
                <w14:textFill>
                  <w14:solidFill>
                    <w14:schemeClr w14:val="tx1"/>
                  </w14:solidFill>
                </w14:textFill>
              </w:rPr>
              <w:t>声</w:t>
            </w:r>
            <w:r>
              <w:rPr>
                <w:rFonts w:hint="default" w:ascii="Times New Roman" w:hAnsi="Times New Roman" w:eastAsia="宋体" w:cs="Times New Roman"/>
                <w:b/>
                <w:bCs/>
                <w:color w:val="000000" w:themeColor="text1"/>
                <w:kern w:val="24"/>
                <w:sz w:val="21"/>
                <w:szCs w:val="21"/>
                <w14:textFill>
                  <w14:solidFill>
                    <w14:schemeClr w14:val="tx1"/>
                  </w14:solidFill>
                </w14:textFill>
              </w:rPr>
              <w:t>源</w:t>
            </w:r>
            <w:r>
              <w:rPr>
                <w:rFonts w:hint="default" w:ascii="Times New Roman" w:hAnsi="Times New Roman" w:eastAsia="宋体" w:cs="Times New Roman"/>
                <w:b/>
                <w:bCs/>
                <w:color w:val="000000" w:themeColor="text1"/>
                <w:spacing w:val="0"/>
                <w:kern w:val="24"/>
                <w:sz w:val="21"/>
                <w:szCs w:val="21"/>
                <w14:textFill>
                  <w14:solidFill>
                    <w14:schemeClr w14:val="tx1"/>
                  </w14:solidFill>
                </w14:textFill>
              </w:rPr>
              <w:t>等</w:t>
            </w:r>
            <w:r>
              <w:rPr>
                <w:rFonts w:hint="default" w:ascii="Times New Roman" w:hAnsi="Times New Roman" w:eastAsia="宋体" w:cs="Times New Roman"/>
                <w:b/>
                <w:bCs/>
                <w:color w:val="000000" w:themeColor="text1"/>
                <w:kern w:val="24"/>
                <w:sz w:val="21"/>
                <w:szCs w:val="21"/>
                <w14:textFill>
                  <w14:solidFill>
                    <w14:schemeClr w14:val="tx1"/>
                  </w14:solidFill>
                </w14:textFill>
              </w:rPr>
              <w:t>效</w:t>
            </w:r>
            <w:r>
              <w:rPr>
                <w:rFonts w:hint="default" w:ascii="Times New Roman" w:hAnsi="Times New Roman" w:eastAsia="宋体" w:cs="Times New Roman"/>
                <w:b/>
                <w:bCs/>
                <w:color w:val="000000" w:themeColor="text1"/>
                <w:spacing w:val="0"/>
                <w:kern w:val="24"/>
                <w:sz w:val="21"/>
                <w:szCs w:val="21"/>
                <w14:textFill>
                  <w14:solidFill>
                    <w14:schemeClr w14:val="tx1"/>
                  </w14:solidFill>
                </w14:textFill>
              </w:rPr>
              <w:t>为</w:t>
            </w:r>
            <w:r>
              <w:rPr>
                <w:rFonts w:hint="default" w:ascii="Times New Roman" w:hAnsi="Times New Roman" w:eastAsia="宋体" w:cs="Times New Roman"/>
                <w:b/>
                <w:bCs/>
                <w:color w:val="000000" w:themeColor="text1"/>
                <w:kern w:val="24"/>
                <w:sz w:val="21"/>
                <w:szCs w:val="21"/>
                <w14:textFill>
                  <w14:solidFill>
                    <w14:schemeClr w14:val="tx1"/>
                  </w14:solidFill>
                </w14:textFill>
              </w:rPr>
              <w:t>室外</w:t>
            </w:r>
            <w:r>
              <w:rPr>
                <w:rFonts w:hint="default" w:ascii="Times New Roman" w:hAnsi="Times New Roman" w:eastAsia="宋体" w:cs="Times New Roman"/>
                <w:b/>
                <w:bCs/>
                <w:color w:val="000000" w:themeColor="text1"/>
                <w:spacing w:val="0"/>
                <w:kern w:val="24"/>
                <w:sz w:val="21"/>
                <w:szCs w:val="21"/>
                <w14:textFill>
                  <w14:solidFill>
                    <w14:schemeClr w14:val="tx1"/>
                  </w14:solidFill>
                </w14:textFill>
              </w:rPr>
              <w:t>声</w:t>
            </w:r>
            <w:r>
              <w:rPr>
                <w:rFonts w:hint="default" w:ascii="Times New Roman" w:hAnsi="Times New Roman" w:eastAsia="宋体" w:cs="Times New Roman"/>
                <w:b/>
                <w:bCs/>
                <w:color w:val="000000" w:themeColor="text1"/>
                <w:kern w:val="24"/>
                <w:sz w:val="21"/>
                <w:szCs w:val="21"/>
                <w14:textFill>
                  <w14:solidFill>
                    <w14:schemeClr w14:val="tx1"/>
                  </w14:solidFill>
                </w14:textFill>
              </w:rPr>
              <w:t>源</w:t>
            </w:r>
            <w:r>
              <w:rPr>
                <w:rFonts w:hint="default" w:ascii="Times New Roman" w:hAnsi="Times New Roman" w:eastAsia="宋体" w:cs="Times New Roman"/>
                <w:b/>
                <w:bCs/>
                <w:color w:val="000000" w:themeColor="text1"/>
                <w:spacing w:val="0"/>
                <w:kern w:val="24"/>
                <w:sz w:val="21"/>
                <w:szCs w:val="21"/>
                <w14:textFill>
                  <w14:solidFill>
                    <w14:schemeClr w14:val="tx1"/>
                  </w14:solidFill>
                </w14:textFill>
              </w:rPr>
              <w:t>图</w:t>
            </w:r>
            <w:r>
              <w:rPr>
                <w:rFonts w:hint="default" w:ascii="Times New Roman" w:hAnsi="Times New Roman" w:eastAsia="宋体" w:cs="Times New Roman"/>
                <w:b/>
                <w:bCs/>
                <w:color w:val="000000" w:themeColor="text1"/>
                <w:kern w:val="24"/>
                <w:sz w:val="21"/>
                <w:szCs w:val="21"/>
                <w14:textFill>
                  <w14:solidFill>
                    <w14:schemeClr w14:val="tx1"/>
                  </w14:solidFill>
                </w14:textFill>
              </w:rPr>
              <w:t>例</w:t>
            </w:r>
          </w:p>
          <w:p w14:paraId="413CCE5B">
            <w:pPr>
              <w:pStyle w:val="65"/>
              <w:keepNext w:val="0"/>
              <w:keepLines w:val="0"/>
              <w:pageBreakBefore w:val="0"/>
              <w:widowControl w:val="0"/>
              <w:numPr>
                <w:ilvl w:val="-1"/>
                <w:numId w:val="0"/>
              </w:numPr>
              <w:tabs>
                <w:tab w:val="left" w:pos="1013"/>
                <w:tab w:val="left" w:pos="1014"/>
              </w:tabs>
              <w:kinsoku/>
              <w:wordWrap/>
              <w:overflowPunct/>
              <w:autoSpaceDE/>
              <w:autoSpaceDN/>
              <w:bidi w:val="0"/>
              <w:adjustRightInd w:val="0"/>
              <w:snapToGrid w:val="0"/>
              <w:spacing w:before="0" w:after="0" w:line="360" w:lineRule="auto"/>
              <w:ind w:left="0" w:leftChars="0" w:right="0" w:rightChars="0" w:firstLine="480" w:firstLineChars="200"/>
              <w:jc w:val="both"/>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eastAsia" w:ascii="Times New Roman" w:hAnsi="Times New Roman" w:cs="Times New Roman"/>
                <w:color w:val="000000" w:themeColor="text1"/>
                <w:spacing w:val="0"/>
                <w:kern w:val="24"/>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pacing w:val="0"/>
                <w:kern w:val="24"/>
                <w:sz w:val="24"/>
                <w:szCs w:val="24"/>
                <w14:textFill>
                  <w14:solidFill>
                    <w14:schemeClr w14:val="tx1"/>
                  </w14:solidFill>
                </w14:textFill>
              </w:rPr>
              <w:t>工业企业噪声计算</w:t>
            </w:r>
          </w:p>
          <w:p w14:paraId="0B11D43B">
            <w:pPr>
              <w:pStyle w:val="11"/>
              <w:keepNext w:val="0"/>
              <w:keepLines w:val="0"/>
              <w:pageBreakBefore w:val="0"/>
              <w:widowControl w:val="0"/>
              <w:kinsoku/>
              <w:wordWrap/>
              <w:overflowPunct/>
              <w:autoSpaceDE/>
              <w:autoSpaceDN/>
              <w:bidi w:val="0"/>
              <w:adjustRightInd w:val="0"/>
              <w:snapToGrid w:val="0"/>
              <w:spacing w:before="0" w:after="0" w:line="360" w:lineRule="auto"/>
              <w:ind w:left="0" w:leftChars="0" w:right="0" w:rightChars="0" w:firstLine="480" w:firstLineChars="200"/>
              <w:jc w:val="both"/>
              <w:rPr>
                <w:rFonts w:hint="default" w:ascii="Times New Roman" w:hAnsi="Times New Roman" w:eastAsia="宋体" w:cs="Times New Roman"/>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snapToGrid w:val="0"/>
                <w:color w:val="000000" w:themeColor="text1"/>
                <w:spacing w:val="0"/>
                <w:kern w:val="0"/>
                <w:position w:val="0"/>
                <w:sz w:val="24"/>
                <w:szCs w:val="24"/>
                <w14:textFill>
                  <w14:solidFill>
                    <w14:schemeClr w14:val="tx1"/>
                  </w14:solidFill>
                </w14:textFill>
              </w:rPr>
              <w:t>设第</w:t>
            </w:r>
            <w:r>
              <w:rPr>
                <w:rFonts w:hint="default" w:ascii="Times New Roman" w:hAnsi="Times New Roman" w:eastAsia="宋体" w:cs="Times New Roman"/>
                <w:i/>
                <w:snapToGrid w:val="0"/>
                <w:color w:val="000000" w:themeColor="text1"/>
                <w:kern w:val="0"/>
                <w:position w:val="0"/>
                <w:sz w:val="24"/>
                <w:szCs w:val="24"/>
                <w14:textFill>
                  <w14:solidFill>
                    <w14:schemeClr w14:val="tx1"/>
                  </w14:solidFill>
                </w14:textFill>
              </w:rPr>
              <w:t>i</w:t>
            </w:r>
            <w:r>
              <w:rPr>
                <w:rFonts w:hint="default" w:ascii="Times New Roman" w:hAnsi="Times New Roman" w:eastAsia="宋体" w:cs="Times New Roman"/>
                <w:snapToGrid w:val="0"/>
                <w:color w:val="000000" w:themeColor="text1"/>
                <w:spacing w:val="0"/>
                <w:kern w:val="0"/>
                <w:position w:val="0"/>
                <w:sz w:val="24"/>
                <w:szCs w:val="24"/>
                <w14:textFill>
                  <w14:solidFill>
                    <w14:schemeClr w14:val="tx1"/>
                  </w14:solidFill>
                </w14:textFill>
              </w:rPr>
              <w:t>个室外声源在预测点产生的</w:t>
            </w:r>
            <w:r>
              <w:rPr>
                <w:rFonts w:hint="default" w:ascii="Times New Roman" w:hAnsi="Times New Roman" w:eastAsia="宋体" w:cs="Times New Roman"/>
                <w:snapToGrid w:val="0"/>
                <w:color w:val="000000" w:themeColor="text1"/>
                <w:kern w:val="0"/>
                <w:position w:val="0"/>
                <w:sz w:val="24"/>
                <w:szCs w:val="24"/>
                <w14:textFill>
                  <w14:solidFill>
                    <w14:schemeClr w14:val="tx1"/>
                  </w14:solidFill>
                </w14:textFill>
              </w:rPr>
              <w:t>A</w:t>
            </w:r>
            <w:r>
              <w:rPr>
                <w:rFonts w:hint="default" w:ascii="Times New Roman" w:hAnsi="Times New Roman" w:eastAsia="宋体" w:cs="Times New Roman"/>
                <w:snapToGrid w:val="0"/>
                <w:color w:val="000000" w:themeColor="text1"/>
                <w:spacing w:val="0"/>
                <w:kern w:val="0"/>
                <w:position w:val="0"/>
                <w:sz w:val="24"/>
                <w:szCs w:val="24"/>
                <w14:textFill>
                  <w14:solidFill>
                    <w14:schemeClr w14:val="tx1"/>
                  </w14:solidFill>
                </w14:textFill>
              </w:rPr>
              <w:t>声级为</w:t>
            </w:r>
            <w:r>
              <w:rPr>
                <w:rFonts w:hint="default" w:ascii="Times New Roman" w:hAnsi="Times New Roman" w:eastAsia="宋体" w:cs="Times New Roman"/>
                <w:i/>
                <w:snapToGrid w:val="0"/>
                <w:color w:val="000000" w:themeColor="text1"/>
                <w:spacing w:val="0"/>
                <w:kern w:val="0"/>
                <w:position w:val="0"/>
                <w:sz w:val="24"/>
                <w:szCs w:val="24"/>
                <w14:textFill>
                  <w14:solidFill>
                    <w14:schemeClr w14:val="tx1"/>
                  </w14:solidFill>
                </w14:textFill>
              </w:rPr>
              <w:t>L</w:t>
            </w:r>
            <w:r>
              <w:rPr>
                <w:rFonts w:hint="default" w:ascii="Times New Roman" w:hAnsi="Times New Roman" w:eastAsia="宋体" w:cs="Times New Roman"/>
                <w:snapToGrid w:val="0"/>
                <w:color w:val="000000" w:themeColor="text1"/>
                <w:spacing w:val="0"/>
                <w:kern w:val="0"/>
                <w:position w:val="0"/>
                <w:sz w:val="24"/>
                <w:szCs w:val="24"/>
                <w14:textFill>
                  <w14:solidFill>
                    <w14:schemeClr w14:val="tx1"/>
                  </w14:solidFill>
                </w14:textFill>
              </w:rPr>
              <w:t>A</w:t>
            </w:r>
            <w:r>
              <w:rPr>
                <w:rFonts w:hint="default" w:ascii="Times New Roman" w:hAnsi="Times New Roman" w:eastAsia="宋体" w:cs="Times New Roman"/>
                <w:i/>
                <w:snapToGrid w:val="0"/>
                <w:color w:val="000000" w:themeColor="text1"/>
                <w:spacing w:val="0"/>
                <w:kern w:val="0"/>
                <w:position w:val="0"/>
                <w:sz w:val="24"/>
                <w:szCs w:val="24"/>
                <w14:textFill>
                  <w14:solidFill>
                    <w14:schemeClr w14:val="tx1"/>
                  </w14:solidFill>
                </w14:textFill>
              </w:rPr>
              <w:t>i</w:t>
            </w:r>
            <w:r>
              <w:rPr>
                <w:rFonts w:hint="default" w:ascii="Times New Roman" w:hAnsi="Times New Roman" w:eastAsia="宋体" w:cs="Times New Roman"/>
                <w:snapToGrid w:val="0"/>
                <w:color w:val="000000" w:themeColor="text1"/>
                <w:spacing w:val="0"/>
                <w:kern w:val="0"/>
                <w:position w:val="0"/>
                <w:sz w:val="24"/>
                <w:szCs w:val="24"/>
                <w14:textFill>
                  <w14:solidFill>
                    <w14:schemeClr w14:val="tx1"/>
                  </w14:solidFill>
                </w14:textFill>
              </w:rPr>
              <w:t>，在</w:t>
            </w:r>
            <w:r>
              <w:rPr>
                <w:rFonts w:hint="default" w:ascii="Times New Roman" w:hAnsi="Times New Roman" w:eastAsia="宋体" w:cs="Times New Roman"/>
                <w:i/>
                <w:snapToGrid w:val="0"/>
                <w:color w:val="000000" w:themeColor="text1"/>
                <w:kern w:val="0"/>
                <w:position w:val="0"/>
                <w:sz w:val="24"/>
                <w:szCs w:val="24"/>
                <w14:textFill>
                  <w14:solidFill>
                    <w14:schemeClr w14:val="tx1"/>
                  </w14:solidFill>
                </w14:textFill>
              </w:rPr>
              <w:t>T</w:t>
            </w:r>
            <w:r>
              <w:rPr>
                <w:rFonts w:hint="default" w:ascii="Times New Roman" w:hAnsi="Times New Roman" w:eastAsia="宋体" w:cs="Times New Roman"/>
                <w:snapToGrid w:val="0"/>
                <w:color w:val="000000" w:themeColor="text1"/>
                <w:spacing w:val="0"/>
                <w:kern w:val="0"/>
                <w:position w:val="0"/>
                <w:sz w:val="24"/>
                <w:szCs w:val="24"/>
                <w14:textFill>
                  <w14:solidFill>
                    <w14:schemeClr w14:val="tx1"/>
                  </w14:solidFill>
                </w14:textFill>
              </w:rPr>
              <w:t>时间内该声源工作时间为</w:t>
            </w:r>
            <w:r>
              <w:rPr>
                <w:rFonts w:hint="default" w:ascii="Times New Roman" w:hAnsi="Times New Roman" w:eastAsia="宋体" w:cs="Times New Roman"/>
                <w:i/>
                <w:snapToGrid w:val="0"/>
                <w:color w:val="000000" w:themeColor="text1"/>
                <w:kern w:val="0"/>
                <w:sz w:val="24"/>
                <w:szCs w:val="24"/>
                <w14:textFill>
                  <w14:solidFill>
                    <w14:schemeClr w14:val="tx1"/>
                  </w14:solidFill>
                </w14:textFill>
              </w:rPr>
              <w:t>t</w:t>
            </w:r>
            <w:r>
              <w:rPr>
                <w:rFonts w:hint="default" w:ascii="Times New Roman" w:hAnsi="Times New Roman" w:eastAsia="宋体" w:cs="Times New Roman"/>
                <w:i/>
                <w:snapToGrid w:val="0"/>
                <w:color w:val="000000" w:themeColor="text1"/>
                <w:kern w:val="0"/>
                <w:position w:val="0"/>
                <w:sz w:val="24"/>
                <w:szCs w:val="24"/>
                <w14:textFill>
                  <w14:solidFill>
                    <w14:schemeClr w14:val="tx1"/>
                  </w14:solidFill>
                </w14:textFill>
              </w:rPr>
              <w:t>i</w:t>
            </w:r>
            <w:r>
              <w:rPr>
                <w:rFonts w:hint="default" w:ascii="Times New Roman" w:hAnsi="Times New Roman" w:eastAsia="宋体" w:cs="Times New Roman"/>
                <w:snapToGrid w:val="0"/>
                <w:color w:val="000000" w:themeColor="text1"/>
                <w:spacing w:val="0"/>
                <w:kern w:val="0"/>
                <w:position w:val="0"/>
                <w:sz w:val="24"/>
                <w:szCs w:val="24"/>
                <w14:textFill>
                  <w14:solidFill>
                    <w14:schemeClr w14:val="tx1"/>
                  </w14:solidFill>
                </w14:textFill>
              </w:rPr>
              <w:t>；第</w:t>
            </w:r>
            <w:r>
              <w:rPr>
                <w:rFonts w:hint="default" w:ascii="Times New Roman" w:hAnsi="Times New Roman" w:eastAsia="宋体" w:cs="Times New Roman"/>
                <w:i/>
                <w:snapToGrid w:val="0"/>
                <w:color w:val="000000" w:themeColor="text1"/>
                <w:kern w:val="0"/>
                <w:position w:val="0"/>
                <w:sz w:val="24"/>
                <w:szCs w:val="24"/>
                <w14:textFill>
                  <w14:solidFill>
                    <w14:schemeClr w14:val="tx1"/>
                  </w14:solidFill>
                </w14:textFill>
              </w:rPr>
              <w:t>j</w:t>
            </w:r>
            <w:r>
              <w:rPr>
                <w:rFonts w:hint="default" w:ascii="Times New Roman" w:hAnsi="Times New Roman" w:eastAsia="宋体" w:cs="Times New Roman"/>
                <w:snapToGrid w:val="0"/>
                <w:color w:val="000000" w:themeColor="text1"/>
                <w:spacing w:val="0"/>
                <w:kern w:val="0"/>
                <w:position w:val="0"/>
                <w:sz w:val="24"/>
                <w:szCs w:val="24"/>
                <w14:textFill>
                  <w14:solidFill>
                    <w14:schemeClr w14:val="tx1"/>
                  </w14:solidFill>
                </w14:textFill>
              </w:rPr>
              <w:t>个等效室</w:t>
            </w:r>
            <w:r>
              <w:rPr>
                <w:rFonts w:hint="default" w:ascii="Times New Roman" w:hAnsi="Times New Roman" w:eastAsia="宋体" w:cs="Times New Roman"/>
                <w:snapToGrid w:val="0"/>
                <w:color w:val="000000" w:themeColor="text1"/>
                <w:spacing w:val="0"/>
                <w:kern w:val="0"/>
                <w:sz w:val="24"/>
                <w:szCs w:val="24"/>
                <w14:textFill>
                  <w14:solidFill>
                    <w14:schemeClr w14:val="tx1"/>
                  </w14:solidFill>
                </w14:textFill>
              </w:rPr>
              <w:t>外声源在预测点产生的</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A</w:t>
            </w:r>
            <w:r>
              <w:rPr>
                <w:rFonts w:hint="default" w:ascii="Times New Roman" w:hAnsi="Times New Roman" w:eastAsia="宋体" w:cs="Times New Roman"/>
                <w:snapToGrid w:val="0"/>
                <w:color w:val="000000" w:themeColor="text1"/>
                <w:spacing w:val="0"/>
                <w:kern w:val="0"/>
                <w:sz w:val="24"/>
                <w:szCs w:val="24"/>
                <w14:textFill>
                  <w14:solidFill>
                    <w14:schemeClr w14:val="tx1"/>
                  </w14:solidFill>
                </w14:textFill>
              </w:rPr>
              <w:t>声级为</w:t>
            </w:r>
            <w:r>
              <w:rPr>
                <w:rFonts w:hint="default" w:ascii="Times New Roman" w:hAnsi="Times New Roman" w:eastAsia="宋体" w:cs="Times New Roman"/>
                <w:i/>
                <w:snapToGrid w:val="0"/>
                <w:color w:val="000000" w:themeColor="text1"/>
                <w:spacing w:val="0"/>
                <w:kern w:val="0"/>
                <w:sz w:val="24"/>
                <w:szCs w:val="24"/>
                <w14:textFill>
                  <w14:solidFill>
                    <w14:schemeClr w14:val="tx1"/>
                  </w14:solidFill>
                </w14:textFill>
              </w:rPr>
              <w:t>L</w:t>
            </w:r>
            <w:r>
              <w:rPr>
                <w:rFonts w:hint="default" w:ascii="Times New Roman" w:hAnsi="Times New Roman" w:eastAsia="宋体" w:cs="Times New Roman"/>
                <w:snapToGrid w:val="0"/>
                <w:color w:val="000000" w:themeColor="text1"/>
                <w:spacing w:val="0"/>
                <w:kern w:val="0"/>
                <w:position w:val="0"/>
                <w:sz w:val="24"/>
                <w:szCs w:val="24"/>
                <w14:textFill>
                  <w14:solidFill>
                    <w14:schemeClr w14:val="tx1"/>
                  </w14:solidFill>
                </w14:textFill>
              </w:rPr>
              <w:t>A</w:t>
            </w:r>
            <w:r>
              <w:rPr>
                <w:rFonts w:hint="default" w:ascii="Times New Roman" w:hAnsi="Times New Roman" w:eastAsia="宋体" w:cs="Times New Roman"/>
                <w:i/>
                <w:snapToGrid w:val="0"/>
                <w:color w:val="000000" w:themeColor="text1"/>
                <w:spacing w:val="0"/>
                <w:kern w:val="0"/>
                <w:position w:val="0"/>
                <w:sz w:val="24"/>
                <w:szCs w:val="24"/>
                <w14:textFill>
                  <w14:solidFill>
                    <w14:schemeClr w14:val="tx1"/>
                  </w14:solidFill>
                </w14:textFill>
              </w:rPr>
              <w:t>j</w:t>
            </w:r>
            <w:r>
              <w:rPr>
                <w:rFonts w:hint="default" w:ascii="Times New Roman" w:hAnsi="Times New Roman" w:eastAsia="宋体" w:cs="Times New Roman"/>
                <w:snapToGrid w:val="0"/>
                <w:color w:val="000000" w:themeColor="text1"/>
                <w:spacing w:val="0"/>
                <w:kern w:val="0"/>
                <w:sz w:val="24"/>
                <w:szCs w:val="24"/>
                <w14:textFill>
                  <w14:solidFill>
                    <w14:schemeClr w14:val="tx1"/>
                  </w14:solidFill>
                </w14:textFill>
              </w:rPr>
              <w:t>，在</w:t>
            </w:r>
            <w:r>
              <w:rPr>
                <w:rFonts w:hint="default" w:ascii="Times New Roman" w:hAnsi="Times New Roman" w:eastAsia="宋体" w:cs="Times New Roman"/>
                <w:i/>
                <w:snapToGrid w:val="0"/>
                <w:color w:val="000000" w:themeColor="text1"/>
                <w:kern w:val="0"/>
                <w:sz w:val="24"/>
                <w:szCs w:val="24"/>
                <w14:textFill>
                  <w14:solidFill>
                    <w14:schemeClr w14:val="tx1"/>
                  </w14:solidFill>
                </w14:textFill>
              </w:rPr>
              <w:t>T</w:t>
            </w:r>
            <w:r>
              <w:rPr>
                <w:rFonts w:hint="default" w:ascii="Times New Roman" w:hAnsi="Times New Roman" w:eastAsia="宋体" w:cs="Times New Roman"/>
                <w:snapToGrid w:val="0"/>
                <w:color w:val="000000" w:themeColor="text1"/>
                <w:spacing w:val="0"/>
                <w:kern w:val="0"/>
                <w:sz w:val="24"/>
                <w:szCs w:val="24"/>
                <w14:textFill>
                  <w14:solidFill>
                    <w14:schemeClr w14:val="tx1"/>
                  </w14:solidFill>
                </w14:textFill>
              </w:rPr>
              <w:t>时间内该声源工作时间为</w:t>
            </w:r>
            <w:r>
              <w:rPr>
                <w:rFonts w:hint="default" w:ascii="Times New Roman" w:hAnsi="Times New Roman" w:eastAsia="宋体" w:cs="Times New Roman"/>
                <w:i/>
                <w:snapToGrid w:val="0"/>
                <w:color w:val="000000" w:themeColor="text1"/>
                <w:kern w:val="0"/>
                <w:position w:val="0"/>
                <w:sz w:val="24"/>
                <w:szCs w:val="24"/>
                <w14:textFill>
                  <w14:solidFill>
                    <w14:schemeClr w14:val="tx1"/>
                  </w14:solidFill>
                </w14:textFill>
              </w:rPr>
              <w:t>tj</w:t>
            </w:r>
            <w:r>
              <w:rPr>
                <w:rFonts w:hint="default" w:ascii="Times New Roman" w:hAnsi="Times New Roman" w:eastAsia="宋体" w:cs="Times New Roman"/>
                <w:snapToGrid w:val="0"/>
                <w:color w:val="000000" w:themeColor="text1"/>
                <w:spacing w:val="0"/>
                <w:kern w:val="0"/>
                <w:sz w:val="24"/>
                <w:szCs w:val="24"/>
                <w14:textFill>
                  <w14:solidFill>
                    <w14:schemeClr w14:val="tx1"/>
                  </w14:solidFill>
                </w14:textFill>
              </w:rPr>
              <w:t>，则拟建工程声源对预测点产生的贡献值</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w:t>
            </w:r>
            <w:r>
              <w:rPr>
                <w:rFonts w:hint="default" w:ascii="Times New Roman" w:hAnsi="Times New Roman" w:eastAsia="宋体" w:cs="Times New Roman"/>
                <w:i/>
                <w:snapToGrid w:val="0"/>
                <w:color w:val="000000" w:themeColor="text1"/>
                <w:kern w:val="0"/>
                <w:sz w:val="24"/>
                <w:szCs w:val="24"/>
                <w14:textFill>
                  <w14:solidFill>
                    <w14:schemeClr w14:val="tx1"/>
                  </w14:solidFill>
                </w14:textFill>
              </w:rPr>
              <w:t>L</w:t>
            </w:r>
            <w:r>
              <w:rPr>
                <w:rFonts w:hint="default" w:ascii="Times New Roman" w:hAnsi="Times New Roman" w:eastAsia="宋体" w:cs="Times New Roman"/>
                <w:snapToGrid w:val="0"/>
                <w:color w:val="000000" w:themeColor="text1"/>
                <w:kern w:val="0"/>
                <w:sz w:val="24"/>
                <w:szCs w:val="24"/>
                <w:vertAlign w:val="subscript"/>
                <w14:textFill>
                  <w14:solidFill>
                    <w14:schemeClr w14:val="tx1"/>
                  </w14:solidFill>
                </w14:textFill>
              </w:rPr>
              <w:t>eqg</w:t>
            </w:r>
            <w:r>
              <w:rPr>
                <w:rFonts w:hint="default" w:ascii="Times New Roman" w:hAnsi="Times New Roman" w:eastAsia="宋体" w:cs="Times New Roman"/>
                <w:snapToGrid w:val="0"/>
                <w:color w:val="000000" w:themeColor="text1"/>
                <w:kern w:val="0"/>
                <w:sz w:val="24"/>
                <w:szCs w:val="24"/>
                <w:vertAlign w:val="baseline"/>
                <w14:textFill>
                  <w14:solidFill>
                    <w14:schemeClr w14:val="tx1"/>
                  </w14:solidFill>
                </w14:textFill>
              </w:rPr>
              <w:t>）为：</w:t>
            </w:r>
          </w:p>
          <w:p w14:paraId="13B1497C">
            <w:pPr>
              <w:pStyle w:val="11"/>
              <w:keepNext w:val="0"/>
              <w:keepLines w:val="0"/>
              <w:pageBreakBefore w:val="0"/>
              <w:widowControl w:val="0"/>
              <w:kinsoku/>
              <w:wordWrap/>
              <w:overflowPunct/>
              <w:autoSpaceDE/>
              <w:autoSpaceDN/>
              <w:bidi w:val="0"/>
              <w:adjustRightInd w:val="0"/>
              <w:snapToGrid w:val="0"/>
              <w:spacing w:before="0" w:after="0" w:line="360" w:lineRule="auto"/>
              <w:ind w:left="0" w:leftChars="0" w:right="0" w:rightChars="0" w:firstLine="0" w:firstLineChars="0"/>
              <w:jc w:val="center"/>
              <w:rPr>
                <w:rFonts w:hint="default" w:ascii="Times New Roman" w:hAnsi="Times New Roman" w:eastAsia="宋体" w:cs="Times New Roman"/>
                <w:color w:val="000000" w:themeColor="text1"/>
                <w:kern w:val="24"/>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4"/>
                <w:position w:val="0"/>
                <w:sz w:val="24"/>
                <w:szCs w:val="24"/>
                <w:vertAlign w:val="baseline"/>
                <w:lang w:val="en-US" w:eastAsia="zh-CN"/>
                <w14:textFill>
                  <w14:solidFill>
                    <w14:schemeClr w14:val="tx1"/>
                  </w14:solidFill>
                </w14:textFill>
              </w:rPr>
              <w:object>
                <v:shape id="_x0000_i1026" o:spt="75" type="#_x0000_t75" style="height:35pt;width:197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17">
                  <o:LockedField>false</o:LockedField>
                </o:OLEObject>
              </w:object>
            </w:r>
            <w:r>
              <w:rPr>
                <w:rFonts w:hint="eastAsia" w:ascii="Times New Roman" w:hAnsi="Times New Roman" w:eastAsia="宋体" w:cs="Times New Roman"/>
                <w:color w:val="000000" w:themeColor="text1"/>
                <w:kern w:val="24"/>
                <w:sz w:val="24"/>
                <w:szCs w:val="24"/>
                <w:vertAlign w:val="baseline"/>
                <w:lang w:val="en-US" w:eastAsia="zh-CN"/>
                <w14:textFill>
                  <w14:solidFill>
                    <w14:schemeClr w14:val="tx1"/>
                  </w14:solidFill>
                </w14:textFill>
              </w:rPr>
              <w:t xml:space="preserve">       （B.6）</w:t>
            </w:r>
          </w:p>
          <w:p w14:paraId="6C120BD3">
            <w:pPr>
              <w:pStyle w:val="11"/>
              <w:keepNext w:val="0"/>
              <w:keepLines w:val="0"/>
              <w:pageBreakBefore w:val="0"/>
              <w:widowControl w:val="0"/>
              <w:kinsoku/>
              <w:wordWrap/>
              <w:overflowPunct/>
              <w:autoSpaceDE/>
              <w:autoSpaceDN/>
              <w:bidi w:val="0"/>
              <w:adjustRightInd w:val="0"/>
              <w:snapToGrid w:val="0"/>
              <w:spacing w:before="0" w:after="0" w:line="360" w:lineRule="auto"/>
              <w:ind w:left="0" w:leftChars="0" w:right="0" w:rightChars="0" w:firstLine="480" w:firstLineChars="200"/>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default" w:ascii="Times New Roman" w:hAnsi="Times New Roman" w:eastAsia="宋体" w:cs="Times New Roman"/>
                <w:color w:val="000000" w:themeColor="text1"/>
                <w:kern w:val="24"/>
                <w:sz w:val="24"/>
                <w:szCs w:val="24"/>
                <w14:textFill>
                  <w14:solidFill>
                    <w14:schemeClr w14:val="tx1"/>
                  </w14:solidFill>
                </w14:textFill>
              </w:rPr>
              <w:t>式中：</w:t>
            </w:r>
            <w:r>
              <w:rPr>
                <w:rFonts w:hint="default" w:ascii="Times New Roman" w:hAnsi="Times New Roman" w:eastAsia="宋体" w:cs="Times New Roman"/>
                <w:i/>
                <w:color w:val="000000" w:themeColor="text1"/>
                <w:kern w:val="24"/>
                <w:sz w:val="24"/>
                <w:szCs w:val="24"/>
                <w14:textFill>
                  <w14:solidFill>
                    <w14:schemeClr w14:val="tx1"/>
                  </w14:solidFill>
                </w14:textFill>
              </w:rPr>
              <w:t>L</w:t>
            </w:r>
            <w:r>
              <w:rPr>
                <w:rFonts w:hint="default" w:ascii="Times New Roman" w:hAnsi="Times New Roman" w:eastAsia="宋体" w:cs="Times New Roman"/>
                <w:color w:val="000000" w:themeColor="text1"/>
                <w:kern w:val="24"/>
                <w:sz w:val="24"/>
                <w:szCs w:val="24"/>
                <w:vertAlign w:val="subscript"/>
                <w14:textFill>
                  <w14:solidFill>
                    <w14:schemeClr w14:val="tx1"/>
                  </w14:solidFill>
                </w14:textFill>
              </w:rPr>
              <w:t>eqg</w:t>
            </w:r>
            <w:r>
              <w:rPr>
                <w:rFonts w:hint="default" w:ascii="Times New Roman" w:hAnsi="Times New Roman" w:eastAsia="宋体" w:cs="Times New Roman"/>
                <w:color w:val="000000" w:themeColor="text1"/>
                <w:kern w:val="24"/>
                <w:sz w:val="24"/>
                <w:szCs w:val="24"/>
                <w:vertAlign w:val="baseline"/>
                <w14:textFill>
                  <w14:solidFill>
                    <w14:schemeClr w14:val="tx1"/>
                  </w14:solidFill>
                </w14:textFill>
              </w:rPr>
              <w:t>——建设项目声源在预测点产生的噪声贡献值，dB；</w:t>
            </w:r>
          </w:p>
          <w:p w14:paraId="46DD06E8">
            <w:pPr>
              <w:pStyle w:val="11"/>
              <w:keepNext w:val="0"/>
              <w:keepLines w:val="0"/>
              <w:pageBreakBefore w:val="0"/>
              <w:widowControl w:val="0"/>
              <w:kinsoku/>
              <w:wordWrap/>
              <w:overflowPunct/>
              <w:autoSpaceDE/>
              <w:autoSpaceDN/>
              <w:bidi w:val="0"/>
              <w:adjustRightInd w:val="0"/>
              <w:snapToGrid w:val="0"/>
              <w:spacing w:before="0" w:after="0" w:line="360" w:lineRule="auto"/>
              <w:ind w:left="0" w:leftChars="0" w:right="0" w:rightChars="0" w:firstLine="1200" w:firstLineChars="500"/>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default" w:ascii="Times New Roman" w:hAnsi="Times New Roman" w:eastAsia="宋体" w:cs="Times New Roman"/>
                <w:i/>
                <w:color w:val="000000" w:themeColor="text1"/>
                <w:kern w:val="24"/>
                <w:sz w:val="24"/>
                <w:szCs w:val="24"/>
                <w14:textFill>
                  <w14:solidFill>
                    <w14:schemeClr w14:val="tx1"/>
                  </w14:solidFill>
                </w14:textFill>
              </w:rPr>
              <w:t>T</w:t>
            </w:r>
            <w:r>
              <w:rPr>
                <w:rFonts w:hint="default" w:ascii="Times New Roman" w:hAnsi="Times New Roman" w:eastAsia="宋体" w:cs="Times New Roman"/>
                <w:color w:val="000000" w:themeColor="text1"/>
                <w:kern w:val="24"/>
                <w:sz w:val="24"/>
                <w:szCs w:val="24"/>
                <w14:textFill>
                  <w14:solidFill>
                    <w14:schemeClr w14:val="tx1"/>
                  </w14:solidFill>
                </w14:textFill>
              </w:rPr>
              <w:t>——用于计算等效声级的时间，s；</w:t>
            </w:r>
          </w:p>
          <w:p w14:paraId="52D91035">
            <w:pPr>
              <w:pStyle w:val="11"/>
              <w:keepNext w:val="0"/>
              <w:keepLines w:val="0"/>
              <w:pageBreakBefore w:val="0"/>
              <w:widowControl w:val="0"/>
              <w:kinsoku/>
              <w:wordWrap/>
              <w:overflowPunct/>
              <w:autoSpaceDE/>
              <w:autoSpaceDN/>
              <w:bidi w:val="0"/>
              <w:adjustRightInd w:val="0"/>
              <w:snapToGrid w:val="0"/>
              <w:spacing w:before="0" w:after="0" w:line="360" w:lineRule="auto"/>
              <w:ind w:left="0" w:leftChars="0" w:right="0" w:rightChars="0" w:firstLine="1200" w:firstLineChars="500"/>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default" w:ascii="Times New Roman" w:hAnsi="Times New Roman" w:eastAsia="宋体" w:cs="Times New Roman"/>
                <w:i/>
                <w:color w:val="000000" w:themeColor="text1"/>
                <w:kern w:val="24"/>
                <w:position w:val="0"/>
                <w:sz w:val="24"/>
                <w:szCs w:val="24"/>
                <w14:textFill>
                  <w14:solidFill>
                    <w14:schemeClr w14:val="tx1"/>
                  </w14:solidFill>
                </w14:textFill>
              </w:rPr>
              <w:t>N</w:t>
            </w:r>
            <w:r>
              <w:rPr>
                <w:rFonts w:hint="default" w:ascii="Times New Roman" w:hAnsi="Times New Roman" w:eastAsia="宋体" w:cs="Times New Roman"/>
                <w:color w:val="000000" w:themeColor="text1"/>
                <w:kern w:val="24"/>
                <w:sz w:val="24"/>
                <w:szCs w:val="24"/>
                <w14:textFill>
                  <w14:solidFill>
                    <w14:schemeClr w14:val="tx1"/>
                  </w14:solidFill>
                </w14:textFill>
              </w:rPr>
              <w:t>——室外声源个数；</w:t>
            </w:r>
          </w:p>
          <w:p w14:paraId="700DBCD7">
            <w:pPr>
              <w:keepNext w:val="0"/>
              <w:keepLines w:val="0"/>
              <w:pageBreakBefore w:val="0"/>
              <w:widowControl w:val="0"/>
              <w:kinsoku/>
              <w:wordWrap/>
              <w:overflowPunct/>
              <w:autoSpaceDE/>
              <w:autoSpaceDN/>
              <w:bidi w:val="0"/>
              <w:adjustRightInd w:val="0"/>
              <w:snapToGrid w:val="0"/>
              <w:spacing w:before="0" w:line="360" w:lineRule="auto"/>
              <w:ind w:left="0" w:leftChars="0" w:right="0" w:rightChars="0" w:firstLine="1200" w:firstLineChars="500"/>
              <w:jc w:val="both"/>
              <w:rPr>
                <w:rFonts w:hint="default" w:ascii="Times New Roman" w:hAnsi="Times New Roman" w:eastAsia="宋体" w:cs="Times New Roman"/>
                <w:color w:val="000000" w:themeColor="text1"/>
                <w:kern w:val="24"/>
                <w:sz w:val="24"/>
                <w14:textFill>
                  <w14:solidFill>
                    <w14:schemeClr w14:val="tx1"/>
                  </w14:solidFill>
                </w14:textFill>
              </w:rPr>
            </w:pPr>
            <w:r>
              <w:rPr>
                <w:rFonts w:hint="default" w:ascii="Times New Roman" w:hAnsi="Times New Roman" w:eastAsia="宋体" w:cs="Times New Roman"/>
                <w:i/>
                <w:color w:val="000000" w:themeColor="text1"/>
                <w:kern w:val="24"/>
                <w:sz w:val="24"/>
                <w14:textFill>
                  <w14:solidFill>
                    <w14:schemeClr w14:val="tx1"/>
                  </w14:solidFill>
                </w14:textFill>
              </w:rPr>
              <w:t>t</w:t>
            </w:r>
            <w:r>
              <w:rPr>
                <w:rFonts w:hint="default" w:ascii="Times New Roman" w:hAnsi="Times New Roman" w:eastAsia="宋体" w:cs="Times New Roman"/>
                <w:i/>
                <w:color w:val="000000" w:themeColor="text1"/>
                <w:kern w:val="24"/>
                <w:position w:val="0"/>
                <w:sz w:val="24"/>
                <w:vertAlign w:val="subscript"/>
                <w14:textFill>
                  <w14:solidFill>
                    <w14:schemeClr w14:val="tx1"/>
                  </w14:solidFill>
                </w14:textFill>
              </w:rPr>
              <w:t>i</w:t>
            </w:r>
            <w:r>
              <w:rPr>
                <w:rFonts w:hint="default" w:ascii="Times New Roman" w:hAnsi="Times New Roman" w:eastAsia="宋体" w:cs="Times New Roman"/>
                <w:color w:val="000000" w:themeColor="text1"/>
                <w:kern w:val="24"/>
                <w:position w:val="0"/>
                <w:sz w:val="24"/>
                <w14:textFill>
                  <w14:solidFill>
                    <w14:schemeClr w14:val="tx1"/>
                  </w14:solidFill>
                </w14:textFill>
              </w:rPr>
              <w:t>——在</w:t>
            </w:r>
            <w:r>
              <w:rPr>
                <w:rFonts w:hint="default" w:ascii="Times New Roman" w:hAnsi="Times New Roman" w:eastAsia="宋体" w:cs="Times New Roman"/>
                <w:i/>
                <w:color w:val="000000" w:themeColor="text1"/>
                <w:kern w:val="24"/>
                <w:position w:val="0"/>
                <w:sz w:val="24"/>
                <w14:textFill>
                  <w14:solidFill>
                    <w14:schemeClr w14:val="tx1"/>
                  </w14:solidFill>
                </w14:textFill>
              </w:rPr>
              <w:t>T</w:t>
            </w:r>
            <w:r>
              <w:rPr>
                <w:rFonts w:hint="default" w:ascii="Times New Roman" w:hAnsi="Times New Roman" w:eastAsia="宋体" w:cs="Times New Roman"/>
                <w:color w:val="000000" w:themeColor="text1"/>
                <w:kern w:val="24"/>
                <w:position w:val="0"/>
                <w:sz w:val="24"/>
                <w14:textFill>
                  <w14:solidFill>
                    <w14:schemeClr w14:val="tx1"/>
                  </w14:solidFill>
                </w14:textFill>
              </w:rPr>
              <w:t>时间内</w:t>
            </w:r>
            <w:r>
              <w:rPr>
                <w:rFonts w:hint="default" w:ascii="Times New Roman" w:hAnsi="Times New Roman" w:eastAsia="宋体" w:cs="Times New Roman"/>
                <w:i/>
                <w:color w:val="000000" w:themeColor="text1"/>
                <w:kern w:val="24"/>
                <w:position w:val="0"/>
                <w:sz w:val="24"/>
                <w14:textFill>
                  <w14:solidFill>
                    <w14:schemeClr w14:val="tx1"/>
                  </w14:solidFill>
                </w14:textFill>
              </w:rPr>
              <w:t>i</w:t>
            </w:r>
            <w:r>
              <w:rPr>
                <w:rFonts w:hint="default" w:ascii="Times New Roman" w:hAnsi="Times New Roman" w:eastAsia="宋体" w:cs="Times New Roman"/>
                <w:color w:val="000000" w:themeColor="text1"/>
                <w:kern w:val="24"/>
                <w:position w:val="0"/>
                <w:sz w:val="24"/>
                <w14:textFill>
                  <w14:solidFill>
                    <w14:schemeClr w14:val="tx1"/>
                  </w14:solidFill>
                </w14:textFill>
              </w:rPr>
              <w:t>声源工作时间，s；</w:t>
            </w:r>
          </w:p>
          <w:p w14:paraId="7A657842">
            <w:pPr>
              <w:pStyle w:val="11"/>
              <w:keepNext w:val="0"/>
              <w:keepLines w:val="0"/>
              <w:pageBreakBefore w:val="0"/>
              <w:widowControl w:val="0"/>
              <w:kinsoku/>
              <w:wordWrap/>
              <w:overflowPunct/>
              <w:autoSpaceDE/>
              <w:autoSpaceDN/>
              <w:bidi w:val="0"/>
              <w:adjustRightInd w:val="0"/>
              <w:snapToGrid w:val="0"/>
              <w:spacing w:before="0" w:after="0" w:line="360" w:lineRule="auto"/>
              <w:ind w:left="0" w:leftChars="0" w:right="0" w:rightChars="0" w:firstLine="1200" w:firstLineChars="500"/>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default" w:ascii="Times New Roman" w:hAnsi="Times New Roman" w:eastAsia="宋体" w:cs="Times New Roman"/>
                <w:i/>
                <w:color w:val="000000" w:themeColor="text1"/>
                <w:kern w:val="24"/>
                <w:sz w:val="24"/>
                <w:szCs w:val="24"/>
                <w14:textFill>
                  <w14:solidFill>
                    <w14:schemeClr w14:val="tx1"/>
                  </w14:solidFill>
                </w14:textFill>
              </w:rPr>
              <w:t>M</w:t>
            </w:r>
            <w:r>
              <w:rPr>
                <w:rFonts w:hint="default" w:ascii="Times New Roman" w:hAnsi="Times New Roman" w:eastAsia="宋体" w:cs="Times New Roman"/>
                <w:color w:val="000000" w:themeColor="text1"/>
                <w:kern w:val="24"/>
                <w:sz w:val="24"/>
                <w:szCs w:val="24"/>
                <w14:textFill>
                  <w14:solidFill>
                    <w14:schemeClr w14:val="tx1"/>
                  </w14:solidFill>
                </w14:textFill>
              </w:rPr>
              <w:t>——等效室外声源个数；</w:t>
            </w:r>
          </w:p>
          <w:p w14:paraId="5F64B2A0">
            <w:pPr>
              <w:keepNext w:val="0"/>
              <w:keepLines w:val="0"/>
              <w:pageBreakBefore w:val="0"/>
              <w:widowControl w:val="0"/>
              <w:kinsoku/>
              <w:wordWrap/>
              <w:overflowPunct/>
              <w:autoSpaceDE/>
              <w:autoSpaceDN/>
              <w:bidi w:val="0"/>
              <w:adjustRightInd w:val="0"/>
              <w:snapToGrid w:val="0"/>
              <w:spacing w:before="0" w:line="360" w:lineRule="auto"/>
              <w:ind w:left="0" w:leftChars="0" w:right="0" w:rightChars="0" w:firstLine="1200" w:firstLineChars="500"/>
              <w:jc w:val="both"/>
              <w:rPr>
                <w:rFonts w:hint="default" w:ascii="Times New Roman" w:hAnsi="Times New Roman" w:eastAsia="宋体" w:cs="Times New Roman"/>
                <w:color w:val="000000" w:themeColor="text1"/>
                <w:kern w:val="24"/>
                <w:sz w:val="24"/>
                <w14:textFill>
                  <w14:solidFill>
                    <w14:schemeClr w14:val="tx1"/>
                  </w14:solidFill>
                </w14:textFill>
              </w:rPr>
            </w:pPr>
            <w:r>
              <w:rPr>
                <w:rFonts w:hint="default" w:ascii="Times New Roman" w:hAnsi="Times New Roman" w:eastAsia="宋体" w:cs="Times New Roman"/>
                <w:i/>
                <w:color w:val="000000" w:themeColor="text1"/>
                <w:kern w:val="24"/>
                <w:position w:val="0"/>
                <w:sz w:val="24"/>
                <w14:textFill>
                  <w14:solidFill>
                    <w14:schemeClr w14:val="tx1"/>
                  </w14:solidFill>
                </w14:textFill>
              </w:rPr>
              <w:t>t</w:t>
            </w:r>
            <w:r>
              <w:rPr>
                <w:rFonts w:hint="default" w:ascii="Times New Roman" w:hAnsi="Times New Roman" w:eastAsia="宋体" w:cs="Times New Roman"/>
                <w:i/>
                <w:color w:val="000000" w:themeColor="text1"/>
                <w:kern w:val="24"/>
                <w:position w:val="0"/>
                <w:sz w:val="24"/>
                <w:vertAlign w:val="subscript"/>
                <w14:textFill>
                  <w14:solidFill>
                    <w14:schemeClr w14:val="tx1"/>
                  </w14:solidFill>
                </w14:textFill>
              </w:rPr>
              <w:t>j</w:t>
            </w:r>
            <w:r>
              <w:rPr>
                <w:rFonts w:hint="default" w:ascii="Times New Roman" w:hAnsi="Times New Roman" w:eastAsia="宋体" w:cs="Times New Roman"/>
                <w:color w:val="000000" w:themeColor="text1"/>
                <w:kern w:val="24"/>
                <w:sz w:val="24"/>
                <w14:textFill>
                  <w14:solidFill>
                    <w14:schemeClr w14:val="tx1"/>
                  </w14:solidFill>
                </w14:textFill>
              </w:rPr>
              <w:t>——在</w:t>
            </w:r>
            <w:r>
              <w:rPr>
                <w:rFonts w:hint="default" w:ascii="Times New Roman" w:hAnsi="Times New Roman" w:eastAsia="宋体" w:cs="Times New Roman"/>
                <w:i/>
                <w:color w:val="000000" w:themeColor="text1"/>
                <w:kern w:val="24"/>
                <w:sz w:val="24"/>
                <w14:textFill>
                  <w14:solidFill>
                    <w14:schemeClr w14:val="tx1"/>
                  </w14:solidFill>
                </w14:textFill>
              </w:rPr>
              <w:t>T</w:t>
            </w:r>
            <w:r>
              <w:rPr>
                <w:rFonts w:hint="default" w:ascii="Times New Roman" w:hAnsi="Times New Roman" w:eastAsia="宋体" w:cs="Times New Roman"/>
                <w:color w:val="000000" w:themeColor="text1"/>
                <w:kern w:val="24"/>
                <w:sz w:val="24"/>
                <w14:textFill>
                  <w14:solidFill>
                    <w14:schemeClr w14:val="tx1"/>
                  </w14:solidFill>
                </w14:textFill>
              </w:rPr>
              <w:t>时间内</w:t>
            </w:r>
            <w:r>
              <w:rPr>
                <w:rFonts w:hint="default" w:ascii="Times New Roman" w:hAnsi="Times New Roman" w:eastAsia="宋体" w:cs="Times New Roman"/>
                <w:i/>
                <w:color w:val="000000" w:themeColor="text1"/>
                <w:kern w:val="24"/>
                <w:sz w:val="24"/>
                <w14:textFill>
                  <w14:solidFill>
                    <w14:schemeClr w14:val="tx1"/>
                  </w14:solidFill>
                </w14:textFill>
              </w:rPr>
              <w:t>j</w:t>
            </w:r>
            <w:r>
              <w:rPr>
                <w:rFonts w:hint="default" w:ascii="Times New Roman" w:hAnsi="Times New Roman" w:eastAsia="宋体" w:cs="Times New Roman"/>
                <w:color w:val="000000" w:themeColor="text1"/>
                <w:kern w:val="24"/>
                <w:sz w:val="24"/>
                <w14:textFill>
                  <w14:solidFill>
                    <w14:schemeClr w14:val="tx1"/>
                  </w14:solidFill>
                </w14:textFill>
              </w:rPr>
              <w:t>声源工作时间，s。</w:t>
            </w:r>
          </w:p>
          <w:p w14:paraId="7395272B">
            <w:pPr>
              <w:pStyle w:val="65"/>
              <w:keepNext w:val="0"/>
              <w:keepLines w:val="0"/>
              <w:pageBreakBefore w:val="0"/>
              <w:widowControl w:val="0"/>
              <w:numPr>
                <w:ilvl w:val="-1"/>
                <w:numId w:val="0"/>
              </w:numPr>
              <w:tabs>
                <w:tab w:val="left" w:pos="1013"/>
                <w:tab w:val="left" w:pos="1014"/>
              </w:tabs>
              <w:kinsoku/>
              <w:wordWrap/>
              <w:overflowPunct/>
              <w:autoSpaceDE/>
              <w:autoSpaceDN/>
              <w:bidi w:val="0"/>
              <w:adjustRightInd w:val="0"/>
              <w:snapToGrid w:val="0"/>
              <w:spacing w:before="0" w:after="0" w:line="360" w:lineRule="auto"/>
              <w:ind w:left="0" w:leftChars="0" w:right="0" w:rightChars="0" w:firstLine="480" w:firstLineChars="200"/>
              <w:jc w:val="both"/>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eastAsia" w:ascii="Times New Roman" w:hAnsi="Times New Roman" w:cs="Times New Roman"/>
                <w:color w:val="000000" w:themeColor="text1"/>
                <w:spacing w:val="0"/>
                <w:kern w:val="24"/>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24"/>
                <w:sz w:val="24"/>
                <w:szCs w:val="24"/>
                <w14:textFill>
                  <w14:solidFill>
                    <w14:schemeClr w14:val="tx1"/>
                  </w14:solidFill>
                </w14:textFill>
              </w:rPr>
              <w:t>预测值计算</w:t>
            </w:r>
          </w:p>
          <w:p w14:paraId="68302B95">
            <w:pPr>
              <w:keepNext w:val="0"/>
              <w:keepLines w:val="0"/>
              <w:pageBreakBefore w:val="0"/>
              <w:widowControl w:val="0"/>
              <w:tabs>
                <w:tab w:val="left" w:pos="1282"/>
              </w:tabs>
              <w:kinsoku/>
              <w:wordWrap/>
              <w:overflowPunct/>
              <w:topLinePunct w:val="0"/>
              <w:autoSpaceDE/>
              <w:autoSpaceDN/>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4"/>
                <w:sz w:val="24"/>
                <w14:textFill>
                  <w14:solidFill>
                    <w14:schemeClr w14:val="tx1"/>
                  </w14:solidFill>
                </w14:textFill>
              </w:rPr>
              <w:t>按本标准正文式（3）计算。</w:t>
            </w:r>
          </w:p>
          <w:p w14:paraId="1CD9B2E2">
            <w:pPr>
              <w:keepNext w:val="0"/>
              <w:keepLines w:val="0"/>
              <w:pageBreakBefore w:val="0"/>
              <w:widowControl w:val="0"/>
              <w:kinsoku/>
              <w:wordWrap/>
              <w:overflowPunct/>
              <w:autoSpaceDE/>
              <w:autoSpaceDN/>
              <w:bidi w:val="0"/>
              <w:adjustRightInd w:val="0"/>
              <w:snapToGrid w:val="0"/>
              <w:spacing w:line="360" w:lineRule="auto"/>
              <w:ind w:left="0" w:leftChars="0" w:right="0" w:rightChars="0" w:firstLine="0" w:firstLineChars="0"/>
              <w:jc w:val="center"/>
              <w:outlineLvl w:val="9"/>
              <w:rPr>
                <w:rFonts w:hint="default" w:ascii="Times New Roman" w:hAnsi="Times New Roman" w:eastAsia="宋体" w:cs="Times New Roman"/>
                <w:b w:val="0"/>
                <w:bCs w:val="0"/>
                <w:color w:val="000000" w:themeColor="text1"/>
                <w:kern w:val="24"/>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4"/>
                <w:position w:val="0"/>
                <w:sz w:val="24"/>
                <w:szCs w:val="24"/>
                <w:highlight w:val="none"/>
                <w:lang w:val="en-US" w:eastAsia="zh-CN"/>
                <w14:textFill>
                  <w14:solidFill>
                    <w14:schemeClr w14:val="tx1"/>
                  </w14:solidFill>
                </w14:textFill>
              </w:rPr>
              <w:object>
                <v:shape id="_x0000_i1027" o:spt="75" type="#_x0000_t75" style="height:21pt;width:143pt;" o:ole="t" filled="f" o:preferrelative="t" stroked="f" coordsize="21600,21600">
                  <v:path/>
                  <v:fill on="f" focussize="0,0"/>
                  <v:stroke on="f"/>
                  <v:imagedata r:id="rId20" o:title=""/>
                  <o:lock v:ext="edit" aspectratio="t"/>
                  <w10:wrap type="none"/>
                  <w10:anchorlock/>
                </v:shape>
                <o:OLEObject Type="Embed" ProgID="Equation.KSEE3" ShapeID="_x0000_i1027" DrawAspect="Content" ObjectID="_1468075727" r:id="rId19">
                  <o:LockedField>false</o:LockedField>
                </o:OLEObject>
              </w:object>
            </w:r>
            <w:r>
              <w:rPr>
                <w:rFonts w:hint="eastAsia" w:cs="Times New Roman"/>
                <w:b/>
                <w:bCs/>
                <w:color w:val="000000" w:themeColor="text1"/>
                <w:kern w:val="24"/>
                <w:sz w:val="24"/>
                <w:szCs w:val="24"/>
                <w:highlight w:val="none"/>
                <w:lang w:val="en-US" w:eastAsia="zh-CN"/>
                <w14:textFill>
                  <w14:solidFill>
                    <w14:schemeClr w14:val="tx1"/>
                  </w14:solidFill>
                </w14:textFill>
              </w:rPr>
              <w:t xml:space="preserve">       </w:t>
            </w:r>
            <w:r>
              <w:rPr>
                <w:rFonts w:hint="eastAsia" w:cs="Times New Roman"/>
                <w:b w:val="0"/>
                <w:bCs w:val="0"/>
                <w:color w:val="000000" w:themeColor="text1"/>
                <w:kern w:val="24"/>
                <w:sz w:val="24"/>
                <w:szCs w:val="24"/>
                <w:highlight w:val="none"/>
                <w:lang w:val="en-US" w:eastAsia="zh-CN"/>
                <w14:textFill>
                  <w14:solidFill>
                    <w14:schemeClr w14:val="tx1"/>
                  </w14:solidFill>
                </w14:textFill>
              </w:rPr>
              <w:t>（3）</w:t>
            </w:r>
          </w:p>
          <w:p w14:paraId="1952CE59">
            <w:pPr>
              <w:keepNext w:val="0"/>
              <w:keepLines w:val="0"/>
              <w:pageBreakBefore w:val="0"/>
              <w:widowControl w:val="0"/>
              <w:kinsoku/>
              <w:wordWrap/>
              <w:overflowPunct/>
              <w:autoSpaceDE/>
              <w:autoSpaceDN/>
              <w:bidi w:val="0"/>
              <w:adjustRightInd w:val="0"/>
              <w:snapToGrid w:val="0"/>
              <w:spacing w:line="360" w:lineRule="auto"/>
              <w:ind w:left="0" w:leftChars="0" w:right="0" w:rightChars="0" w:firstLine="480" w:firstLineChars="200"/>
              <w:rPr>
                <w:rFonts w:hint="default" w:ascii="Times New Roman" w:hAnsi="Times New Roman" w:eastAsia="宋体" w:cs="Times New Roman"/>
                <w:b/>
                <w:bCs/>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4"/>
                <w14:textFill>
                  <w14:solidFill>
                    <w14:schemeClr w14:val="tx1"/>
                  </w14:solidFill>
                </w14:textFill>
              </w:rPr>
              <w:t>式中：</w:t>
            </w:r>
            <w:r>
              <w:rPr>
                <w:rFonts w:hint="default" w:ascii="Times New Roman" w:hAnsi="Times New Roman" w:eastAsia="宋体" w:cs="Times New Roman"/>
                <w:i/>
                <w:snapToGrid w:val="0"/>
                <w:color w:val="000000" w:themeColor="text1"/>
                <w:kern w:val="21"/>
                <w:sz w:val="24"/>
                <w14:textFill>
                  <w14:solidFill>
                    <w14:schemeClr w14:val="tx1"/>
                  </w14:solidFill>
                </w14:textFill>
              </w:rPr>
              <w:t>L</w:t>
            </w:r>
            <w:r>
              <w:rPr>
                <w:rFonts w:hint="default" w:ascii="Times New Roman" w:hAnsi="Times New Roman" w:eastAsia="宋体" w:cs="Times New Roman"/>
                <w:snapToGrid w:val="0"/>
                <w:color w:val="000000" w:themeColor="text1"/>
                <w:kern w:val="21"/>
                <w:position w:val="0"/>
                <w:sz w:val="24"/>
                <w:vertAlign w:val="subscript"/>
                <w14:textFill>
                  <w14:solidFill>
                    <w14:schemeClr w14:val="tx1"/>
                  </w14:solidFill>
                </w14:textFill>
              </w:rPr>
              <w:t>eq</w:t>
            </w:r>
            <w:r>
              <w:rPr>
                <w:rFonts w:hint="default" w:ascii="Times New Roman" w:hAnsi="Times New Roman" w:eastAsia="宋体" w:cs="Times New Roman"/>
                <w:snapToGrid w:val="0"/>
                <w:color w:val="000000" w:themeColor="text1"/>
                <w:kern w:val="21"/>
                <w:sz w:val="24"/>
                <w14:textFill>
                  <w14:solidFill>
                    <w14:schemeClr w14:val="tx1"/>
                  </w14:solidFill>
                </w14:textFill>
              </w:rPr>
              <w:t>——预测点的噪声预测值，dB；</w:t>
            </w:r>
          </w:p>
          <w:p w14:paraId="1D1A6302">
            <w:pPr>
              <w:pStyle w:val="11"/>
              <w:keepNext w:val="0"/>
              <w:keepLines w:val="0"/>
              <w:pageBreakBefore w:val="0"/>
              <w:widowControl w:val="0"/>
              <w:kinsoku/>
              <w:wordWrap/>
              <w:overflowPunct/>
              <w:autoSpaceDE/>
              <w:autoSpaceDN/>
              <w:bidi w:val="0"/>
              <w:adjustRightInd w:val="0"/>
              <w:snapToGrid w:val="0"/>
              <w:spacing w:before="0" w:after="0" w:line="360" w:lineRule="auto"/>
              <w:ind w:left="0" w:leftChars="0" w:right="0" w:rightChars="0" w:firstLine="1200" w:firstLineChars="500"/>
              <w:rPr>
                <w:rFonts w:hint="default" w:ascii="Times New Roman" w:hAnsi="Times New Roman" w:eastAsia="宋体" w:cs="Times New Roman"/>
                <w:snapToGrid w:val="0"/>
                <w:color w:val="000000" w:themeColor="text1"/>
                <w:kern w:val="21"/>
                <w:sz w:val="24"/>
                <w:szCs w:val="24"/>
                <w14:textFill>
                  <w14:solidFill>
                    <w14:schemeClr w14:val="tx1"/>
                  </w14:solidFill>
                </w14:textFill>
              </w:rPr>
            </w:pPr>
            <w:r>
              <w:rPr>
                <w:rFonts w:hint="default" w:ascii="Times New Roman" w:hAnsi="Times New Roman" w:eastAsia="宋体" w:cs="Times New Roman"/>
                <w:i/>
                <w:snapToGrid w:val="0"/>
                <w:color w:val="000000" w:themeColor="text1"/>
                <w:kern w:val="21"/>
                <w:sz w:val="24"/>
                <w:szCs w:val="24"/>
                <w14:textFill>
                  <w14:solidFill>
                    <w14:schemeClr w14:val="tx1"/>
                  </w14:solidFill>
                </w14:textFill>
              </w:rPr>
              <w:t>L</w:t>
            </w:r>
            <w:r>
              <w:rPr>
                <w:rFonts w:hint="default" w:ascii="Times New Roman" w:hAnsi="Times New Roman" w:eastAsia="宋体" w:cs="Times New Roman"/>
                <w:snapToGrid w:val="0"/>
                <w:color w:val="000000" w:themeColor="text1"/>
                <w:kern w:val="21"/>
                <w:position w:val="0"/>
                <w:sz w:val="24"/>
                <w:szCs w:val="24"/>
                <w:vertAlign w:val="subscript"/>
                <w14:textFill>
                  <w14:solidFill>
                    <w14:schemeClr w14:val="tx1"/>
                  </w14:solidFill>
                </w14:textFill>
              </w:rPr>
              <w:t>eqg</w:t>
            </w:r>
            <w:r>
              <w:rPr>
                <w:rFonts w:hint="default" w:ascii="Times New Roman" w:hAnsi="Times New Roman" w:eastAsia="宋体" w:cs="Times New Roman"/>
                <w:snapToGrid w:val="0"/>
                <w:color w:val="000000" w:themeColor="text1"/>
                <w:kern w:val="21"/>
                <w:position w:val="0"/>
                <w:sz w:val="24"/>
                <w:szCs w:val="24"/>
                <w14:textFill>
                  <w14:solidFill>
                    <w14:schemeClr w14:val="tx1"/>
                  </w14:solidFill>
                </w14:textFill>
              </w:rPr>
              <w:t>——建设项目声源在预测点产生的噪声贡献值，dB；</w:t>
            </w:r>
          </w:p>
          <w:p w14:paraId="302ED232">
            <w:pPr>
              <w:keepNext w:val="0"/>
              <w:keepLines w:val="0"/>
              <w:pageBreakBefore w:val="0"/>
              <w:widowControl w:val="0"/>
              <w:tabs>
                <w:tab w:val="left" w:pos="1282"/>
              </w:tabs>
              <w:kinsoku/>
              <w:wordWrap/>
              <w:overflowPunct/>
              <w:topLinePunct w:val="0"/>
              <w:autoSpaceDE/>
              <w:autoSpaceDN/>
              <w:bidi w:val="0"/>
              <w:adjustRightInd w:val="0"/>
              <w:snapToGrid w:val="0"/>
              <w:spacing w:line="360" w:lineRule="auto"/>
              <w:ind w:left="0" w:leftChars="0" w:right="0" w:rightChars="0" w:firstLine="1200" w:firstLineChars="500"/>
              <w:jc w:val="both"/>
              <w:outlineLvl w:val="9"/>
              <w:rPr>
                <w:rFonts w:hint="default"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pPr>
            <w:r>
              <w:rPr>
                <w:rFonts w:hint="default" w:ascii="Times New Roman" w:hAnsi="Times New Roman" w:eastAsia="宋体" w:cs="Times New Roman"/>
                <w:i/>
                <w:snapToGrid w:val="0"/>
                <w:color w:val="000000" w:themeColor="text1"/>
                <w:kern w:val="21"/>
                <w:sz w:val="24"/>
                <w14:textFill>
                  <w14:solidFill>
                    <w14:schemeClr w14:val="tx1"/>
                  </w14:solidFill>
                </w14:textFill>
              </w:rPr>
              <w:t>L</w:t>
            </w:r>
            <w:r>
              <w:rPr>
                <w:rFonts w:hint="default" w:ascii="Times New Roman" w:hAnsi="Times New Roman" w:eastAsia="宋体" w:cs="Times New Roman"/>
                <w:snapToGrid w:val="0"/>
                <w:color w:val="000000" w:themeColor="text1"/>
                <w:kern w:val="21"/>
                <w:position w:val="0"/>
                <w:sz w:val="24"/>
                <w:vertAlign w:val="subscript"/>
                <w14:textFill>
                  <w14:solidFill>
                    <w14:schemeClr w14:val="tx1"/>
                  </w14:solidFill>
                </w14:textFill>
              </w:rPr>
              <w:t>eqb</w:t>
            </w:r>
            <w:r>
              <w:rPr>
                <w:rFonts w:hint="default" w:ascii="Times New Roman" w:hAnsi="Times New Roman" w:eastAsia="宋体" w:cs="Times New Roman"/>
                <w:snapToGrid w:val="0"/>
                <w:color w:val="000000" w:themeColor="text1"/>
                <w:kern w:val="21"/>
                <w:position w:val="0"/>
                <w:sz w:val="24"/>
                <w14:textFill>
                  <w14:solidFill>
                    <w14:schemeClr w14:val="tx1"/>
                  </w14:solidFill>
                </w14:textFill>
              </w:rPr>
              <w:t>——预测点的背景噪声值，dB。</w:t>
            </w:r>
          </w:p>
          <w:p w14:paraId="4F4325D9">
            <w:pPr>
              <w:keepNext w:val="0"/>
              <w:keepLines w:val="0"/>
              <w:pageBreakBefore w:val="0"/>
              <w:widowControl w:val="0"/>
              <w:tabs>
                <w:tab w:val="left" w:pos="1282"/>
              </w:tabs>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000000" w:themeColor="text1"/>
                <w:kern w:val="24"/>
                <w:sz w:val="24"/>
                <w:szCs w:val="24"/>
                <w:highlight w:val="none"/>
                <w:lang w:eastAsia="zh-CN"/>
                <w14:textFill>
                  <w14:solidFill>
                    <w14:schemeClr w14:val="tx1"/>
                  </w14:solidFill>
                </w14:textFill>
              </w:rPr>
            </w:pPr>
            <w:r>
              <w:rPr>
                <w:rFonts w:hint="eastAsia" w:cs="Times New Roman"/>
                <w:b/>
                <w:bCs/>
                <w:color w:val="000000" w:themeColor="text1"/>
                <w:kern w:val="24"/>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24"/>
                <w:sz w:val="24"/>
                <w:szCs w:val="24"/>
                <w:highlight w:val="none"/>
                <w:lang w:eastAsia="zh-CN"/>
                <w14:textFill>
                  <w14:solidFill>
                    <w14:schemeClr w14:val="tx1"/>
                  </w14:solidFill>
                </w14:textFill>
              </w:rPr>
              <w:t>预测参数</w:t>
            </w:r>
          </w:p>
          <w:p w14:paraId="17C3CB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b w:val="0"/>
                <w:bCs w:val="0"/>
                <w:color w:val="000000" w:themeColor="text1"/>
                <w:kern w:val="24"/>
                <w:sz w:val="24"/>
                <w:szCs w:val="24"/>
                <w:highlight w:val="none"/>
                <w:lang w:eastAsia="zh-CN"/>
                <w14:textFill>
                  <w14:solidFill>
                    <w14:schemeClr w14:val="tx1"/>
                  </w14:solidFill>
                </w14:textFill>
              </w:rPr>
            </w:pPr>
            <w:r>
              <w:rPr>
                <w:rFonts w:hint="eastAsia" w:cs="Times New Roman"/>
                <w:b w:val="0"/>
                <w:bCs w:val="0"/>
                <w:color w:val="000000" w:themeColor="text1"/>
                <w:kern w:val="24"/>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24"/>
                <w:sz w:val="24"/>
                <w:szCs w:val="24"/>
                <w:highlight w:val="none"/>
                <w:lang w:eastAsia="zh-CN"/>
                <w14:textFill>
                  <w14:solidFill>
                    <w14:schemeClr w14:val="tx1"/>
                  </w14:solidFill>
                </w14:textFill>
              </w:rPr>
              <w:t>噪声源强</w:t>
            </w:r>
          </w:p>
          <w:p w14:paraId="233501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项目在生产过程中产生的噪声主要源自</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生产线</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设备，产生的噪声声级一般在</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dB以上。</w:t>
            </w:r>
          </w:p>
          <w:p w14:paraId="4EB788F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b w:val="0"/>
                <w:bCs w:val="0"/>
                <w:color w:val="000000" w:themeColor="text1"/>
                <w:kern w:val="24"/>
                <w:sz w:val="24"/>
                <w:szCs w:val="24"/>
                <w:highlight w:val="none"/>
                <w:lang w:eastAsia="zh-CN"/>
                <w14:textFill>
                  <w14:solidFill>
                    <w14:schemeClr w14:val="tx1"/>
                  </w14:solidFill>
                </w14:textFill>
              </w:rPr>
            </w:pPr>
            <w:r>
              <w:rPr>
                <w:rFonts w:hint="eastAsia" w:cs="Times New Roman"/>
                <w:b w:val="0"/>
                <w:bCs w:val="0"/>
                <w:color w:val="000000" w:themeColor="text1"/>
                <w:kern w:val="24"/>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24"/>
                <w:sz w:val="24"/>
                <w:szCs w:val="24"/>
                <w:highlight w:val="none"/>
                <w:lang w:eastAsia="zh-CN"/>
                <w14:textFill>
                  <w14:solidFill>
                    <w14:schemeClr w14:val="tx1"/>
                  </w14:solidFill>
                </w14:textFill>
              </w:rPr>
              <w:t>基础数据</w:t>
            </w:r>
          </w:p>
          <w:p w14:paraId="37B02B9B">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jc w:val="both"/>
              <w:outlineLvl w:val="9"/>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项目噪声环境影响预测基础数据见表</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4-</w:t>
            </w:r>
            <w:r>
              <w:rPr>
                <w:rFonts w:hint="eastAsia" w:cs="Times New Roman"/>
                <w:color w:val="000000" w:themeColor="text1"/>
                <w:kern w:val="24"/>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w:t>
            </w:r>
          </w:p>
          <w:p w14:paraId="5883111E">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4"/>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lang w:eastAsia="zh-CN"/>
                <w14:textFill>
                  <w14:solidFill>
                    <w14:schemeClr w14:val="tx1"/>
                  </w14:solidFill>
                </w14:textFill>
              </w:rPr>
              <w:t>表</w:t>
            </w:r>
            <w:r>
              <w:rPr>
                <w:rFonts w:hint="default" w:ascii="Times New Roman" w:hAnsi="Times New Roman" w:eastAsia="宋体" w:cs="Times New Roman"/>
                <w:b/>
                <w:bCs/>
                <w:color w:val="000000" w:themeColor="text1"/>
                <w:kern w:val="24"/>
                <w:sz w:val="21"/>
                <w:szCs w:val="21"/>
                <w:highlight w:val="none"/>
                <w:lang w:val="en-US" w:eastAsia="zh-CN"/>
                <w14:textFill>
                  <w14:solidFill>
                    <w14:schemeClr w14:val="tx1"/>
                  </w14:solidFill>
                </w14:textFill>
              </w:rPr>
              <w:t>4-</w:t>
            </w:r>
            <w:r>
              <w:rPr>
                <w:rFonts w:hint="eastAsia" w:cs="Times New Roman"/>
                <w:b/>
                <w:bCs/>
                <w:color w:val="000000" w:themeColor="text1"/>
                <w:kern w:val="24"/>
                <w:sz w:val="21"/>
                <w:szCs w:val="21"/>
                <w:highlight w:val="none"/>
                <w:lang w:val="en-US" w:eastAsia="zh-CN"/>
                <w14:textFill>
                  <w14:solidFill>
                    <w14:schemeClr w14:val="tx1"/>
                  </w14:solidFill>
                </w14:textFill>
              </w:rPr>
              <w:t>6</w:t>
            </w:r>
            <w:r>
              <w:rPr>
                <w:rFonts w:hint="default" w:cs="Times New Roman"/>
                <w:b/>
                <w:bCs/>
                <w:color w:val="000000" w:themeColor="text1"/>
                <w:kern w:val="24"/>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24"/>
                <w:sz w:val="21"/>
                <w:szCs w:val="21"/>
                <w:highlight w:val="none"/>
                <w:lang w:eastAsia="zh-CN"/>
                <w14:textFill>
                  <w14:solidFill>
                    <w14:schemeClr w14:val="tx1"/>
                  </w14:solidFill>
                </w14:textFill>
              </w:rPr>
              <w:t xml:space="preserve"> 项目噪声环境影响预测基础数据表</w:t>
            </w:r>
            <w:bookmarkStart w:id="5" w:name="PT_4"/>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2163"/>
              <w:gridCol w:w="1649"/>
              <w:gridCol w:w="1649"/>
              <w:gridCol w:w="1650"/>
            </w:tblGrid>
            <w:tr w14:paraId="7BDEC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pct"/>
                  <w:tcBorders>
                    <w:tl2br w:val="nil"/>
                    <w:tr2bl w:val="nil"/>
                  </w:tcBorders>
                  <w:noWrap w:val="0"/>
                  <w:vAlign w:val="center"/>
                </w:tcPr>
                <w:p w14:paraId="35AAAA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4"/>
                      <w:sz w:val="21"/>
                      <w:szCs w:val="21"/>
                      <w:highlight w:val="none"/>
                      <w14:textFill>
                        <w14:solidFill>
                          <w14:schemeClr w14:val="tx1"/>
                        </w14:solidFill>
                      </w14:textFill>
                    </w:rPr>
                    <w:t>序号</w:t>
                  </w:r>
                </w:p>
              </w:tc>
              <w:tc>
                <w:tcPr>
                  <w:tcW w:w="1310" w:type="pct"/>
                  <w:tcBorders>
                    <w:tl2br w:val="nil"/>
                    <w:tr2bl w:val="nil"/>
                  </w:tcBorders>
                  <w:noWrap w:val="0"/>
                  <w:vAlign w:val="center"/>
                </w:tcPr>
                <w:p w14:paraId="475702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4"/>
                      <w:sz w:val="21"/>
                      <w:szCs w:val="21"/>
                      <w:highlight w:val="none"/>
                      <w14:textFill>
                        <w14:solidFill>
                          <w14:schemeClr w14:val="tx1"/>
                        </w14:solidFill>
                      </w14:textFill>
                    </w:rPr>
                    <w:t>名称</w:t>
                  </w:r>
                </w:p>
              </w:tc>
              <w:tc>
                <w:tcPr>
                  <w:tcW w:w="999" w:type="pct"/>
                  <w:tcBorders>
                    <w:tl2br w:val="nil"/>
                    <w:tr2bl w:val="nil"/>
                  </w:tcBorders>
                  <w:noWrap w:val="0"/>
                  <w:vAlign w:val="center"/>
                </w:tcPr>
                <w:p w14:paraId="713BF9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4"/>
                      <w:sz w:val="21"/>
                      <w:szCs w:val="21"/>
                      <w:highlight w:val="none"/>
                      <w14:textFill>
                        <w14:solidFill>
                          <w14:schemeClr w14:val="tx1"/>
                        </w14:solidFill>
                      </w14:textFill>
                    </w:rPr>
                    <w:t>单位</w:t>
                  </w:r>
                </w:p>
              </w:tc>
              <w:tc>
                <w:tcPr>
                  <w:tcW w:w="999" w:type="pct"/>
                  <w:tcBorders>
                    <w:tl2br w:val="nil"/>
                    <w:tr2bl w:val="nil"/>
                  </w:tcBorders>
                  <w:noWrap w:val="0"/>
                  <w:vAlign w:val="center"/>
                </w:tcPr>
                <w:p w14:paraId="118AAC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4"/>
                      <w:sz w:val="21"/>
                      <w:szCs w:val="21"/>
                      <w:highlight w:val="none"/>
                      <w14:textFill>
                        <w14:solidFill>
                          <w14:schemeClr w14:val="tx1"/>
                        </w14:solidFill>
                      </w14:textFill>
                    </w:rPr>
                    <w:t>数据</w:t>
                  </w:r>
                </w:p>
              </w:tc>
              <w:tc>
                <w:tcPr>
                  <w:tcW w:w="999" w:type="pct"/>
                  <w:tcBorders>
                    <w:tl2br w:val="nil"/>
                    <w:tr2bl w:val="nil"/>
                  </w:tcBorders>
                  <w:noWrap w:val="0"/>
                  <w:vAlign w:val="center"/>
                </w:tcPr>
                <w:p w14:paraId="6A09AA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4"/>
                      <w:sz w:val="21"/>
                      <w:szCs w:val="21"/>
                      <w:highlight w:val="none"/>
                      <w14:textFill>
                        <w14:solidFill>
                          <w14:schemeClr w14:val="tx1"/>
                        </w14:solidFill>
                      </w14:textFill>
                    </w:rPr>
                    <w:t>备注</w:t>
                  </w:r>
                  <w:bookmarkEnd w:id="5"/>
                </w:p>
              </w:tc>
            </w:tr>
            <w:tr w14:paraId="2354B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90" w:type="pct"/>
                  <w:tcBorders>
                    <w:tl2br w:val="nil"/>
                    <w:tr2bl w:val="nil"/>
                  </w:tcBorders>
                  <w:shd w:val="clear" w:color="auto" w:fill="FFFFFF"/>
                  <w:noWrap w:val="0"/>
                  <w:vAlign w:val="center"/>
                </w:tcPr>
                <w:p w14:paraId="1079E5B7">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14:textFill>
                        <w14:solidFill>
                          <w14:schemeClr w14:val="tx1"/>
                        </w14:solidFill>
                      </w14:textFill>
                    </w:rPr>
                    <w:t>1</w:t>
                  </w:r>
                </w:p>
              </w:tc>
              <w:tc>
                <w:tcPr>
                  <w:tcW w:w="2163" w:type="dxa"/>
                  <w:tcBorders>
                    <w:tl2br w:val="nil"/>
                    <w:tr2bl w:val="nil"/>
                  </w:tcBorders>
                  <w:shd w:val="clear" w:color="auto" w:fill="FFFFFF"/>
                  <w:noWrap w:val="0"/>
                  <w:vAlign w:val="center"/>
                </w:tcPr>
                <w:p w14:paraId="0AEFB902">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年平均风速</w:t>
                  </w:r>
                </w:p>
              </w:tc>
              <w:tc>
                <w:tcPr>
                  <w:tcW w:w="1649" w:type="dxa"/>
                  <w:tcBorders>
                    <w:tl2br w:val="nil"/>
                    <w:tr2bl w:val="nil"/>
                  </w:tcBorders>
                  <w:shd w:val="clear" w:color="auto" w:fill="FFFFFF"/>
                  <w:noWrap w:val="0"/>
                  <w:vAlign w:val="center"/>
                </w:tcPr>
                <w:p w14:paraId="3E973BA5">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m/s</w:t>
                  </w:r>
                </w:p>
              </w:tc>
              <w:tc>
                <w:tcPr>
                  <w:tcW w:w="1649" w:type="dxa"/>
                  <w:tcBorders>
                    <w:tl2br w:val="nil"/>
                    <w:tr2bl w:val="nil"/>
                  </w:tcBorders>
                  <w:shd w:val="clear" w:color="auto" w:fill="FFFFFF"/>
                  <w:noWrap w:val="0"/>
                  <w:vAlign w:val="center"/>
                </w:tcPr>
                <w:p w14:paraId="48FF3CEF">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999" w:type="pct"/>
                  <w:tcBorders>
                    <w:tl2br w:val="nil"/>
                    <w:tr2bl w:val="nil"/>
                  </w:tcBorders>
                  <w:shd w:val="clear" w:color="auto" w:fill="FFFFFF"/>
                  <w:noWrap w:val="0"/>
                  <w:vAlign w:val="center"/>
                </w:tcPr>
                <w:p w14:paraId="31200A45">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4"/>
                      <w:sz w:val="21"/>
                      <w:szCs w:val="21"/>
                      <w:lang w:val="en-US" w:eastAsia="zh-CN" w:bidi="ar-SA"/>
                      <w14:textFill>
                        <w14:solidFill>
                          <w14:schemeClr w14:val="tx1"/>
                        </w14:solidFill>
                      </w14:textFill>
                    </w:rPr>
                    <w:t>/</w:t>
                  </w:r>
                </w:p>
              </w:tc>
            </w:tr>
            <w:tr w14:paraId="480D8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90" w:type="pct"/>
                  <w:tcBorders>
                    <w:tl2br w:val="nil"/>
                    <w:tr2bl w:val="nil"/>
                  </w:tcBorders>
                  <w:shd w:val="clear" w:color="auto" w:fill="FFFFFF"/>
                  <w:noWrap w:val="0"/>
                  <w:vAlign w:val="center"/>
                </w:tcPr>
                <w:p w14:paraId="53363D75">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14:textFill>
                        <w14:solidFill>
                          <w14:schemeClr w14:val="tx1"/>
                        </w14:solidFill>
                      </w14:textFill>
                    </w:rPr>
                    <w:t>2</w:t>
                  </w:r>
                </w:p>
              </w:tc>
              <w:tc>
                <w:tcPr>
                  <w:tcW w:w="2163" w:type="dxa"/>
                  <w:tcBorders>
                    <w:tl2br w:val="nil"/>
                    <w:tr2bl w:val="nil"/>
                  </w:tcBorders>
                  <w:shd w:val="clear" w:color="auto" w:fill="FFFFFF"/>
                  <w:noWrap w:val="0"/>
                  <w:vAlign w:val="center"/>
                </w:tcPr>
                <w:p w14:paraId="66BC8008">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主导风向</w:t>
                  </w:r>
                </w:p>
              </w:tc>
              <w:tc>
                <w:tcPr>
                  <w:tcW w:w="1649" w:type="dxa"/>
                  <w:tcBorders>
                    <w:tl2br w:val="nil"/>
                    <w:tr2bl w:val="nil"/>
                  </w:tcBorders>
                  <w:shd w:val="clear" w:color="auto" w:fill="FFFFFF"/>
                  <w:noWrap w:val="0"/>
                  <w:vAlign w:val="center"/>
                </w:tcPr>
                <w:p w14:paraId="31DC981C">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649" w:type="dxa"/>
                  <w:tcBorders>
                    <w:tl2br w:val="nil"/>
                    <w:tr2bl w:val="nil"/>
                  </w:tcBorders>
                  <w:shd w:val="clear" w:color="auto" w:fill="FFFFFF"/>
                  <w:noWrap w:val="0"/>
                  <w:vAlign w:val="center"/>
                </w:tcPr>
                <w:p w14:paraId="23910707">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东北风</w:t>
                  </w:r>
                </w:p>
              </w:tc>
              <w:tc>
                <w:tcPr>
                  <w:tcW w:w="999" w:type="pct"/>
                  <w:tcBorders>
                    <w:tl2br w:val="nil"/>
                    <w:tr2bl w:val="nil"/>
                  </w:tcBorders>
                  <w:shd w:val="clear" w:color="auto" w:fill="FFFFFF"/>
                  <w:noWrap w:val="0"/>
                  <w:vAlign w:val="center"/>
                </w:tcPr>
                <w:p w14:paraId="495A66B2">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4"/>
                      <w:sz w:val="21"/>
                      <w:szCs w:val="21"/>
                      <w:lang w:val="en-US" w:eastAsia="zh-CN" w:bidi="ar-SA"/>
                      <w14:textFill>
                        <w14:solidFill>
                          <w14:schemeClr w14:val="tx1"/>
                        </w14:solidFill>
                      </w14:textFill>
                    </w:rPr>
                    <w:t>/</w:t>
                  </w:r>
                </w:p>
              </w:tc>
            </w:tr>
            <w:tr w14:paraId="24720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90" w:type="pct"/>
                  <w:tcBorders>
                    <w:tl2br w:val="nil"/>
                    <w:tr2bl w:val="nil"/>
                  </w:tcBorders>
                  <w:shd w:val="clear" w:color="auto" w:fill="FFFFFF"/>
                  <w:noWrap w:val="0"/>
                  <w:vAlign w:val="center"/>
                </w:tcPr>
                <w:p w14:paraId="2AB65109">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14:textFill>
                        <w14:solidFill>
                          <w14:schemeClr w14:val="tx1"/>
                        </w14:solidFill>
                      </w14:textFill>
                    </w:rPr>
                    <w:t>3</w:t>
                  </w:r>
                </w:p>
              </w:tc>
              <w:tc>
                <w:tcPr>
                  <w:tcW w:w="2163" w:type="dxa"/>
                  <w:tcBorders>
                    <w:tl2br w:val="nil"/>
                    <w:tr2bl w:val="nil"/>
                  </w:tcBorders>
                  <w:shd w:val="clear" w:color="auto" w:fill="FFFFFF"/>
                  <w:noWrap w:val="0"/>
                  <w:vAlign w:val="center"/>
                </w:tcPr>
                <w:p w14:paraId="4B563CDD">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年平均气温</w:t>
                  </w:r>
                </w:p>
              </w:tc>
              <w:tc>
                <w:tcPr>
                  <w:tcW w:w="1649" w:type="dxa"/>
                  <w:tcBorders>
                    <w:tl2br w:val="nil"/>
                    <w:tr2bl w:val="nil"/>
                  </w:tcBorders>
                  <w:shd w:val="clear" w:color="auto" w:fill="FFFFFF"/>
                  <w:noWrap w:val="0"/>
                  <w:vAlign w:val="center"/>
                </w:tcPr>
                <w:p w14:paraId="035A68FD">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649" w:type="dxa"/>
                  <w:tcBorders>
                    <w:tl2br w:val="nil"/>
                    <w:tr2bl w:val="nil"/>
                  </w:tcBorders>
                  <w:shd w:val="clear" w:color="auto" w:fill="FFFFFF"/>
                  <w:noWrap w:val="0"/>
                  <w:vAlign w:val="center"/>
                </w:tcPr>
                <w:p w14:paraId="2E5E577D">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c>
                <w:tcPr>
                  <w:tcW w:w="999" w:type="pct"/>
                  <w:tcBorders>
                    <w:tl2br w:val="nil"/>
                    <w:tr2bl w:val="nil"/>
                  </w:tcBorders>
                  <w:shd w:val="clear" w:color="auto" w:fill="FFFFFF"/>
                  <w:noWrap w:val="0"/>
                  <w:vAlign w:val="center"/>
                </w:tcPr>
                <w:p w14:paraId="448D70F1">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4"/>
                      <w:sz w:val="21"/>
                      <w:szCs w:val="21"/>
                      <w:lang w:val="en-US" w:eastAsia="zh-CN" w:bidi="ar-SA"/>
                      <w14:textFill>
                        <w14:solidFill>
                          <w14:schemeClr w14:val="tx1"/>
                        </w14:solidFill>
                      </w14:textFill>
                    </w:rPr>
                    <w:t>/</w:t>
                  </w:r>
                </w:p>
              </w:tc>
            </w:tr>
            <w:tr w14:paraId="1687C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90" w:type="pct"/>
                  <w:tcBorders>
                    <w:tl2br w:val="nil"/>
                    <w:tr2bl w:val="nil"/>
                  </w:tcBorders>
                  <w:shd w:val="clear" w:color="auto" w:fill="FFFFFF"/>
                  <w:noWrap w:val="0"/>
                  <w:vAlign w:val="center"/>
                </w:tcPr>
                <w:p w14:paraId="4DBF7EEC">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14:textFill>
                        <w14:solidFill>
                          <w14:schemeClr w14:val="tx1"/>
                        </w14:solidFill>
                      </w14:textFill>
                    </w:rPr>
                    <w:t>4</w:t>
                  </w:r>
                </w:p>
              </w:tc>
              <w:tc>
                <w:tcPr>
                  <w:tcW w:w="2163" w:type="dxa"/>
                  <w:tcBorders>
                    <w:tl2br w:val="nil"/>
                    <w:tr2bl w:val="nil"/>
                  </w:tcBorders>
                  <w:shd w:val="clear" w:color="auto" w:fill="FFFFFF"/>
                  <w:noWrap w:val="0"/>
                  <w:vAlign w:val="center"/>
                </w:tcPr>
                <w:p w14:paraId="5DE8EF4F">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年平均相对湿度</w:t>
                  </w:r>
                </w:p>
              </w:tc>
              <w:tc>
                <w:tcPr>
                  <w:tcW w:w="1649" w:type="dxa"/>
                  <w:tcBorders>
                    <w:tl2br w:val="nil"/>
                    <w:tr2bl w:val="nil"/>
                  </w:tcBorders>
                  <w:shd w:val="clear" w:color="auto" w:fill="FFFFFF"/>
                  <w:noWrap w:val="0"/>
                  <w:vAlign w:val="center"/>
                </w:tcPr>
                <w:p w14:paraId="499BC8AF">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649" w:type="dxa"/>
                  <w:tcBorders>
                    <w:tl2br w:val="nil"/>
                    <w:tr2bl w:val="nil"/>
                  </w:tcBorders>
                  <w:shd w:val="clear" w:color="auto" w:fill="FFFFFF"/>
                  <w:noWrap w:val="0"/>
                  <w:vAlign w:val="center"/>
                </w:tcPr>
                <w:p w14:paraId="10E23DC9">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999" w:type="pct"/>
                  <w:tcBorders>
                    <w:tl2br w:val="nil"/>
                    <w:tr2bl w:val="nil"/>
                  </w:tcBorders>
                  <w:shd w:val="clear" w:color="auto" w:fill="FFFFFF"/>
                  <w:noWrap w:val="0"/>
                  <w:vAlign w:val="center"/>
                </w:tcPr>
                <w:p w14:paraId="2C1234FE">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4"/>
                      <w:sz w:val="21"/>
                      <w:szCs w:val="21"/>
                      <w:lang w:val="en-US" w:eastAsia="zh-CN" w:bidi="ar-SA"/>
                      <w14:textFill>
                        <w14:solidFill>
                          <w14:schemeClr w14:val="tx1"/>
                        </w14:solidFill>
                      </w14:textFill>
                    </w:rPr>
                    <w:t>/</w:t>
                  </w:r>
                </w:p>
              </w:tc>
            </w:tr>
            <w:tr w14:paraId="61ED4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90" w:type="pct"/>
                  <w:tcBorders>
                    <w:tl2br w:val="nil"/>
                    <w:tr2bl w:val="nil"/>
                  </w:tcBorders>
                  <w:shd w:val="clear" w:color="auto" w:fill="FFFFFF"/>
                  <w:noWrap w:val="0"/>
                  <w:vAlign w:val="center"/>
                </w:tcPr>
                <w:p w14:paraId="63807A2F">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1"/>
                      <w:szCs w:val="21"/>
                      <w14:textFill>
                        <w14:solidFill>
                          <w14:schemeClr w14:val="tx1"/>
                        </w14:solidFill>
                      </w14:textFill>
                    </w:rPr>
                    <w:t>5</w:t>
                  </w:r>
                </w:p>
              </w:tc>
              <w:tc>
                <w:tcPr>
                  <w:tcW w:w="2163" w:type="dxa"/>
                  <w:tcBorders>
                    <w:tl2br w:val="nil"/>
                    <w:tr2bl w:val="nil"/>
                  </w:tcBorders>
                  <w:shd w:val="clear" w:color="auto" w:fill="FFFFFF"/>
                  <w:noWrap w:val="0"/>
                  <w:vAlign w:val="center"/>
                </w:tcPr>
                <w:p w14:paraId="6AC02BB7">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大气压强</w:t>
                  </w:r>
                </w:p>
              </w:tc>
              <w:tc>
                <w:tcPr>
                  <w:tcW w:w="1649" w:type="dxa"/>
                  <w:tcBorders>
                    <w:tl2br w:val="nil"/>
                    <w:tr2bl w:val="nil"/>
                  </w:tcBorders>
                  <w:shd w:val="clear" w:color="auto" w:fill="FFFFFF"/>
                  <w:noWrap w:val="0"/>
                  <w:vAlign w:val="center"/>
                </w:tcPr>
                <w:p w14:paraId="28DAC6A4">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atm</w:t>
                  </w:r>
                </w:p>
              </w:tc>
              <w:tc>
                <w:tcPr>
                  <w:tcW w:w="1649" w:type="dxa"/>
                  <w:tcBorders>
                    <w:tl2br w:val="nil"/>
                    <w:tr2bl w:val="nil"/>
                  </w:tcBorders>
                  <w:shd w:val="clear" w:color="auto" w:fill="FFFFFF"/>
                  <w:noWrap w:val="0"/>
                  <w:vAlign w:val="center"/>
                </w:tcPr>
                <w:p w14:paraId="4AA38222">
                  <w:pPr>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999" w:type="pct"/>
                  <w:tcBorders>
                    <w:tl2br w:val="nil"/>
                    <w:tr2bl w:val="nil"/>
                  </w:tcBorders>
                  <w:shd w:val="clear" w:color="auto" w:fill="FFFFFF"/>
                  <w:noWrap w:val="0"/>
                  <w:vAlign w:val="center"/>
                </w:tcPr>
                <w:p w14:paraId="42E90BCC">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4"/>
                      <w:sz w:val="21"/>
                      <w:szCs w:val="21"/>
                      <w:lang w:val="en-US" w:eastAsia="zh-CN" w:bidi="ar-SA"/>
                      <w14:textFill>
                        <w14:solidFill>
                          <w14:schemeClr w14:val="tx1"/>
                        </w14:solidFill>
                      </w14:textFill>
                    </w:rPr>
                    <w:t>/</w:t>
                  </w:r>
                </w:p>
              </w:tc>
            </w:tr>
          </w:tbl>
          <w:p w14:paraId="5FAC729F">
            <w:pPr>
              <w:pStyle w:val="30"/>
              <w:keepNext w:val="0"/>
              <w:keepLines w:val="0"/>
              <w:pageBreakBefore w:val="0"/>
              <w:widowControl w:val="0"/>
              <w:kinsoku/>
              <w:wordWrap/>
              <w:overflowPunct/>
              <w:autoSpaceDE/>
              <w:autoSpaceDN/>
              <w:bidi w:val="0"/>
              <w:adjustRightInd w:val="0"/>
              <w:snapToGrid w:val="0"/>
              <w:spacing w:before="157" w:beforeLines="50" w:after="0" w:line="360" w:lineRule="auto"/>
              <w:ind w:left="0" w:leftChars="0" w:right="0" w:rightChars="0" w:firstLine="480" w:firstLineChars="200"/>
              <w:jc w:val="both"/>
              <w:rPr>
                <w:rFonts w:ascii="Times New Roman" w:hAnsi="Times New Roman" w:eastAsia="宋体" w:cs="Times New Roman"/>
                <w:color w:val="000000" w:themeColor="text1"/>
                <w:kern w:val="24"/>
                <w:sz w:val="24"/>
                <w:szCs w:val="24"/>
                <w:highlight w:val="none"/>
                <w:lang w:eastAsia="zh-CN"/>
                <w14:textFill>
                  <w14:solidFill>
                    <w14:schemeClr w14:val="tx1"/>
                  </w14:solidFill>
                </w14:textFill>
              </w:rPr>
            </w:pPr>
            <w:r>
              <w:rPr>
                <w:rFonts w:ascii="Times New Roman" w:hAnsi="Times New Roman" w:eastAsia="宋体" w:cs="Times New Roman"/>
                <w:color w:val="000000" w:themeColor="text1"/>
                <w:kern w:val="24"/>
                <w:sz w:val="24"/>
                <w:szCs w:val="24"/>
                <w:highlight w:val="none"/>
                <w:lang w:eastAsia="zh-CN"/>
                <w14:textFill>
                  <w14:solidFill>
                    <w14:schemeClr w14:val="tx1"/>
                  </w14:solidFill>
                </w14:textFill>
              </w:rPr>
              <w:t>根据现场踏勘、项目总平图等，并结合卫星图片地理信息数据确定，数据精度为10m。</w:t>
            </w:r>
          </w:p>
          <w:p w14:paraId="74199C68">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4"/>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24"/>
                <w:szCs w:val="21"/>
                <w:highlight w:val="none"/>
                <w:lang w:eastAsia="zh-CN"/>
                <w14:textFill>
                  <w14:solidFill>
                    <w14:schemeClr w14:val="tx1"/>
                  </w14:solidFill>
                </w14:textFill>
              </w:rPr>
              <w:t>表</w:t>
            </w:r>
            <w:r>
              <w:rPr>
                <w:rFonts w:hint="default" w:ascii="Times New Roman" w:hAnsi="Times New Roman" w:eastAsia="宋体" w:cs="Times New Roman"/>
                <w:b/>
                <w:bCs/>
                <w:color w:val="000000" w:themeColor="text1"/>
                <w:kern w:val="24"/>
                <w:szCs w:val="21"/>
                <w:highlight w:val="none"/>
                <w:lang w:val="en-US" w:eastAsia="zh-CN"/>
                <w14:textFill>
                  <w14:solidFill>
                    <w14:schemeClr w14:val="tx1"/>
                  </w14:solidFill>
                </w14:textFill>
              </w:rPr>
              <w:t>4-</w:t>
            </w:r>
            <w:r>
              <w:rPr>
                <w:rFonts w:hint="eastAsia" w:cs="Times New Roman"/>
                <w:b/>
                <w:bCs/>
                <w:color w:val="000000" w:themeColor="text1"/>
                <w:kern w:val="24"/>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kern w:val="24"/>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24"/>
                <w:szCs w:val="21"/>
                <w:highlight w:val="none"/>
                <w:lang w:eastAsia="zh-CN"/>
                <w14:textFill>
                  <w14:solidFill>
                    <w14:schemeClr w14:val="tx1"/>
                  </w14:solidFill>
                </w14:textFill>
              </w:rPr>
              <w:t>工业企业噪声源强调查清单（室内声源）</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0" w:type="dxa"/>
                <w:bottom w:w="28" w:type="dxa"/>
                <w:right w:w="0" w:type="dxa"/>
              </w:tblCellMar>
            </w:tblPr>
            <w:tblGrid>
              <w:gridCol w:w="186"/>
              <w:gridCol w:w="476"/>
              <w:gridCol w:w="502"/>
              <w:gridCol w:w="386"/>
              <w:gridCol w:w="386"/>
              <w:gridCol w:w="241"/>
              <w:gridCol w:w="325"/>
              <w:gridCol w:w="418"/>
              <w:gridCol w:w="325"/>
              <w:gridCol w:w="424"/>
              <w:gridCol w:w="325"/>
              <w:gridCol w:w="325"/>
              <w:gridCol w:w="325"/>
              <w:gridCol w:w="334"/>
              <w:gridCol w:w="461"/>
              <w:gridCol w:w="325"/>
              <w:gridCol w:w="325"/>
              <w:gridCol w:w="325"/>
              <w:gridCol w:w="334"/>
              <w:gridCol w:w="325"/>
              <w:gridCol w:w="325"/>
              <w:gridCol w:w="325"/>
              <w:gridCol w:w="326"/>
              <w:gridCol w:w="201"/>
            </w:tblGrid>
            <w:tr w14:paraId="4E14D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0" w:type="dxa"/>
                  <w:bottom w:w="28" w:type="dxa"/>
                  <w:right w:w="0" w:type="dxa"/>
                </w:tblCellMar>
              </w:tblPrEx>
              <w:trPr>
                <w:trHeight w:val="1080" w:hRule="exact"/>
                <w:jc w:val="center"/>
              </w:trPr>
              <w:tc>
                <w:tcPr>
                  <w:tcW w:w="112" w:type="pct"/>
                  <w:vMerge w:val="restart"/>
                  <w:tcBorders>
                    <w:tl2br w:val="nil"/>
                    <w:tr2bl w:val="nil"/>
                  </w:tcBorders>
                  <w:vAlign w:val="center"/>
                </w:tcPr>
                <w:p w14:paraId="18AA0C6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bookmarkStart w:id="6" w:name="PT_6"/>
                  <w:r>
                    <w:rPr>
                      <w:rFonts w:hint="default" w:ascii="Times New Roman" w:hAnsi="Times New Roman" w:eastAsia="宋体" w:cs="Times New Roman"/>
                      <w:b/>
                      <w:color w:val="000000" w:themeColor="text1"/>
                      <w:sz w:val="18"/>
                      <w:szCs w:val="18"/>
                      <w14:textFill>
                        <w14:solidFill>
                          <w14:schemeClr w14:val="tx1"/>
                        </w14:solidFill>
                      </w14:textFill>
                    </w:rPr>
                    <w:t>序号</w:t>
                  </w:r>
                </w:p>
              </w:tc>
              <w:tc>
                <w:tcPr>
                  <w:tcW w:w="288" w:type="pct"/>
                  <w:vMerge w:val="restart"/>
                  <w:tcBorders>
                    <w:tl2br w:val="nil"/>
                    <w:tr2bl w:val="nil"/>
                  </w:tcBorders>
                  <w:vAlign w:val="center"/>
                </w:tcPr>
                <w:p w14:paraId="2A494B7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b/>
                      <w:color w:val="000000" w:themeColor="text1"/>
                      <w:sz w:val="18"/>
                      <w:szCs w:val="18"/>
                      <w14:textFill>
                        <w14:solidFill>
                          <w14:schemeClr w14:val="tx1"/>
                        </w14:solidFill>
                      </w14:textFill>
                    </w:rPr>
                    <w:t>声源名称</w:t>
                  </w:r>
                </w:p>
              </w:tc>
              <w:tc>
                <w:tcPr>
                  <w:tcW w:w="304" w:type="pct"/>
                  <w:tcBorders>
                    <w:tl2br w:val="nil"/>
                    <w:tr2bl w:val="nil"/>
                  </w:tcBorders>
                  <w:vAlign w:val="center"/>
                </w:tcPr>
                <w:p w14:paraId="6B408A3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b/>
                      <w:color w:val="000000" w:themeColor="text1"/>
                      <w:sz w:val="18"/>
                      <w:szCs w:val="18"/>
                      <w:lang w:eastAsia="zh-CN"/>
                      <w14:textFill>
                        <w14:solidFill>
                          <w14:schemeClr w14:val="tx1"/>
                        </w14:solidFill>
                      </w14:textFill>
                    </w:rPr>
                    <w:t>声源源强</w:t>
                  </w:r>
                </w:p>
              </w:tc>
              <w:tc>
                <w:tcPr>
                  <w:tcW w:w="614" w:type="pct"/>
                  <w:gridSpan w:val="3"/>
                  <w:tcBorders>
                    <w:tl2br w:val="nil"/>
                    <w:tr2bl w:val="nil"/>
                  </w:tcBorders>
                  <w:vAlign w:val="center"/>
                </w:tcPr>
                <w:p w14:paraId="21313B2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b/>
                      <w:color w:val="000000" w:themeColor="text1"/>
                      <w:sz w:val="18"/>
                      <w:szCs w:val="18"/>
                      <w14:textFill>
                        <w14:solidFill>
                          <w14:schemeClr w14:val="tx1"/>
                        </w14:solidFill>
                      </w14:textFill>
                    </w:rPr>
                    <w:t>空间相对位置/m</w:t>
                  </w:r>
                </w:p>
              </w:tc>
              <w:tc>
                <w:tcPr>
                  <w:tcW w:w="904" w:type="pct"/>
                  <w:gridSpan w:val="4"/>
                  <w:tcBorders>
                    <w:tl2br w:val="nil"/>
                    <w:tr2bl w:val="nil"/>
                  </w:tcBorders>
                  <w:vAlign w:val="center"/>
                </w:tcPr>
                <w:p w14:paraId="77AA693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themeColor="text1"/>
                      <w:sz w:val="18"/>
                      <w:szCs w:val="18"/>
                      <w14:textFill>
                        <w14:solidFill>
                          <w14:schemeClr w14:val="tx1"/>
                        </w14:solidFill>
                      </w14:textFill>
                    </w:rPr>
                  </w:pPr>
                  <w:r>
                    <w:rPr>
                      <w:rFonts w:hint="default" w:ascii="Times New Roman" w:hAnsi="Times New Roman" w:eastAsia="宋体" w:cs="Times New Roman"/>
                      <w:b/>
                      <w:color w:val="000000" w:themeColor="text1"/>
                      <w:sz w:val="18"/>
                      <w:szCs w:val="18"/>
                      <w14:textFill>
                        <w14:solidFill>
                          <w14:schemeClr w14:val="tx1"/>
                        </w14:solidFill>
                      </w14:textFill>
                    </w:rPr>
                    <w:t>距室内边界距离/m</w:t>
                  </w:r>
                </w:p>
              </w:tc>
              <w:tc>
                <w:tcPr>
                  <w:tcW w:w="793" w:type="pct"/>
                  <w:gridSpan w:val="4"/>
                  <w:tcBorders>
                    <w:tl2br w:val="nil"/>
                    <w:tr2bl w:val="nil"/>
                  </w:tcBorders>
                  <w:vAlign w:val="center"/>
                </w:tcPr>
                <w:p w14:paraId="246026A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themeColor="text1"/>
                      <w:sz w:val="18"/>
                      <w:szCs w:val="18"/>
                      <w:lang w:eastAsia="zh-CN"/>
                      <w14:textFill>
                        <w14:solidFill>
                          <w14:schemeClr w14:val="tx1"/>
                        </w14:solidFill>
                      </w14:textFill>
                    </w:rPr>
                  </w:pPr>
                  <w:r>
                    <w:rPr>
                      <w:rFonts w:hint="default" w:ascii="Times New Roman" w:hAnsi="Times New Roman" w:eastAsia="宋体" w:cs="Times New Roman"/>
                      <w:b/>
                      <w:color w:val="000000" w:themeColor="text1"/>
                      <w:sz w:val="18"/>
                      <w:szCs w:val="18"/>
                      <w14:textFill>
                        <w14:solidFill>
                          <w14:schemeClr w14:val="tx1"/>
                        </w14:solidFill>
                      </w14:textFill>
                    </w:rPr>
                    <w:t>室内边界声级/dB</w:t>
                  </w:r>
                  <w:r>
                    <w:rPr>
                      <w:rFonts w:hint="default" w:ascii="Times New Roman" w:hAnsi="Times New Roman" w:eastAsia="宋体" w:cs="Times New Roman"/>
                      <w:b/>
                      <w:color w:val="000000" w:themeColor="text1"/>
                      <w:sz w:val="18"/>
                      <w:szCs w:val="18"/>
                      <w:lang w:eastAsia="zh-CN"/>
                      <w14:textFill>
                        <w14:solidFill>
                          <w14:schemeClr w14:val="tx1"/>
                        </w14:solidFill>
                      </w14:textFill>
                    </w:rPr>
                    <w:t>（</w:t>
                  </w:r>
                  <w:r>
                    <w:rPr>
                      <w:rFonts w:hint="default" w:ascii="Times New Roman" w:hAnsi="Times New Roman" w:eastAsia="宋体" w:cs="Times New Roman"/>
                      <w:b/>
                      <w:color w:val="000000" w:themeColor="text1"/>
                      <w:sz w:val="18"/>
                      <w:szCs w:val="18"/>
                      <w14:textFill>
                        <w14:solidFill>
                          <w14:schemeClr w14:val="tx1"/>
                        </w14:solidFill>
                      </w14:textFill>
                    </w:rPr>
                    <w:t>A</w:t>
                  </w:r>
                  <w:r>
                    <w:rPr>
                      <w:rFonts w:hint="default" w:ascii="Times New Roman" w:hAnsi="Times New Roman" w:eastAsia="宋体" w:cs="Times New Roman"/>
                      <w:b/>
                      <w:color w:val="000000" w:themeColor="text1"/>
                      <w:sz w:val="18"/>
                      <w:szCs w:val="18"/>
                      <w:lang w:eastAsia="zh-CN"/>
                      <w14:textFill>
                        <w14:solidFill>
                          <w14:schemeClr w14:val="tx1"/>
                        </w14:solidFill>
                      </w14:textFill>
                    </w:rPr>
                    <w:t>）</w:t>
                  </w:r>
                </w:p>
              </w:tc>
              <w:tc>
                <w:tcPr>
                  <w:tcW w:w="279" w:type="pct"/>
                  <w:vMerge w:val="restart"/>
                  <w:tcBorders>
                    <w:tl2br w:val="nil"/>
                    <w:tr2bl w:val="nil"/>
                  </w:tcBorders>
                  <w:vAlign w:val="center"/>
                </w:tcPr>
                <w:p w14:paraId="0776E34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b/>
                      <w:color w:val="000000" w:themeColor="text1"/>
                      <w:sz w:val="18"/>
                      <w:szCs w:val="18"/>
                      <w14:textFill>
                        <w14:solidFill>
                          <w14:schemeClr w14:val="tx1"/>
                        </w14:solidFill>
                      </w14:textFill>
                    </w:rPr>
                    <w:t>运行时段</w:t>
                  </w:r>
                </w:p>
              </w:tc>
              <w:tc>
                <w:tcPr>
                  <w:tcW w:w="793" w:type="pct"/>
                  <w:gridSpan w:val="4"/>
                  <w:tcBorders>
                    <w:tl2br w:val="nil"/>
                    <w:tr2bl w:val="nil"/>
                  </w:tcBorders>
                  <w:vAlign w:val="center"/>
                </w:tcPr>
                <w:p w14:paraId="586F5EE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themeColor="text1"/>
                      <w:sz w:val="18"/>
                      <w:szCs w:val="18"/>
                      <w:lang w:eastAsia="zh-CN"/>
                      <w14:textFill>
                        <w14:solidFill>
                          <w14:schemeClr w14:val="tx1"/>
                        </w14:solidFill>
                      </w14:textFill>
                    </w:rPr>
                  </w:pPr>
                  <w:r>
                    <w:rPr>
                      <w:rFonts w:hint="default" w:ascii="Times New Roman" w:hAnsi="Times New Roman" w:eastAsia="宋体" w:cs="Times New Roman"/>
                      <w:b/>
                      <w:color w:val="000000" w:themeColor="text1"/>
                      <w:sz w:val="18"/>
                      <w:szCs w:val="18"/>
                      <w14:textFill>
                        <w14:solidFill>
                          <w14:schemeClr w14:val="tx1"/>
                        </w14:solidFill>
                      </w14:textFill>
                    </w:rPr>
                    <w:t>建筑物插入损失/dB</w:t>
                  </w:r>
                  <w:r>
                    <w:rPr>
                      <w:rFonts w:hint="default" w:ascii="Times New Roman" w:hAnsi="Times New Roman" w:eastAsia="宋体" w:cs="Times New Roman"/>
                      <w:b/>
                      <w:color w:val="000000" w:themeColor="text1"/>
                      <w:sz w:val="18"/>
                      <w:szCs w:val="18"/>
                      <w:lang w:eastAsia="zh-CN"/>
                      <w14:textFill>
                        <w14:solidFill>
                          <w14:schemeClr w14:val="tx1"/>
                        </w14:solidFill>
                      </w14:textFill>
                    </w:rPr>
                    <w:t>（</w:t>
                  </w:r>
                  <w:r>
                    <w:rPr>
                      <w:rFonts w:hint="default" w:ascii="Times New Roman" w:hAnsi="Times New Roman" w:eastAsia="宋体" w:cs="Times New Roman"/>
                      <w:b/>
                      <w:color w:val="000000" w:themeColor="text1"/>
                      <w:sz w:val="18"/>
                      <w:szCs w:val="18"/>
                      <w14:textFill>
                        <w14:solidFill>
                          <w14:schemeClr w14:val="tx1"/>
                        </w14:solidFill>
                      </w14:textFill>
                    </w:rPr>
                    <w:t>A</w:t>
                  </w:r>
                  <w:bookmarkStart w:id="7" w:name="PT_10"/>
                  <w:bookmarkEnd w:id="7"/>
                  <w:r>
                    <w:rPr>
                      <w:rFonts w:hint="default" w:ascii="Times New Roman" w:hAnsi="Times New Roman" w:eastAsia="宋体" w:cs="Times New Roman"/>
                      <w:b/>
                      <w:color w:val="000000" w:themeColor="text1"/>
                      <w:sz w:val="18"/>
                      <w:szCs w:val="18"/>
                      <w:lang w:eastAsia="zh-CN"/>
                      <w14:textFill>
                        <w14:solidFill>
                          <w14:schemeClr w14:val="tx1"/>
                        </w14:solidFill>
                      </w14:textFill>
                    </w:rPr>
                    <w:t>）</w:t>
                  </w:r>
                </w:p>
              </w:tc>
              <w:tc>
                <w:tcPr>
                  <w:tcW w:w="909" w:type="pct"/>
                  <w:gridSpan w:val="5"/>
                  <w:tcBorders>
                    <w:tl2br w:val="nil"/>
                    <w:tr2bl w:val="nil"/>
                  </w:tcBorders>
                  <w:vAlign w:val="center"/>
                </w:tcPr>
                <w:p w14:paraId="6BF6A9D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val="0"/>
                      <w:color w:val="000000" w:themeColor="text1"/>
                      <w:sz w:val="18"/>
                      <w:szCs w:val="18"/>
                      <w:lang w:eastAsia="zh-CN"/>
                      <w14:textFill>
                        <w14:solidFill>
                          <w14:schemeClr w14:val="tx1"/>
                        </w14:solidFill>
                      </w14:textFill>
                    </w:rPr>
                  </w:pPr>
                  <w:r>
                    <w:rPr>
                      <w:rFonts w:hint="default" w:ascii="Times New Roman" w:hAnsi="Times New Roman" w:eastAsia="宋体" w:cs="Times New Roman"/>
                      <w:b/>
                      <w:bCs w:val="0"/>
                      <w:color w:val="000000" w:themeColor="text1"/>
                      <w:sz w:val="18"/>
                      <w:szCs w:val="18"/>
                      <w14:textFill>
                        <w14:solidFill>
                          <w14:schemeClr w14:val="tx1"/>
                        </w14:solidFill>
                      </w14:textFill>
                    </w:rPr>
                    <w:t>建筑物外噪声声压级/dB</w:t>
                  </w:r>
                  <w:r>
                    <w:rPr>
                      <w:rFonts w:hint="default" w:ascii="Times New Roman" w:hAnsi="Times New Roman" w:eastAsia="宋体" w:cs="Times New Roman"/>
                      <w:b/>
                      <w:bCs w:val="0"/>
                      <w:color w:val="000000" w:themeColor="text1"/>
                      <w:sz w:val="18"/>
                      <w:szCs w:val="18"/>
                      <w:lang w:eastAsia="zh-CN"/>
                      <w14:textFill>
                        <w14:solidFill>
                          <w14:schemeClr w14:val="tx1"/>
                        </w14:solidFill>
                      </w14:textFill>
                    </w:rPr>
                    <w:t>（</w:t>
                  </w:r>
                  <w:r>
                    <w:rPr>
                      <w:rFonts w:hint="default" w:ascii="Times New Roman" w:hAnsi="Times New Roman" w:eastAsia="宋体" w:cs="Times New Roman"/>
                      <w:b/>
                      <w:bCs w:val="0"/>
                      <w:color w:val="000000" w:themeColor="text1"/>
                      <w:sz w:val="18"/>
                      <w:szCs w:val="18"/>
                      <w14:textFill>
                        <w14:solidFill>
                          <w14:schemeClr w14:val="tx1"/>
                        </w14:solidFill>
                      </w14:textFill>
                    </w:rPr>
                    <w:t>A</w:t>
                  </w:r>
                  <w:r>
                    <w:rPr>
                      <w:rFonts w:hint="default" w:ascii="Times New Roman" w:hAnsi="Times New Roman" w:eastAsia="宋体" w:cs="Times New Roman"/>
                      <w:b/>
                      <w:bCs w:val="0"/>
                      <w:color w:val="000000" w:themeColor="text1"/>
                      <w:sz w:val="18"/>
                      <w:szCs w:val="18"/>
                      <w:lang w:eastAsia="zh-CN"/>
                      <w14:textFill>
                        <w14:solidFill>
                          <w14:schemeClr w14:val="tx1"/>
                        </w14:solidFill>
                      </w14:textFill>
                    </w:rPr>
                    <w:t>）</w:t>
                  </w:r>
                </w:p>
              </w:tc>
            </w:tr>
            <w:tr w14:paraId="6B72C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0" w:hRule="atLeast"/>
                <w:jc w:val="center"/>
              </w:trPr>
              <w:tc>
                <w:tcPr>
                  <w:tcW w:w="112" w:type="pct"/>
                  <w:vMerge w:val="continue"/>
                  <w:tcBorders>
                    <w:tl2br w:val="nil"/>
                    <w:tr2bl w:val="nil"/>
                  </w:tcBorders>
                  <w:shd w:val="clear" w:color="auto" w:fill="FFFFFF"/>
                  <w:tcMar>
                    <w:top w:w="0" w:type="dxa"/>
                    <w:left w:w="0" w:type="dxa"/>
                    <w:bottom w:w="0" w:type="dxa"/>
                    <w:right w:w="0" w:type="dxa"/>
                  </w:tcMar>
                  <w:vAlign w:val="center"/>
                </w:tcPr>
                <w:p w14:paraId="104F073D">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288" w:type="pct"/>
                  <w:vMerge w:val="continue"/>
                  <w:tcBorders>
                    <w:tl2br w:val="nil"/>
                    <w:tr2bl w:val="nil"/>
                  </w:tcBorders>
                  <w:shd w:val="clear" w:color="auto" w:fill="FFFFFF"/>
                  <w:tcMar>
                    <w:top w:w="0" w:type="dxa"/>
                    <w:left w:w="0" w:type="dxa"/>
                    <w:bottom w:w="0" w:type="dxa"/>
                    <w:right w:w="0" w:type="dxa"/>
                  </w:tcMar>
                  <w:vAlign w:val="center"/>
                </w:tcPr>
                <w:p w14:paraId="5D996F7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p>
              </w:tc>
              <w:tc>
                <w:tcPr>
                  <w:tcW w:w="304" w:type="pct"/>
                  <w:tcBorders>
                    <w:tl2br w:val="nil"/>
                    <w:tr2bl w:val="nil"/>
                  </w:tcBorders>
                  <w:shd w:val="clear" w:color="auto" w:fill="FFFFFF"/>
                  <w:tcMar>
                    <w:top w:w="0" w:type="dxa"/>
                    <w:left w:w="0" w:type="dxa"/>
                    <w:bottom w:w="0" w:type="dxa"/>
                    <w:right w:w="0" w:type="dxa"/>
                  </w:tcMar>
                  <w:vAlign w:val="center"/>
                </w:tcPr>
                <w:p w14:paraId="2C52455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声功率级/dB</w:t>
                  </w:r>
                </w:p>
                <w:p w14:paraId="47A891B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A</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tc>
              <w:tc>
                <w:tcPr>
                  <w:tcW w:w="234" w:type="pct"/>
                  <w:tcBorders>
                    <w:tl2br w:val="nil"/>
                    <w:tr2bl w:val="nil"/>
                  </w:tcBorders>
                  <w:shd w:val="clear" w:color="auto" w:fill="FFFFFF"/>
                  <w:tcMar>
                    <w:top w:w="0" w:type="dxa"/>
                    <w:left w:w="0" w:type="dxa"/>
                    <w:bottom w:w="0" w:type="dxa"/>
                    <w:right w:w="0" w:type="dxa"/>
                  </w:tcMar>
                  <w:vAlign w:val="center"/>
                </w:tcPr>
                <w:p w14:paraId="1B69032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X</w:t>
                  </w:r>
                </w:p>
              </w:tc>
              <w:tc>
                <w:tcPr>
                  <w:tcW w:w="234" w:type="pct"/>
                  <w:tcBorders>
                    <w:tl2br w:val="nil"/>
                    <w:tr2bl w:val="nil"/>
                  </w:tcBorders>
                  <w:shd w:val="clear" w:color="auto" w:fill="FFFFFF"/>
                  <w:tcMar>
                    <w:top w:w="0" w:type="dxa"/>
                    <w:left w:w="0" w:type="dxa"/>
                    <w:bottom w:w="0" w:type="dxa"/>
                    <w:right w:w="0" w:type="dxa"/>
                  </w:tcMar>
                  <w:vAlign w:val="center"/>
                </w:tcPr>
                <w:p w14:paraId="0DF11A5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Y</w:t>
                  </w:r>
                </w:p>
              </w:tc>
              <w:tc>
                <w:tcPr>
                  <w:tcW w:w="146" w:type="pct"/>
                  <w:tcBorders>
                    <w:tl2br w:val="nil"/>
                    <w:tr2bl w:val="nil"/>
                  </w:tcBorders>
                  <w:shd w:val="clear" w:color="auto" w:fill="FFFFFF"/>
                  <w:tcMar>
                    <w:top w:w="0" w:type="dxa"/>
                    <w:left w:w="0" w:type="dxa"/>
                    <w:bottom w:w="0" w:type="dxa"/>
                    <w:right w:w="0" w:type="dxa"/>
                  </w:tcMar>
                  <w:vAlign w:val="center"/>
                </w:tcPr>
                <w:p w14:paraId="30F740A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Z</w:t>
                  </w:r>
                </w:p>
              </w:tc>
              <w:tc>
                <w:tcPr>
                  <w:tcW w:w="197" w:type="pct"/>
                  <w:tcBorders>
                    <w:tl2br w:val="nil"/>
                    <w:tr2bl w:val="nil"/>
                  </w:tcBorders>
                  <w:shd w:val="clear" w:color="auto" w:fill="FFFFFF"/>
                  <w:tcMar>
                    <w:top w:w="0" w:type="dxa"/>
                    <w:left w:w="0" w:type="dxa"/>
                    <w:bottom w:w="0" w:type="dxa"/>
                    <w:right w:w="0" w:type="dxa"/>
                  </w:tcMar>
                  <w:vAlign w:val="center"/>
                </w:tcPr>
                <w:p w14:paraId="30FF7A3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东</w:t>
                  </w:r>
                </w:p>
              </w:tc>
              <w:tc>
                <w:tcPr>
                  <w:tcW w:w="253" w:type="pct"/>
                  <w:tcBorders>
                    <w:tl2br w:val="nil"/>
                    <w:tr2bl w:val="nil"/>
                  </w:tcBorders>
                  <w:shd w:val="clear" w:color="auto" w:fill="FFFFFF"/>
                  <w:tcMar>
                    <w:top w:w="0" w:type="dxa"/>
                    <w:left w:w="0" w:type="dxa"/>
                    <w:bottom w:w="0" w:type="dxa"/>
                    <w:right w:w="0" w:type="dxa"/>
                  </w:tcMar>
                  <w:vAlign w:val="center"/>
                </w:tcPr>
                <w:p w14:paraId="51A99A0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南</w:t>
                  </w:r>
                </w:p>
              </w:tc>
              <w:tc>
                <w:tcPr>
                  <w:tcW w:w="197" w:type="pct"/>
                  <w:tcBorders>
                    <w:tl2br w:val="nil"/>
                    <w:tr2bl w:val="nil"/>
                  </w:tcBorders>
                  <w:shd w:val="clear" w:color="auto" w:fill="FFFFFF"/>
                  <w:tcMar>
                    <w:top w:w="0" w:type="dxa"/>
                    <w:left w:w="0" w:type="dxa"/>
                    <w:bottom w:w="0" w:type="dxa"/>
                    <w:right w:w="0" w:type="dxa"/>
                  </w:tcMar>
                  <w:vAlign w:val="center"/>
                </w:tcPr>
                <w:p w14:paraId="49FBBF1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西</w:t>
                  </w:r>
                </w:p>
              </w:tc>
              <w:tc>
                <w:tcPr>
                  <w:tcW w:w="257" w:type="pct"/>
                  <w:tcBorders>
                    <w:tl2br w:val="nil"/>
                    <w:tr2bl w:val="nil"/>
                  </w:tcBorders>
                  <w:shd w:val="clear" w:color="auto" w:fill="FFFFFF"/>
                  <w:tcMar>
                    <w:top w:w="0" w:type="dxa"/>
                    <w:left w:w="0" w:type="dxa"/>
                    <w:bottom w:w="0" w:type="dxa"/>
                    <w:right w:w="0" w:type="dxa"/>
                  </w:tcMar>
                  <w:vAlign w:val="center"/>
                </w:tcPr>
                <w:p w14:paraId="553D24B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北</w:t>
                  </w:r>
                </w:p>
              </w:tc>
              <w:tc>
                <w:tcPr>
                  <w:tcW w:w="197" w:type="pct"/>
                  <w:tcBorders>
                    <w:tl2br w:val="nil"/>
                    <w:tr2bl w:val="nil"/>
                  </w:tcBorders>
                  <w:shd w:val="clear" w:color="auto" w:fill="FFFFFF"/>
                  <w:tcMar>
                    <w:top w:w="0" w:type="dxa"/>
                    <w:left w:w="0" w:type="dxa"/>
                    <w:bottom w:w="0" w:type="dxa"/>
                    <w:right w:w="0" w:type="dxa"/>
                  </w:tcMar>
                  <w:vAlign w:val="center"/>
                </w:tcPr>
                <w:p w14:paraId="4714AD1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东</w:t>
                  </w:r>
                </w:p>
              </w:tc>
              <w:tc>
                <w:tcPr>
                  <w:tcW w:w="197" w:type="pct"/>
                  <w:tcBorders>
                    <w:tl2br w:val="nil"/>
                    <w:tr2bl w:val="nil"/>
                  </w:tcBorders>
                  <w:shd w:val="clear" w:color="auto" w:fill="FFFFFF"/>
                  <w:tcMar>
                    <w:top w:w="0" w:type="dxa"/>
                    <w:left w:w="0" w:type="dxa"/>
                    <w:bottom w:w="0" w:type="dxa"/>
                    <w:right w:w="0" w:type="dxa"/>
                  </w:tcMar>
                  <w:vAlign w:val="center"/>
                </w:tcPr>
                <w:p w14:paraId="790AD9C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南</w:t>
                  </w:r>
                </w:p>
              </w:tc>
              <w:tc>
                <w:tcPr>
                  <w:tcW w:w="197" w:type="pct"/>
                  <w:tcBorders>
                    <w:tl2br w:val="nil"/>
                    <w:tr2bl w:val="nil"/>
                  </w:tcBorders>
                  <w:shd w:val="clear" w:color="auto" w:fill="FFFFFF"/>
                  <w:tcMar>
                    <w:top w:w="0" w:type="dxa"/>
                    <w:left w:w="0" w:type="dxa"/>
                    <w:bottom w:w="0" w:type="dxa"/>
                    <w:right w:w="0" w:type="dxa"/>
                  </w:tcMar>
                  <w:vAlign w:val="center"/>
                </w:tcPr>
                <w:p w14:paraId="1972F49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西</w:t>
                  </w:r>
                </w:p>
              </w:tc>
              <w:tc>
                <w:tcPr>
                  <w:tcW w:w="201" w:type="pct"/>
                  <w:tcBorders>
                    <w:tl2br w:val="nil"/>
                    <w:tr2bl w:val="nil"/>
                  </w:tcBorders>
                  <w:shd w:val="clear" w:color="auto" w:fill="FFFFFF"/>
                  <w:tcMar>
                    <w:top w:w="0" w:type="dxa"/>
                    <w:left w:w="0" w:type="dxa"/>
                    <w:bottom w:w="0" w:type="dxa"/>
                    <w:right w:w="0" w:type="dxa"/>
                  </w:tcMar>
                  <w:vAlign w:val="center"/>
                </w:tcPr>
                <w:p w14:paraId="67D219A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北</w:t>
                  </w:r>
                </w:p>
              </w:tc>
              <w:tc>
                <w:tcPr>
                  <w:tcW w:w="279" w:type="pct"/>
                  <w:vMerge w:val="continue"/>
                  <w:tcBorders>
                    <w:tl2br w:val="nil"/>
                    <w:tr2bl w:val="nil"/>
                  </w:tcBorders>
                  <w:shd w:val="clear" w:color="auto" w:fill="FFFFFF"/>
                  <w:tcMar>
                    <w:top w:w="0" w:type="dxa"/>
                    <w:left w:w="0" w:type="dxa"/>
                    <w:bottom w:w="0" w:type="dxa"/>
                    <w:right w:w="0" w:type="dxa"/>
                  </w:tcMar>
                  <w:vAlign w:val="center"/>
                </w:tcPr>
                <w:p w14:paraId="35F0143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p>
              </w:tc>
              <w:tc>
                <w:tcPr>
                  <w:tcW w:w="197" w:type="pct"/>
                  <w:tcBorders>
                    <w:tl2br w:val="nil"/>
                    <w:tr2bl w:val="nil"/>
                  </w:tcBorders>
                  <w:shd w:val="clear" w:color="auto" w:fill="FFFFFF"/>
                  <w:tcMar>
                    <w:top w:w="0" w:type="dxa"/>
                    <w:left w:w="0" w:type="dxa"/>
                    <w:bottom w:w="0" w:type="dxa"/>
                    <w:right w:w="0" w:type="dxa"/>
                  </w:tcMar>
                  <w:vAlign w:val="center"/>
                </w:tcPr>
                <w:p w14:paraId="4132D12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东</w:t>
                  </w:r>
                </w:p>
              </w:tc>
              <w:tc>
                <w:tcPr>
                  <w:tcW w:w="197" w:type="pct"/>
                  <w:tcBorders>
                    <w:tl2br w:val="nil"/>
                    <w:tr2bl w:val="nil"/>
                  </w:tcBorders>
                  <w:shd w:val="clear" w:color="auto" w:fill="FFFFFF"/>
                  <w:tcMar>
                    <w:top w:w="0" w:type="dxa"/>
                    <w:left w:w="0" w:type="dxa"/>
                    <w:bottom w:w="0" w:type="dxa"/>
                    <w:right w:w="0" w:type="dxa"/>
                  </w:tcMar>
                  <w:vAlign w:val="center"/>
                </w:tcPr>
                <w:p w14:paraId="280EB32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南</w:t>
                  </w:r>
                </w:p>
              </w:tc>
              <w:tc>
                <w:tcPr>
                  <w:tcW w:w="197" w:type="pct"/>
                  <w:tcBorders>
                    <w:tl2br w:val="nil"/>
                    <w:tr2bl w:val="nil"/>
                  </w:tcBorders>
                  <w:shd w:val="clear" w:color="auto" w:fill="FFFFFF"/>
                  <w:tcMar>
                    <w:top w:w="0" w:type="dxa"/>
                    <w:left w:w="0" w:type="dxa"/>
                    <w:bottom w:w="0" w:type="dxa"/>
                    <w:right w:w="0" w:type="dxa"/>
                  </w:tcMar>
                  <w:vAlign w:val="center"/>
                </w:tcPr>
                <w:p w14:paraId="1D278F2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西</w:t>
                  </w:r>
                </w:p>
              </w:tc>
              <w:tc>
                <w:tcPr>
                  <w:tcW w:w="201" w:type="pct"/>
                  <w:tcBorders>
                    <w:tl2br w:val="nil"/>
                    <w:tr2bl w:val="nil"/>
                  </w:tcBorders>
                  <w:shd w:val="clear" w:color="auto" w:fill="FFFFFF"/>
                  <w:tcMar>
                    <w:top w:w="0" w:type="dxa"/>
                    <w:left w:w="0" w:type="dxa"/>
                    <w:bottom w:w="0" w:type="dxa"/>
                    <w:right w:w="0" w:type="dxa"/>
                  </w:tcMar>
                  <w:vAlign w:val="center"/>
                </w:tcPr>
                <w:p w14:paraId="371BEB2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北</w:t>
                  </w:r>
                </w:p>
              </w:tc>
              <w:tc>
                <w:tcPr>
                  <w:tcW w:w="197" w:type="pct"/>
                  <w:tcBorders>
                    <w:tl2br w:val="nil"/>
                    <w:tr2bl w:val="nil"/>
                  </w:tcBorders>
                  <w:shd w:val="clear" w:color="auto" w:fill="FFFFFF"/>
                  <w:tcMar>
                    <w:top w:w="0" w:type="dxa"/>
                    <w:left w:w="0" w:type="dxa"/>
                    <w:bottom w:w="0" w:type="dxa"/>
                    <w:right w:w="0" w:type="dxa"/>
                  </w:tcMar>
                  <w:vAlign w:val="center"/>
                </w:tcPr>
                <w:p w14:paraId="14D8B43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东</w:t>
                  </w:r>
                </w:p>
              </w:tc>
              <w:tc>
                <w:tcPr>
                  <w:tcW w:w="197" w:type="pct"/>
                  <w:tcBorders>
                    <w:tl2br w:val="nil"/>
                    <w:tr2bl w:val="nil"/>
                  </w:tcBorders>
                  <w:shd w:val="clear" w:color="auto" w:fill="FFFFFF"/>
                  <w:tcMar>
                    <w:top w:w="0" w:type="dxa"/>
                    <w:left w:w="0" w:type="dxa"/>
                    <w:bottom w:w="0" w:type="dxa"/>
                    <w:right w:w="0" w:type="dxa"/>
                  </w:tcMar>
                  <w:vAlign w:val="center"/>
                </w:tcPr>
                <w:p w14:paraId="298AAF62">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南</w:t>
                  </w:r>
                </w:p>
              </w:tc>
              <w:tc>
                <w:tcPr>
                  <w:tcW w:w="197" w:type="pct"/>
                  <w:tcBorders>
                    <w:tl2br w:val="nil"/>
                    <w:tr2bl w:val="nil"/>
                  </w:tcBorders>
                  <w:shd w:val="clear" w:color="auto" w:fill="FFFFFF"/>
                  <w:tcMar>
                    <w:top w:w="0" w:type="dxa"/>
                    <w:left w:w="0" w:type="dxa"/>
                    <w:bottom w:w="0" w:type="dxa"/>
                    <w:right w:w="0" w:type="dxa"/>
                  </w:tcMar>
                  <w:vAlign w:val="center"/>
                </w:tcPr>
                <w:p w14:paraId="127B9A5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西</w:t>
                  </w:r>
                </w:p>
              </w:tc>
              <w:tc>
                <w:tcPr>
                  <w:tcW w:w="197" w:type="pct"/>
                  <w:tcBorders>
                    <w:tl2br w:val="nil"/>
                    <w:tr2bl w:val="nil"/>
                  </w:tcBorders>
                  <w:shd w:val="clear" w:color="auto" w:fill="FFFFFF"/>
                  <w:tcMar>
                    <w:top w:w="0" w:type="dxa"/>
                    <w:left w:w="0" w:type="dxa"/>
                    <w:bottom w:w="0" w:type="dxa"/>
                    <w:right w:w="0" w:type="dxa"/>
                  </w:tcMar>
                  <w:vAlign w:val="center"/>
                </w:tcPr>
                <w:p w14:paraId="06497A2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北</w:t>
                  </w:r>
                </w:p>
              </w:tc>
              <w:tc>
                <w:tcPr>
                  <w:tcW w:w="119" w:type="pct"/>
                  <w:tcBorders>
                    <w:tl2br w:val="nil"/>
                    <w:tr2bl w:val="nil"/>
                  </w:tcBorders>
                  <w:shd w:val="clear" w:color="auto" w:fill="FFFFFF"/>
                  <w:tcMar>
                    <w:top w:w="0" w:type="dxa"/>
                    <w:left w:w="0" w:type="dxa"/>
                    <w:bottom w:w="0" w:type="dxa"/>
                    <w:right w:w="0" w:type="dxa"/>
                  </w:tcMar>
                  <w:vAlign w:val="center"/>
                </w:tcPr>
                <w:p w14:paraId="3976E0A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建筑物外距离</w:t>
                  </w:r>
                </w:p>
              </w:tc>
            </w:tr>
            <w:tr w14:paraId="459CC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28" w:type="dxa"/>
                  <w:left w:w="0" w:type="dxa"/>
                  <w:bottom w:w="28" w:type="dxa"/>
                  <w:right w:w="0" w:type="dxa"/>
                </w:tblCellMar>
              </w:tblPrEx>
              <w:trPr>
                <w:trHeight w:val="0" w:hRule="atLeast"/>
                <w:jc w:val="center"/>
              </w:trPr>
              <w:tc>
                <w:tcPr>
                  <w:tcW w:w="112" w:type="pct"/>
                  <w:tcBorders>
                    <w:tl2br w:val="nil"/>
                    <w:tr2bl w:val="nil"/>
                  </w:tcBorders>
                  <w:shd w:val="clear" w:color="auto" w:fill="FFFFFF"/>
                  <w:tcMar>
                    <w:top w:w="0" w:type="dxa"/>
                    <w:left w:w="0" w:type="dxa"/>
                    <w:bottom w:w="0" w:type="dxa"/>
                    <w:right w:w="0" w:type="dxa"/>
                  </w:tcMar>
                  <w:vAlign w:val="center"/>
                </w:tcPr>
                <w:p w14:paraId="51C8A3F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1</w:t>
                  </w:r>
                </w:p>
              </w:tc>
              <w:tc>
                <w:tcPr>
                  <w:tcW w:w="288" w:type="pct"/>
                  <w:tcBorders>
                    <w:tl2br w:val="nil"/>
                    <w:tr2bl w:val="nil"/>
                  </w:tcBorders>
                  <w:shd w:val="clear" w:color="auto" w:fill="FFFFFF"/>
                  <w:tcMar>
                    <w:top w:w="0" w:type="dxa"/>
                    <w:left w:w="0" w:type="dxa"/>
                    <w:bottom w:w="0" w:type="dxa"/>
                    <w:right w:w="0" w:type="dxa"/>
                  </w:tcMar>
                  <w:vAlign w:val="center"/>
                </w:tcPr>
                <w:p w14:paraId="00C7127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kern w:val="24"/>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18"/>
                      <w:szCs w:val="18"/>
                      <w:lang w:val="en-US" w:eastAsia="zh-CN" w:bidi="ar-SA"/>
                      <w14:textFill>
                        <w14:solidFill>
                          <w14:schemeClr w14:val="tx1"/>
                        </w14:solidFill>
                      </w14:textFill>
                    </w:rPr>
                    <w:t>潜油泵</w:t>
                  </w:r>
                </w:p>
              </w:tc>
              <w:tc>
                <w:tcPr>
                  <w:tcW w:w="304" w:type="pct"/>
                  <w:tcBorders>
                    <w:tl2br w:val="nil"/>
                    <w:tr2bl w:val="nil"/>
                  </w:tcBorders>
                  <w:shd w:val="clear" w:color="auto" w:fill="FFFFFF"/>
                  <w:tcMar>
                    <w:top w:w="0" w:type="dxa"/>
                    <w:left w:w="0" w:type="dxa"/>
                    <w:bottom w:w="0" w:type="dxa"/>
                    <w:right w:w="0" w:type="dxa"/>
                  </w:tcMar>
                  <w:vAlign w:val="center"/>
                </w:tcPr>
                <w:p w14:paraId="08F8872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8</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5</w:t>
                  </w:r>
                </w:p>
              </w:tc>
              <w:tc>
                <w:tcPr>
                  <w:tcW w:w="386" w:type="dxa"/>
                  <w:tcBorders>
                    <w:tl2br w:val="nil"/>
                    <w:tr2bl w:val="nil"/>
                  </w:tcBorders>
                  <w:shd w:val="clear" w:color="auto" w:fill="FFFFFF"/>
                  <w:tcMar>
                    <w:top w:w="0" w:type="dxa"/>
                    <w:left w:w="0" w:type="dxa"/>
                    <w:bottom w:w="0" w:type="dxa"/>
                    <w:right w:w="0" w:type="dxa"/>
                  </w:tcMar>
                  <w:vAlign w:val="center"/>
                </w:tcPr>
                <w:p w14:paraId="5E8CD2F9">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13.1</w:t>
                  </w:r>
                </w:p>
              </w:tc>
              <w:tc>
                <w:tcPr>
                  <w:tcW w:w="386" w:type="dxa"/>
                  <w:tcBorders>
                    <w:tl2br w:val="nil"/>
                    <w:tr2bl w:val="nil"/>
                  </w:tcBorders>
                  <w:shd w:val="clear" w:color="auto" w:fill="FFFFFF"/>
                  <w:tcMar>
                    <w:top w:w="0" w:type="dxa"/>
                    <w:left w:w="0" w:type="dxa"/>
                    <w:bottom w:w="0" w:type="dxa"/>
                    <w:right w:w="0" w:type="dxa"/>
                  </w:tcMar>
                  <w:vAlign w:val="center"/>
                </w:tcPr>
                <w:p w14:paraId="1C2D33D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-15.7</w:t>
                  </w:r>
                </w:p>
              </w:tc>
              <w:tc>
                <w:tcPr>
                  <w:tcW w:w="241" w:type="dxa"/>
                  <w:tcBorders>
                    <w:tl2br w:val="nil"/>
                    <w:tr2bl w:val="nil"/>
                  </w:tcBorders>
                  <w:shd w:val="clear" w:color="auto" w:fill="FFFFFF"/>
                  <w:tcMar>
                    <w:top w:w="0" w:type="dxa"/>
                    <w:left w:w="0" w:type="dxa"/>
                    <w:bottom w:w="0" w:type="dxa"/>
                    <w:right w:w="0" w:type="dxa"/>
                  </w:tcMar>
                  <w:vAlign w:val="center"/>
                </w:tcPr>
                <w:p w14:paraId="469D03C5">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1.2</w:t>
                  </w:r>
                </w:p>
              </w:tc>
              <w:tc>
                <w:tcPr>
                  <w:tcW w:w="325" w:type="dxa"/>
                  <w:tcBorders>
                    <w:tl2br w:val="nil"/>
                    <w:tr2bl w:val="nil"/>
                  </w:tcBorders>
                  <w:shd w:val="clear" w:color="auto" w:fill="FFFFFF"/>
                  <w:tcMar>
                    <w:top w:w="0" w:type="dxa"/>
                    <w:left w:w="0" w:type="dxa"/>
                    <w:bottom w:w="0" w:type="dxa"/>
                    <w:right w:w="0" w:type="dxa"/>
                  </w:tcMar>
                  <w:vAlign w:val="center"/>
                </w:tcPr>
                <w:p w14:paraId="2F415D8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37.4</w:t>
                  </w:r>
                </w:p>
              </w:tc>
              <w:tc>
                <w:tcPr>
                  <w:tcW w:w="418" w:type="dxa"/>
                  <w:tcBorders>
                    <w:tl2br w:val="nil"/>
                    <w:tr2bl w:val="nil"/>
                  </w:tcBorders>
                  <w:shd w:val="clear" w:color="auto" w:fill="FFFFFF"/>
                  <w:tcMar>
                    <w:top w:w="0" w:type="dxa"/>
                    <w:left w:w="0" w:type="dxa"/>
                    <w:bottom w:w="0" w:type="dxa"/>
                    <w:right w:w="0" w:type="dxa"/>
                  </w:tcMar>
                  <w:vAlign w:val="center"/>
                </w:tcPr>
                <w:p w14:paraId="11353D20">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18.0</w:t>
                  </w:r>
                </w:p>
              </w:tc>
              <w:tc>
                <w:tcPr>
                  <w:tcW w:w="325" w:type="dxa"/>
                  <w:tcBorders>
                    <w:tl2br w:val="nil"/>
                    <w:tr2bl w:val="nil"/>
                  </w:tcBorders>
                  <w:shd w:val="clear" w:color="auto" w:fill="FFFFFF"/>
                  <w:tcMar>
                    <w:top w:w="0" w:type="dxa"/>
                    <w:left w:w="0" w:type="dxa"/>
                    <w:bottom w:w="0" w:type="dxa"/>
                    <w:right w:w="0" w:type="dxa"/>
                  </w:tcMar>
                  <w:vAlign w:val="center"/>
                </w:tcPr>
                <w:p w14:paraId="0C89AC35">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62.9</w:t>
                  </w:r>
                </w:p>
              </w:tc>
              <w:tc>
                <w:tcPr>
                  <w:tcW w:w="424" w:type="dxa"/>
                  <w:tcBorders>
                    <w:tl2br w:val="nil"/>
                    <w:tr2bl w:val="nil"/>
                  </w:tcBorders>
                  <w:shd w:val="clear" w:color="auto" w:fill="FFFFFF"/>
                  <w:tcMar>
                    <w:top w:w="0" w:type="dxa"/>
                    <w:left w:w="0" w:type="dxa"/>
                    <w:bottom w:w="0" w:type="dxa"/>
                    <w:right w:w="0" w:type="dxa"/>
                  </w:tcMar>
                  <w:vAlign w:val="center"/>
                </w:tcPr>
                <w:p w14:paraId="0E8BAD0D">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49.2</w:t>
                  </w:r>
                </w:p>
              </w:tc>
              <w:tc>
                <w:tcPr>
                  <w:tcW w:w="325" w:type="dxa"/>
                  <w:tcBorders>
                    <w:tl2br w:val="nil"/>
                    <w:tr2bl w:val="nil"/>
                  </w:tcBorders>
                  <w:shd w:val="clear" w:color="auto" w:fill="FFFFFF"/>
                  <w:tcMar>
                    <w:top w:w="0" w:type="dxa"/>
                    <w:left w:w="0" w:type="dxa"/>
                    <w:bottom w:w="0" w:type="dxa"/>
                    <w:right w:w="0" w:type="dxa"/>
                  </w:tcMar>
                  <w:vAlign w:val="center"/>
                </w:tcPr>
                <w:p w14:paraId="5AD7DBB5">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68.7</w:t>
                  </w:r>
                </w:p>
              </w:tc>
              <w:tc>
                <w:tcPr>
                  <w:tcW w:w="325" w:type="dxa"/>
                  <w:tcBorders>
                    <w:tl2br w:val="nil"/>
                    <w:tr2bl w:val="nil"/>
                  </w:tcBorders>
                  <w:shd w:val="clear" w:color="auto" w:fill="FFFFFF"/>
                  <w:tcMar>
                    <w:top w:w="0" w:type="dxa"/>
                    <w:left w:w="0" w:type="dxa"/>
                    <w:bottom w:w="0" w:type="dxa"/>
                    <w:right w:w="0" w:type="dxa"/>
                  </w:tcMar>
                  <w:vAlign w:val="center"/>
                </w:tcPr>
                <w:p w14:paraId="6A32DD88">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68.7</w:t>
                  </w:r>
                </w:p>
              </w:tc>
              <w:tc>
                <w:tcPr>
                  <w:tcW w:w="325" w:type="dxa"/>
                  <w:tcBorders>
                    <w:tl2br w:val="nil"/>
                    <w:tr2bl w:val="nil"/>
                  </w:tcBorders>
                  <w:shd w:val="clear" w:color="auto" w:fill="FFFFFF"/>
                  <w:tcMar>
                    <w:top w:w="0" w:type="dxa"/>
                    <w:left w:w="0" w:type="dxa"/>
                    <w:bottom w:w="0" w:type="dxa"/>
                    <w:right w:w="0" w:type="dxa"/>
                  </w:tcMar>
                  <w:vAlign w:val="center"/>
                </w:tcPr>
                <w:p w14:paraId="292D649F">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68.7</w:t>
                  </w:r>
                </w:p>
              </w:tc>
              <w:tc>
                <w:tcPr>
                  <w:tcW w:w="334" w:type="dxa"/>
                  <w:tcBorders>
                    <w:tl2br w:val="nil"/>
                    <w:tr2bl w:val="nil"/>
                  </w:tcBorders>
                  <w:shd w:val="clear" w:color="auto" w:fill="FFFFFF"/>
                  <w:tcMar>
                    <w:top w:w="0" w:type="dxa"/>
                    <w:left w:w="0" w:type="dxa"/>
                    <w:bottom w:w="0" w:type="dxa"/>
                    <w:right w:w="0" w:type="dxa"/>
                  </w:tcMar>
                  <w:vAlign w:val="center"/>
                </w:tcPr>
                <w:p w14:paraId="02728A0C">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68.7</w:t>
                  </w:r>
                </w:p>
              </w:tc>
              <w:tc>
                <w:tcPr>
                  <w:tcW w:w="279" w:type="pct"/>
                  <w:tcBorders>
                    <w:tl2br w:val="nil"/>
                    <w:tr2bl w:val="nil"/>
                  </w:tcBorders>
                  <w:shd w:val="clear" w:color="auto" w:fill="FFFFFF"/>
                  <w:tcMar>
                    <w:top w:w="0" w:type="dxa"/>
                    <w:left w:w="0" w:type="dxa"/>
                    <w:bottom w:w="0" w:type="dxa"/>
                    <w:right w:w="0" w:type="dxa"/>
                  </w:tcMar>
                  <w:vAlign w:val="center"/>
                </w:tcPr>
                <w:p w14:paraId="7AC50CD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8760h</w:t>
                  </w:r>
                </w:p>
              </w:tc>
              <w:tc>
                <w:tcPr>
                  <w:tcW w:w="325" w:type="dxa"/>
                  <w:tcBorders>
                    <w:tl2br w:val="nil"/>
                    <w:tr2bl w:val="nil"/>
                  </w:tcBorders>
                  <w:shd w:val="clear" w:color="auto" w:fill="FFFFFF"/>
                  <w:tcMar>
                    <w:top w:w="0" w:type="dxa"/>
                    <w:left w:w="0" w:type="dxa"/>
                    <w:bottom w:w="0" w:type="dxa"/>
                    <w:right w:w="0" w:type="dxa"/>
                  </w:tcMar>
                  <w:vAlign w:val="center"/>
                </w:tcPr>
                <w:p w14:paraId="233D0031">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26.0</w:t>
                  </w:r>
                </w:p>
              </w:tc>
              <w:tc>
                <w:tcPr>
                  <w:tcW w:w="325" w:type="dxa"/>
                  <w:tcBorders>
                    <w:tl2br w:val="nil"/>
                    <w:tr2bl w:val="nil"/>
                  </w:tcBorders>
                  <w:shd w:val="clear" w:color="auto" w:fill="FFFFFF"/>
                  <w:tcMar>
                    <w:top w:w="0" w:type="dxa"/>
                    <w:left w:w="0" w:type="dxa"/>
                    <w:bottom w:w="0" w:type="dxa"/>
                    <w:right w:w="0" w:type="dxa"/>
                  </w:tcMar>
                  <w:vAlign w:val="center"/>
                </w:tcPr>
                <w:p w14:paraId="19AD3A90">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26.0</w:t>
                  </w:r>
                </w:p>
              </w:tc>
              <w:tc>
                <w:tcPr>
                  <w:tcW w:w="325" w:type="dxa"/>
                  <w:tcBorders>
                    <w:tl2br w:val="nil"/>
                    <w:tr2bl w:val="nil"/>
                  </w:tcBorders>
                  <w:shd w:val="clear" w:color="auto" w:fill="FFFFFF"/>
                  <w:tcMar>
                    <w:top w:w="0" w:type="dxa"/>
                    <w:left w:w="0" w:type="dxa"/>
                    <w:bottom w:w="0" w:type="dxa"/>
                    <w:right w:w="0" w:type="dxa"/>
                  </w:tcMar>
                  <w:vAlign w:val="center"/>
                </w:tcPr>
                <w:p w14:paraId="5FE88F50">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26.0</w:t>
                  </w:r>
                </w:p>
              </w:tc>
              <w:tc>
                <w:tcPr>
                  <w:tcW w:w="334" w:type="dxa"/>
                  <w:tcBorders>
                    <w:tl2br w:val="nil"/>
                    <w:tr2bl w:val="nil"/>
                  </w:tcBorders>
                  <w:shd w:val="clear" w:color="auto" w:fill="FFFFFF"/>
                  <w:tcMar>
                    <w:top w:w="0" w:type="dxa"/>
                    <w:left w:w="0" w:type="dxa"/>
                    <w:bottom w:w="0" w:type="dxa"/>
                    <w:right w:w="0" w:type="dxa"/>
                  </w:tcMar>
                  <w:vAlign w:val="center"/>
                </w:tcPr>
                <w:p w14:paraId="02460A3A">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26.0</w:t>
                  </w:r>
                </w:p>
              </w:tc>
              <w:tc>
                <w:tcPr>
                  <w:tcW w:w="325" w:type="dxa"/>
                  <w:tcBorders>
                    <w:tl2br w:val="nil"/>
                    <w:tr2bl w:val="nil"/>
                  </w:tcBorders>
                  <w:shd w:val="clear" w:color="auto" w:fill="FFFFFF"/>
                  <w:tcMar>
                    <w:top w:w="0" w:type="dxa"/>
                    <w:left w:w="0" w:type="dxa"/>
                    <w:bottom w:w="0" w:type="dxa"/>
                    <w:right w:w="0" w:type="dxa"/>
                  </w:tcMar>
                  <w:vAlign w:val="center"/>
                </w:tcPr>
                <w:p w14:paraId="6FC71CE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42.7</w:t>
                  </w:r>
                </w:p>
              </w:tc>
              <w:tc>
                <w:tcPr>
                  <w:tcW w:w="325" w:type="dxa"/>
                  <w:tcBorders>
                    <w:tl2br w:val="nil"/>
                    <w:tr2bl w:val="nil"/>
                  </w:tcBorders>
                  <w:shd w:val="clear" w:color="auto" w:fill="FFFFFF"/>
                  <w:tcMar>
                    <w:top w:w="0" w:type="dxa"/>
                    <w:left w:w="0" w:type="dxa"/>
                    <w:bottom w:w="0" w:type="dxa"/>
                    <w:right w:w="0" w:type="dxa"/>
                  </w:tcMar>
                  <w:vAlign w:val="center"/>
                </w:tcPr>
                <w:p w14:paraId="1EBB23B1">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42.7</w:t>
                  </w:r>
                </w:p>
              </w:tc>
              <w:tc>
                <w:tcPr>
                  <w:tcW w:w="325" w:type="dxa"/>
                  <w:tcBorders>
                    <w:tl2br w:val="nil"/>
                    <w:tr2bl w:val="nil"/>
                  </w:tcBorders>
                  <w:shd w:val="clear" w:color="auto" w:fill="FFFFFF"/>
                  <w:tcMar>
                    <w:top w:w="0" w:type="dxa"/>
                    <w:left w:w="0" w:type="dxa"/>
                    <w:bottom w:w="0" w:type="dxa"/>
                    <w:right w:w="0" w:type="dxa"/>
                  </w:tcMar>
                  <w:vAlign w:val="center"/>
                </w:tcPr>
                <w:p w14:paraId="40324FBD">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42.7</w:t>
                  </w:r>
                </w:p>
              </w:tc>
              <w:tc>
                <w:tcPr>
                  <w:tcW w:w="326" w:type="dxa"/>
                  <w:tcBorders>
                    <w:tl2br w:val="nil"/>
                    <w:tr2bl w:val="nil"/>
                  </w:tcBorders>
                  <w:shd w:val="clear" w:color="auto" w:fill="FFFFFF"/>
                  <w:tcMar>
                    <w:top w:w="0" w:type="dxa"/>
                    <w:left w:w="0" w:type="dxa"/>
                    <w:bottom w:w="0" w:type="dxa"/>
                    <w:right w:w="0" w:type="dxa"/>
                  </w:tcMar>
                  <w:vAlign w:val="center"/>
                </w:tcPr>
                <w:p w14:paraId="33784684">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42.7</w:t>
                  </w:r>
                </w:p>
              </w:tc>
              <w:tc>
                <w:tcPr>
                  <w:tcW w:w="119" w:type="pct"/>
                  <w:tcBorders>
                    <w:tl2br w:val="nil"/>
                    <w:tr2bl w:val="nil"/>
                  </w:tcBorders>
                  <w:shd w:val="clear" w:color="auto" w:fill="FFFFFF"/>
                  <w:tcMar>
                    <w:top w:w="0" w:type="dxa"/>
                    <w:left w:w="0" w:type="dxa"/>
                    <w:bottom w:w="0" w:type="dxa"/>
                    <w:right w:w="0" w:type="dxa"/>
                  </w:tcMar>
                  <w:vAlign w:val="center"/>
                </w:tcPr>
                <w:p w14:paraId="444DFE9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1</w:t>
                  </w:r>
                </w:p>
              </w:tc>
            </w:tr>
            <w:bookmarkEnd w:id="6"/>
          </w:tbl>
          <w:p w14:paraId="66C3E63F">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2" w:firstLineChars="200"/>
              <w:textAlignment w:val="auto"/>
              <w:outlineLvl w:val="9"/>
              <w:rPr>
                <w:rFonts w:ascii="Times New Roman" w:hAnsi="Times New Roman" w:eastAsia="宋体" w:cs="Times New Roman"/>
                <w:b/>
                <w:bCs/>
                <w:color w:val="000000" w:themeColor="text1"/>
                <w:kern w:val="24"/>
                <w:sz w:val="24"/>
                <w:szCs w:val="24"/>
                <w:highlight w:val="none"/>
                <w:lang w:eastAsia="zh-CN"/>
                <w14:textFill>
                  <w14:solidFill>
                    <w14:schemeClr w14:val="tx1"/>
                  </w14:solidFill>
                </w14:textFill>
              </w:rPr>
            </w:pPr>
            <w:r>
              <w:rPr>
                <w:rFonts w:hint="eastAsia" w:cs="Times New Roman"/>
                <w:b/>
                <w:bCs/>
                <w:color w:val="000000" w:themeColor="text1"/>
                <w:kern w:val="24"/>
                <w:sz w:val="24"/>
                <w:szCs w:val="24"/>
                <w:highlight w:val="none"/>
                <w:lang w:val="en-US" w:eastAsia="zh-CN"/>
                <w14:textFill>
                  <w14:solidFill>
                    <w14:schemeClr w14:val="tx1"/>
                  </w14:solidFill>
                </w14:textFill>
              </w:rPr>
              <w:t>3.</w:t>
            </w:r>
            <w:r>
              <w:rPr>
                <w:rFonts w:ascii="Times New Roman" w:hAnsi="Times New Roman" w:eastAsia="宋体" w:cs="Times New Roman"/>
                <w:b/>
                <w:bCs/>
                <w:color w:val="000000" w:themeColor="text1"/>
                <w:kern w:val="24"/>
                <w:sz w:val="24"/>
                <w:szCs w:val="24"/>
                <w:highlight w:val="none"/>
                <w:lang w:eastAsia="zh-CN"/>
                <w14:textFill>
                  <w14:solidFill>
                    <w14:schemeClr w14:val="tx1"/>
                  </w14:solidFill>
                </w14:textFill>
              </w:rPr>
              <w:t>预测结果</w:t>
            </w:r>
          </w:p>
          <w:p w14:paraId="0DC0F720">
            <w:pPr>
              <w:keepNext w:val="0"/>
              <w:keepLines w:val="0"/>
              <w:pageBreakBefore w:val="0"/>
              <w:widowControl w:val="0"/>
              <w:kinsoku/>
              <w:wordWrap/>
              <w:overflowPunct/>
              <w:autoSpaceDE/>
              <w:autoSpaceDN/>
              <w:bidi w:val="0"/>
              <w:adjustRightInd w:val="0"/>
              <w:snapToGrid w:val="0"/>
              <w:spacing w:line="360" w:lineRule="auto"/>
              <w:ind w:left="0" w:leftChars="0" w:right="0" w:rightChars="0" w:firstLine="480" w:firstLineChars="200"/>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通过预测模型计算，项目厂界噪声预测结果见表</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w:t>
            </w:r>
          </w:p>
          <w:p w14:paraId="1A5D49C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color w:val="000000" w:themeColor="text1"/>
                <w:kern w:val="24"/>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4"/>
                <w:sz w:val="21"/>
                <w:szCs w:val="21"/>
                <w:highlight w:val="none"/>
                <w:lang w:eastAsia="zh-CN"/>
                <w14:textFill>
                  <w14:solidFill>
                    <w14:schemeClr w14:val="tx1"/>
                  </w14:solidFill>
                </w14:textFill>
              </w:rPr>
              <w:t>表</w:t>
            </w:r>
            <w:r>
              <w:rPr>
                <w:rFonts w:hint="default" w:ascii="Times New Roman" w:hAnsi="Times New Roman" w:eastAsia="宋体" w:cs="Times New Roman"/>
                <w:b/>
                <w:color w:val="000000" w:themeColor="text1"/>
                <w:kern w:val="24"/>
                <w:sz w:val="21"/>
                <w:szCs w:val="21"/>
                <w:highlight w:val="none"/>
                <w:lang w:val="en-US" w:eastAsia="zh-CN"/>
                <w14:textFill>
                  <w14:solidFill>
                    <w14:schemeClr w14:val="tx1"/>
                  </w14:solidFill>
                </w14:textFill>
              </w:rPr>
              <w:t>4-</w:t>
            </w:r>
            <w:r>
              <w:rPr>
                <w:rFonts w:hint="eastAsia" w:ascii="Times New Roman" w:hAnsi="Times New Roman" w:eastAsia="宋体" w:cs="Times New Roman"/>
                <w:b/>
                <w:color w:val="000000" w:themeColor="text1"/>
                <w:kern w:val="24"/>
                <w:sz w:val="21"/>
                <w:szCs w:val="21"/>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kern w:val="24"/>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24"/>
                <w:sz w:val="21"/>
                <w:szCs w:val="21"/>
                <w:highlight w:val="none"/>
                <w:lang w:eastAsia="zh-CN"/>
                <w14:textFill>
                  <w14:solidFill>
                    <w14:schemeClr w14:val="tx1"/>
                  </w14:solidFill>
                </w14:textFill>
              </w:rPr>
              <w:t>厂界噪声预测结果与达标分析表</w:t>
            </w:r>
            <w:bookmarkStart w:id="8" w:name="PT_7"/>
          </w:p>
          <w:bookmarkEnd w:id="8"/>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959"/>
              <w:gridCol w:w="826"/>
              <w:gridCol w:w="936"/>
              <w:gridCol w:w="1177"/>
              <w:gridCol w:w="1395"/>
              <w:gridCol w:w="1164"/>
              <w:gridCol w:w="728"/>
            </w:tblGrid>
            <w:tr w14:paraId="5FD36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5" w:type="pct"/>
                  <w:vMerge w:val="restart"/>
                  <w:tcBorders>
                    <w:tl2br w:val="nil"/>
                    <w:tr2bl w:val="nil"/>
                  </w:tcBorders>
                  <w:vAlign w:val="center"/>
                </w:tcPr>
                <w:p w14:paraId="643FE964">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预测方位</w:t>
                  </w:r>
                </w:p>
              </w:tc>
              <w:tc>
                <w:tcPr>
                  <w:tcW w:w="1648" w:type="pct"/>
                  <w:gridSpan w:val="3"/>
                  <w:tcBorders>
                    <w:tl2br w:val="nil"/>
                    <w:tr2bl w:val="nil"/>
                  </w:tcBorders>
                  <w:vAlign w:val="center"/>
                </w:tcPr>
                <w:p w14:paraId="1146FB7F">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最大值点</w:t>
                  </w:r>
                  <w:r>
                    <w:rPr>
                      <w:rFonts w:hint="default" w:ascii="Times New Roman" w:hAnsi="Times New Roman" w:eastAsia="宋体" w:cs="Times New Roman"/>
                      <w:b/>
                      <w:color w:val="000000" w:themeColor="text1"/>
                      <w:sz w:val="21"/>
                      <w:szCs w:val="21"/>
                      <w14:textFill>
                        <w14:solidFill>
                          <w14:schemeClr w14:val="tx1"/>
                        </w14:solidFill>
                      </w14:textFill>
                    </w:rPr>
                    <w:t>空间相对位置/m</w:t>
                  </w:r>
                </w:p>
              </w:tc>
              <w:tc>
                <w:tcPr>
                  <w:tcW w:w="713" w:type="pct"/>
                  <w:vMerge w:val="restart"/>
                  <w:tcBorders>
                    <w:tl2br w:val="nil"/>
                    <w:tr2bl w:val="nil"/>
                  </w:tcBorders>
                  <w:vAlign w:val="center"/>
                </w:tcPr>
                <w:p w14:paraId="4DF959B0">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时段</w:t>
                  </w:r>
                </w:p>
              </w:tc>
              <w:tc>
                <w:tcPr>
                  <w:tcW w:w="845" w:type="pct"/>
                  <w:vMerge w:val="restart"/>
                  <w:tcBorders>
                    <w:tl2br w:val="nil"/>
                    <w:tr2bl w:val="nil"/>
                  </w:tcBorders>
                  <w:vAlign w:val="center"/>
                </w:tcPr>
                <w:p w14:paraId="44733E34">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贡献值</w:t>
                  </w:r>
                </w:p>
                <w:p w14:paraId="18CA2C46">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（dB</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A</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w:t>
                  </w:r>
                </w:p>
              </w:tc>
              <w:tc>
                <w:tcPr>
                  <w:tcW w:w="705" w:type="pct"/>
                  <w:vMerge w:val="restart"/>
                  <w:tcBorders>
                    <w:tl2br w:val="nil"/>
                    <w:tr2bl w:val="nil"/>
                  </w:tcBorders>
                  <w:vAlign w:val="center"/>
                </w:tcPr>
                <w:p w14:paraId="625EDC3D">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标准限值</w:t>
                  </w:r>
                </w:p>
                <w:p w14:paraId="5FA5FDA1">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（dB</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A</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w:t>
                  </w:r>
                </w:p>
              </w:tc>
              <w:tc>
                <w:tcPr>
                  <w:tcW w:w="441" w:type="pct"/>
                  <w:vMerge w:val="restart"/>
                  <w:tcBorders>
                    <w:tl2br w:val="nil"/>
                    <w:tr2bl w:val="nil"/>
                  </w:tcBorders>
                  <w:vAlign w:val="center"/>
                </w:tcPr>
                <w:p w14:paraId="38A7F9F5">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达标情况</w:t>
                  </w:r>
                </w:p>
              </w:tc>
            </w:tr>
            <w:tr w14:paraId="274E9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5" w:type="pct"/>
                  <w:vMerge w:val="continue"/>
                  <w:tcBorders>
                    <w:tl2br w:val="nil"/>
                    <w:tr2bl w:val="nil"/>
                  </w:tcBorders>
                  <w:shd w:val="clear" w:color="auto" w:fill="FFFFFF"/>
                  <w:vAlign w:val="center"/>
                </w:tcPr>
                <w:p w14:paraId="13494728">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81" w:type="pct"/>
                  <w:tcBorders>
                    <w:tl2br w:val="nil"/>
                    <w:tr2bl w:val="nil"/>
                  </w:tcBorders>
                  <w:shd w:val="clear" w:color="auto" w:fill="FFFFFF"/>
                  <w:vAlign w:val="center"/>
                </w:tcPr>
                <w:p w14:paraId="3B8450E3">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X</w:t>
                  </w:r>
                </w:p>
              </w:tc>
              <w:tc>
                <w:tcPr>
                  <w:tcW w:w="500" w:type="pct"/>
                  <w:tcBorders>
                    <w:tl2br w:val="nil"/>
                    <w:tr2bl w:val="nil"/>
                  </w:tcBorders>
                  <w:shd w:val="clear" w:color="auto" w:fill="FFFFFF"/>
                  <w:vAlign w:val="center"/>
                </w:tcPr>
                <w:p w14:paraId="531EAF2A">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w:t>
                  </w:r>
                </w:p>
              </w:tc>
              <w:tc>
                <w:tcPr>
                  <w:tcW w:w="566" w:type="pct"/>
                  <w:tcBorders>
                    <w:tl2br w:val="nil"/>
                    <w:tr2bl w:val="nil"/>
                  </w:tcBorders>
                  <w:shd w:val="clear" w:color="auto" w:fill="FFFFFF"/>
                  <w:vAlign w:val="center"/>
                </w:tcPr>
                <w:p w14:paraId="2EC17400">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w:t>
                  </w:r>
                </w:p>
              </w:tc>
              <w:tc>
                <w:tcPr>
                  <w:tcW w:w="713" w:type="pct"/>
                  <w:vMerge w:val="continue"/>
                  <w:tcBorders>
                    <w:tl2br w:val="nil"/>
                    <w:tr2bl w:val="nil"/>
                  </w:tcBorders>
                  <w:shd w:val="clear" w:color="auto" w:fill="FFFFFF"/>
                  <w:vAlign w:val="center"/>
                </w:tcPr>
                <w:p w14:paraId="511F4B0D">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45" w:type="pct"/>
                  <w:vMerge w:val="continue"/>
                  <w:tcBorders>
                    <w:tl2br w:val="nil"/>
                    <w:tr2bl w:val="nil"/>
                  </w:tcBorders>
                  <w:shd w:val="clear" w:color="auto" w:fill="FFFFFF"/>
                  <w:vAlign w:val="center"/>
                </w:tcPr>
                <w:p w14:paraId="024ADDE9">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05" w:type="pct"/>
                  <w:vMerge w:val="continue"/>
                  <w:tcBorders>
                    <w:tl2br w:val="nil"/>
                    <w:tr2bl w:val="nil"/>
                  </w:tcBorders>
                  <w:shd w:val="clear" w:color="auto" w:fill="FFFFFF"/>
                  <w:vAlign w:val="center"/>
                </w:tcPr>
                <w:p w14:paraId="42B27DD9">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41" w:type="pct"/>
                  <w:vMerge w:val="continue"/>
                  <w:tcBorders>
                    <w:tl2br w:val="nil"/>
                    <w:tr2bl w:val="nil"/>
                  </w:tcBorders>
                  <w:shd w:val="clear" w:color="auto" w:fill="FFFFFF"/>
                  <w:vAlign w:val="center"/>
                </w:tcPr>
                <w:p w14:paraId="6A80C262">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97DB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45" w:type="pct"/>
                  <w:vMerge w:val="restart"/>
                  <w:tcBorders>
                    <w:tl2br w:val="nil"/>
                    <w:tr2bl w:val="nil"/>
                  </w:tcBorders>
                  <w:shd w:val="clear" w:color="auto" w:fill="FFFFFF"/>
                  <w:vAlign w:val="center"/>
                </w:tcPr>
                <w:p w14:paraId="0ABEDCD0">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0"/>
                      <w14:textFill>
                        <w14:solidFill>
                          <w14:schemeClr w14:val="tx1"/>
                        </w14:solidFill>
                      </w14:textFill>
                    </w:rPr>
                    <w:t>东侧</w:t>
                  </w:r>
                </w:p>
              </w:tc>
              <w:tc>
                <w:tcPr>
                  <w:tcW w:w="959" w:type="dxa"/>
                  <w:tcBorders>
                    <w:tl2br w:val="nil"/>
                    <w:tr2bl w:val="nil"/>
                  </w:tcBorders>
                  <w:shd w:val="clear" w:color="auto" w:fill="FFFFFF"/>
                  <w:vAlign w:val="center"/>
                </w:tcPr>
                <w:p w14:paraId="078B01AB">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53.2</w:t>
                  </w:r>
                </w:p>
              </w:tc>
              <w:tc>
                <w:tcPr>
                  <w:tcW w:w="826" w:type="dxa"/>
                  <w:tcBorders>
                    <w:tl2br w:val="nil"/>
                    <w:tr2bl w:val="nil"/>
                  </w:tcBorders>
                  <w:shd w:val="clear" w:color="auto" w:fill="FFFFFF"/>
                  <w:vAlign w:val="center"/>
                </w:tcPr>
                <w:p w14:paraId="1EA667CC">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-14.8</w:t>
                  </w:r>
                </w:p>
              </w:tc>
              <w:tc>
                <w:tcPr>
                  <w:tcW w:w="936" w:type="dxa"/>
                  <w:tcBorders>
                    <w:tl2br w:val="nil"/>
                    <w:tr2bl w:val="nil"/>
                  </w:tcBorders>
                  <w:shd w:val="clear" w:color="auto" w:fill="FFFFFF"/>
                  <w:vAlign w:val="center"/>
                </w:tcPr>
                <w:p w14:paraId="54670AC3">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177" w:type="dxa"/>
                  <w:tcBorders>
                    <w:tl2br w:val="nil"/>
                    <w:tr2bl w:val="nil"/>
                  </w:tcBorders>
                  <w:shd w:val="clear" w:color="auto" w:fill="FFFFFF"/>
                  <w:vAlign w:val="center"/>
                </w:tcPr>
                <w:p w14:paraId="4F0D160C">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1395" w:type="dxa"/>
                  <w:tcBorders>
                    <w:tl2br w:val="nil"/>
                    <w:tr2bl w:val="nil"/>
                  </w:tcBorders>
                  <w:shd w:val="clear" w:color="auto" w:fill="FFFFFF"/>
                  <w:vAlign w:val="center"/>
                </w:tcPr>
                <w:p w14:paraId="1450329C">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r>
                    <w:rPr>
                      <w:rFonts w:hint="eastAsia" w:cs="Times New Roman"/>
                      <w:color w:val="000000" w:themeColor="text1"/>
                      <w:sz w:val="21"/>
                      <w:szCs w:val="21"/>
                      <w:lang w:val="en-US" w:eastAsia="zh-CN"/>
                      <w14:textFill>
                        <w14:solidFill>
                          <w14:schemeClr w14:val="tx1"/>
                        </w14:solidFill>
                      </w14:textFill>
                    </w:rPr>
                    <w:t>.0</w:t>
                  </w:r>
                </w:p>
              </w:tc>
              <w:tc>
                <w:tcPr>
                  <w:tcW w:w="1164" w:type="dxa"/>
                  <w:tcBorders>
                    <w:tl2br w:val="nil"/>
                    <w:tr2bl w:val="nil"/>
                  </w:tcBorders>
                  <w:shd w:val="clear" w:color="auto" w:fill="FFFFFF"/>
                  <w:vAlign w:val="center"/>
                </w:tcPr>
                <w:p w14:paraId="61D65B89">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c>
                <w:tcPr>
                  <w:tcW w:w="728" w:type="dxa"/>
                  <w:tcBorders>
                    <w:tl2br w:val="nil"/>
                    <w:tr2bl w:val="nil"/>
                  </w:tcBorders>
                  <w:shd w:val="clear" w:color="auto" w:fill="FFFFFF"/>
                  <w:vAlign w:val="center"/>
                </w:tcPr>
                <w:p w14:paraId="258E1D77">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06014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45" w:type="pct"/>
                  <w:vMerge w:val="continue"/>
                  <w:tcBorders>
                    <w:tl2br w:val="nil"/>
                    <w:tr2bl w:val="nil"/>
                  </w:tcBorders>
                  <w:shd w:val="clear" w:color="auto" w:fill="FFFFFF"/>
                  <w:vAlign w:val="center"/>
                </w:tcPr>
                <w:p w14:paraId="129A5F67">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0"/>
                      <w14:textFill>
                        <w14:solidFill>
                          <w14:schemeClr w14:val="tx1"/>
                        </w14:solidFill>
                      </w14:textFill>
                    </w:rPr>
                    <w:t>东侧</w:t>
                  </w:r>
                </w:p>
              </w:tc>
              <w:tc>
                <w:tcPr>
                  <w:tcW w:w="959" w:type="dxa"/>
                  <w:tcBorders>
                    <w:tl2br w:val="nil"/>
                    <w:tr2bl w:val="nil"/>
                  </w:tcBorders>
                  <w:shd w:val="clear" w:color="auto" w:fill="FFFFFF"/>
                  <w:vAlign w:val="center"/>
                </w:tcPr>
                <w:p w14:paraId="540C71BE">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53.2</w:t>
                  </w:r>
                </w:p>
              </w:tc>
              <w:tc>
                <w:tcPr>
                  <w:tcW w:w="826" w:type="dxa"/>
                  <w:tcBorders>
                    <w:tl2br w:val="nil"/>
                    <w:tr2bl w:val="nil"/>
                  </w:tcBorders>
                  <w:shd w:val="clear" w:color="auto" w:fill="FFFFFF"/>
                  <w:vAlign w:val="center"/>
                </w:tcPr>
                <w:p w14:paraId="62931ED0">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-14.8</w:t>
                  </w:r>
                </w:p>
              </w:tc>
              <w:tc>
                <w:tcPr>
                  <w:tcW w:w="936" w:type="dxa"/>
                  <w:tcBorders>
                    <w:tl2br w:val="nil"/>
                    <w:tr2bl w:val="nil"/>
                  </w:tcBorders>
                  <w:shd w:val="clear" w:color="auto" w:fill="FFFFFF"/>
                  <w:vAlign w:val="center"/>
                </w:tcPr>
                <w:p w14:paraId="5EF3426C">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177" w:type="dxa"/>
                  <w:tcBorders>
                    <w:tl2br w:val="nil"/>
                    <w:tr2bl w:val="nil"/>
                  </w:tcBorders>
                  <w:shd w:val="clear" w:color="auto" w:fill="FFFFFF"/>
                  <w:vAlign w:val="center"/>
                </w:tcPr>
                <w:p w14:paraId="722876DA">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c>
                <w:tcPr>
                  <w:tcW w:w="1395" w:type="dxa"/>
                  <w:tcBorders>
                    <w:tl2br w:val="nil"/>
                    <w:tr2bl w:val="nil"/>
                  </w:tcBorders>
                  <w:shd w:val="clear" w:color="auto" w:fill="FFFFFF"/>
                  <w:vAlign w:val="center"/>
                </w:tcPr>
                <w:p w14:paraId="1913EE62">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39.0</w:t>
                  </w:r>
                </w:p>
              </w:tc>
              <w:tc>
                <w:tcPr>
                  <w:tcW w:w="1164" w:type="dxa"/>
                  <w:tcBorders>
                    <w:tl2br w:val="nil"/>
                    <w:tr2bl w:val="nil"/>
                  </w:tcBorders>
                  <w:shd w:val="clear" w:color="auto" w:fill="FFFFFF"/>
                  <w:vAlign w:val="center"/>
                </w:tcPr>
                <w:p w14:paraId="7EFFBD01">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728" w:type="dxa"/>
                  <w:tcBorders>
                    <w:tl2br w:val="nil"/>
                    <w:tr2bl w:val="nil"/>
                  </w:tcBorders>
                  <w:shd w:val="clear" w:color="auto" w:fill="FFFFFF"/>
                  <w:vAlign w:val="center"/>
                </w:tcPr>
                <w:p w14:paraId="2E2BAEA2">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08257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45" w:type="pct"/>
                  <w:vMerge w:val="restart"/>
                  <w:tcBorders>
                    <w:tl2br w:val="nil"/>
                    <w:tr2bl w:val="nil"/>
                  </w:tcBorders>
                  <w:shd w:val="clear" w:color="auto" w:fill="FFFFFF"/>
                  <w:vAlign w:val="center"/>
                </w:tcPr>
                <w:p w14:paraId="69FED97B">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0"/>
                      <w14:textFill>
                        <w14:solidFill>
                          <w14:schemeClr w14:val="tx1"/>
                        </w14:solidFill>
                      </w14:textFill>
                    </w:rPr>
                    <w:t>南侧</w:t>
                  </w:r>
                </w:p>
              </w:tc>
              <w:tc>
                <w:tcPr>
                  <w:tcW w:w="959" w:type="dxa"/>
                  <w:tcBorders>
                    <w:tl2br w:val="nil"/>
                    <w:tr2bl w:val="nil"/>
                  </w:tcBorders>
                  <w:shd w:val="clear" w:color="auto" w:fill="FFFFFF"/>
                  <w:vAlign w:val="center"/>
                </w:tcPr>
                <w:p w14:paraId="289A0930">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14.2</w:t>
                  </w:r>
                </w:p>
              </w:tc>
              <w:tc>
                <w:tcPr>
                  <w:tcW w:w="826" w:type="dxa"/>
                  <w:tcBorders>
                    <w:tl2br w:val="nil"/>
                    <w:tr2bl w:val="nil"/>
                  </w:tcBorders>
                  <w:shd w:val="clear" w:color="auto" w:fill="FFFFFF"/>
                  <w:vAlign w:val="center"/>
                </w:tcPr>
                <w:p w14:paraId="6C47BB3B">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-36.2</w:t>
                  </w:r>
                </w:p>
              </w:tc>
              <w:tc>
                <w:tcPr>
                  <w:tcW w:w="936" w:type="dxa"/>
                  <w:tcBorders>
                    <w:tl2br w:val="nil"/>
                    <w:tr2bl w:val="nil"/>
                  </w:tcBorders>
                  <w:shd w:val="clear" w:color="auto" w:fill="FFFFFF"/>
                  <w:vAlign w:val="center"/>
                </w:tcPr>
                <w:p w14:paraId="2C8BE6EA">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177" w:type="dxa"/>
                  <w:tcBorders>
                    <w:tl2br w:val="nil"/>
                    <w:tr2bl w:val="nil"/>
                  </w:tcBorders>
                  <w:shd w:val="clear" w:color="auto" w:fill="FFFFFF"/>
                  <w:vAlign w:val="center"/>
                </w:tcPr>
                <w:p w14:paraId="1A319042">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1395" w:type="dxa"/>
                  <w:tcBorders>
                    <w:tl2br w:val="nil"/>
                    <w:tr2bl w:val="nil"/>
                  </w:tcBorders>
                  <w:shd w:val="clear" w:color="auto" w:fill="FFFFFF"/>
                  <w:vAlign w:val="center"/>
                </w:tcPr>
                <w:p w14:paraId="29CE7517">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164" w:type="dxa"/>
                  <w:tcBorders>
                    <w:tl2br w:val="nil"/>
                    <w:tr2bl w:val="nil"/>
                  </w:tcBorders>
                  <w:shd w:val="clear" w:color="auto" w:fill="FFFFFF"/>
                  <w:vAlign w:val="center"/>
                </w:tcPr>
                <w:p w14:paraId="7E540198">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c>
                <w:tcPr>
                  <w:tcW w:w="728" w:type="dxa"/>
                  <w:tcBorders>
                    <w:tl2br w:val="nil"/>
                    <w:tr2bl w:val="nil"/>
                  </w:tcBorders>
                  <w:shd w:val="clear" w:color="auto" w:fill="FFFFFF"/>
                  <w:vAlign w:val="center"/>
                </w:tcPr>
                <w:p w14:paraId="6CDB2BE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77E15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45" w:type="pct"/>
                  <w:vMerge w:val="continue"/>
                  <w:tcBorders>
                    <w:tl2br w:val="nil"/>
                    <w:tr2bl w:val="nil"/>
                  </w:tcBorders>
                  <w:shd w:val="clear" w:color="auto" w:fill="FFFFFF"/>
                  <w:vAlign w:val="center"/>
                </w:tcPr>
                <w:p w14:paraId="025A44C0">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0"/>
                      <w14:textFill>
                        <w14:solidFill>
                          <w14:schemeClr w14:val="tx1"/>
                        </w14:solidFill>
                      </w14:textFill>
                    </w:rPr>
                    <w:t>南侧</w:t>
                  </w:r>
                </w:p>
              </w:tc>
              <w:tc>
                <w:tcPr>
                  <w:tcW w:w="959" w:type="dxa"/>
                  <w:tcBorders>
                    <w:tl2br w:val="nil"/>
                    <w:tr2bl w:val="nil"/>
                  </w:tcBorders>
                  <w:shd w:val="clear" w:color="auto" w:fill="FFFFFF"/>
                  <w:vAlign w:val="center"/>
                </w:tcPr>
                <w:p w14:paraId="40BB0159">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14.2</w:t>
                  </w:r>
                </w:p>
              </w:tc>
              <w:tc>
                <w:tcPr>
                  <w:tcW w:w="826" w:type="dxa"/>
                  <w:tcBorders>
                    <w:tl2br w:val="nil"/>
                    <w:tr2bl w:val="nil"/>
                  </w:tcBorders>
                  <w:shd w:val="clear" w:color="auto" w:fill="FFFFFF"/>
                  <w:vAlign w:val="center"/>
                </w:tcPr>
                <w:p w14:paraId="06686596">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-36.2</w:t>
                  </w:r>
                </w:p>
              </w:tc>
              <w:tc>
                <w:tcPr>
                  <w:tcW w:w="936" w:type="dxa"/>
                  <w:tcBorders>
                    <w:tl2br w:val="nil"/>
                    <w:tr2bl w:val="nil"/>
                  </w:tcBorders>
                  <w:shd w:val="clear" w:color="auto" w:fill="FFFFFF"/>
                  <w:vAlign w:val="center"/>
                </w:tcPr>
                <w:p w14:paraId="2D94A8E6">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177" w:type="dxa"/>
                  <w:tcBorders>
                    <w:tl2br w:val="nil"/>
                    <w:tr2bl w:val="nil"/>
                  </w:tcBorders>
                  <w:shd w:val="clear" w:color="auto" w:fill="FFFFFF"/>
                  <w:vAlign w:val="center"/>
                </w:tcPr>
                <w:p w14:paraId="26D02936">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c>
                <w:tcPr>
                  <w:tcW w:w="1395" w:type="dxa"/>
                  <w:tcBorders>
                    <w:tl2br w:val="nil"/>
                    <w:tr2bl w:val="nil"/>
                  </w:tcBorders>
                  <w:shd w:val="clear" w:color="auto" w:fill="FFFFFF"/>
                  <w:vAlign w:val="center"/>
                </w:tcPr>
                <w:p w14:paraId="660966D3">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164" w:type="dxa"/>
                  <w:tcBorders>
                    <w:tl2br w:val="nil"/>
                    <w:tr2bl w:val="nil"/>
                  </w:tcBorders>
                  <w:shd w:val="clear" w:color="auto" w:fill="FFFFFF"/>
                  <w:vAlign w:val="center"/>
                </w:tcPr>
                <w:p w14:paraId="3F38A336">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728" w:type="dxa"/>
                  <w:tcBorders>
                    <w:tl2br w:val="nil"/>
                    <w:tr2bl w:val="nil"/>
                  </w:tcBorders>
                  <w:shd w:val="clear" w:color="auto" w:fill="FFFFFF"/>
                  <w:vAlign w:val="center"/>
                </w:tcPr>
                <w:p w14:paraId="2D6B9289">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702FF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45" w:type="pct"/>
                  <w:vMerge w:val="restart"/>
                  <w:tcBorders>
                    <w:tl2br w:val="nil"/>
                    <w:tr2bl w:val="nil"/>
                  </w:tcBorders>
                  <w:shd w:val="clear" w:color="auto" w:fill="FFFFFF"/>
                  <w:vAlign w:val="center"/>
                </w:tcPr>
                <w:p w14:paraId="5461E665">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0"/>
                      <w14:textFill>
                        <w14:solidFill>
                          <w14:schemeClr w14:val="tx1"/>
                        </w14:solidFill>
                      </w14:textFill>
                    </w:rPr>
                    <w:t>西侧</w:t>
                  </w:r>
                </w:p>
              </w:tc>
              <w:tc>
                <w:tcPr>
                  <w:tcW w:w="959" w:type="dxa"/>
                  <w:tcBorders>
                    <w:tl2br w:val="nil"/>
                    <w:tr2bl w:val="nil"/>
                  </w:tcBorders>
                  <w:shd w:val="clear" w:color="auto" w:fill="FFFFFF"/>
                  <w:vAlign w:val="center"/>
                </w:tcPr>
                <w:p w14:paraId="0D90EF9A">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-53.2</w:t>
                  </w:r>
                </w:p>
              </w:tc>
              <w:tc>
                <w:tcPr>
                  <w:tcW w:w="826" w:type="dxa"/>
                  <w:tcBorders>
                    <w:tl2br w:val="nil"/>
                    <w:tr2bl w:val="nil"/>
                  </w:tcBorders>
                  <w:shd w:val="clear" w:color="auto" w:fill="FFFFFF"/>
                  <w:vAlign w:val="center"/>
                </w:tcPr>
                <w:p w14:paraId="518C6CF6">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-15.2</w:t>
                  </w:r>
                </w:p>
              </w:tc>
              <w:tc>
                <w:tcPr>
                  <w:tcW w:w="936" w:type="dxa"/>
                  <w:tcBorders>
                    <w:tl2br w:val="nil"/>
                    <w:tr2bl w:val="nil"/>
                  </w:tcBorders>
                  <w:shd w:val="clear" w:color="auto" w:fill="FFFFFF"/>
                  <w:vAlign w:val="center"/>
                </w:tcPr>
                <w:p w14:paraId="006005B2">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177" w:type="dxa"/>
                  <w:tcBorders>
                    <w:tl2br w:val="nil"/>
                    <w:tr2bl w:val="nil"/>
                  </w:tcBorders>
                  <w:shd w:val="clear" w:color="auto" w:fill="FFFFFF"/>
                  <w:vAlign w:val="center"/>
                </w:tcPr>
                <w:p w14:paraId="5D946F18">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1395" w:type="dxa"/>
                  <w:tcBorders>
                    <w:tl2br w:val="nil"/>
                    <w:tr2bl w:val="nil"/>
                  </w:tcBorders>
                  <w:shd w:val="clear" w:color="auto" w:fill="FFFFFF"/>
                  <w:vAlign w:val="center"/>
                </w:tcPr>
                <w:p w14:paraId="69759D6F">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164" w:type="dxa"/>
                  <w:tcBorders>
                    <w:tl2br w:val="nil"/>
                    <w:tr2bl w:val="nil"/>
                  </w:tcBorders>
                  <w:shd w:val="clear" w:color="auto" w:fill="FFFFFF"/>
                  <w:vAlign w:val="center"/>
                </w:tcPr>
                <w:p w14:paraId="617B1A62">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c>
                <w:tcPr>
                  <w:tcW w:w="728" w:type="dxa"/>
                  <w:tcBorders>
                    <w:tl2br w:val="nil"/>
                    <w:tr2bl w:val="nil"/>
                  </w:tcBorders>
                  <w:shd w:val="clear" w:color="auto" w:fill="FFFFFF"/>
                  <w:vAlign w:val="center"/>
                </w:tcPr>
                <w:p w14:paraId="19F07631">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69E25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45" w:type="pct"/>
                  <w:vMerge w:val="continue"/>
                  <w:tcBorders>
                    <w:tl2br w:val="nil"/>
                    <w:tr2bl w:val="nil"/>
                  </w:tcBorders>
                  <w:shd w:val="clear" w:color="auto" w:fill="FFFFFF"/>
                  <w:vAlign w:val="center"/>
                </w:tcPr>
                <w:p w14:paraId="71C78E43">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0"/>
                      <w14:textFill>
                        <w14:solidFill>
                          <w14:schemeClr w14:val="tx1"/>
                        </w14:solidFill>
                      </w14:textFill>
                    </w:rPr>
                    <w:t>西侧</w:t>
                  </w:r>
                </w:p>
              </w:tc>
              <w:tc>
                <w:tcPr>
                  <w:tcW w:w="959" w:type="dxa"/>
                  <w:tcBorders>
                    <w:tl2br w:val="nil"/>
                    <w:tr2bl w:val="nil"/>
                  </w:tcBorders>
                  <w:shd w:val="clear" w:color="auto" w:fill="FFFFFF"/>
                  <w:vAlign w:val="center"/>
                </w:tcPr>
                <w:p w14:paraId="6EF4B348">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-53.2</w:t>
                  </w:r>
                </w:p>
              </w:tc>
              <w:tc>
                <w:tcPr>
                  <w:tcW w:w="826" w:type="dxa"/>
                  <w:tcBorders>
                    <w:tl2br w:val="nil"/>
                    <w:tr2bl w:val="nil"/>
                  </w:tcBorders>
                  <w:shd w:val="clear" w:color="auto" w:fill="FFFFFF"/>
                  <w:vAlign w:val="center"/>
                </w:tcPr>
                <w:p w14:paraId="63C2AE33">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-15.2</w:t>
                  </w:r>
                </w:p>
              </w:tc>
              <w:tc>
                <w:tcPr>
                  <w:tcW w:w="936" w:type="dxa"/>
                  <w:tcBorders>
                    <w:tl2br w:val="nil"/>
                    <w:tr2bl w:val="nil"/>
                  </w:tcBorders>
                  <w:shd w:val="clear" w:color="auto" w:fill="FFFFFF"/>
                  <w:vAlign w:val="center"/>
                </w:tcPr>
                <w:p w14:paraId="6F980F71">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177" w:type="dxa"/>
                  <w:tcBorders>
                    <w:tl2br w:val="nil"/>
                    <w:tr2bl w:val="nil"/>
                  </w:tcBorders>
                  <w:shd w:val="clear" w:color="auto" w:fill="FFFFFF"/>
                  <w:vAlign w:val="center"/>
                </w:tcPr>
                <w:p w14:paraId="7D327333">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c>
                <w:tcPr>
                  <w:tcW w:w="1395" w:type="dxa"/>
                  <w:tcBorders>
                    <w:tl2br w:val="nil"/>
                    <w:tr2bl w:val="nil"/>
                  </w:tcBorders>
                  <w:shd w:val="clear" w:color="auto" w:fill="FFFFFF"/>
                  <w:vAlign w:val="center"/>
                </w:tcPr>
                <w:p w14:paraId="2D7FF6E6">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164" w:type="dxa"/>
                  <w:tcBorders>
                    <w:tl2br w:val="nil"/>
                    <w:tr2bl w:val="nil"/>
                  </w:tcBorders>
                  <w:shd w:val="clear" w:color="auto" w:fill="FFFFFF"/>
                  <w:vAlign w:val="center"/>
                </w:tcPr>
                <w:p w14:paraId="6BC5E63C">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728" w:type="dxa"/>
                  <w:tcBorders>
                    <w:tl2br w:val="nil"/>
                    <w:tr2bl w:val="nil"/>
                  </w:tcBorders>
                  <w:shd w:val="clear" w:color="auto" w:fill="FFFFFF"/>
                  <w:vAlign w:val="center"/>
                </w:tcPr>
                <w:p w14:paraId="3921C98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64A37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45" w:type="pct"/>
                  <w:vMerge w:val="restart"/>
                  <w:tcBorders>
                    <w:tl2br w:val="nil"/>
                    <w:tr2bl w:val="nil"/>
                  </w:tcBorders>
                  <w:shd w:val="clear" w:color="auto" w:fill="FFFFFF"/>
                  <w:vAlign w:val="center"/>
                </w:tcPr>
                <w:p w14:paraId="239DC0C2">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0"/>
                      <w14:textFill>
                        <w14:solidFill>
                          <w14:schemeClr w14:val="tx1"/>
                        </w14:solidFill>
                      </w14:textFill>
                    </w:rPr>
                    <w:t>北侧</w:t>
                  </w:r>
                </w:p>
              </w:tc>
              <w:tc>
                <w:tcPr>
                  <w:tcW w:w="959" w:type="dxa"/>
                  <w:tcBorders>
                    <w:tl2br w:val="nil"/>
                    <w:tr2bl w:val="nil"/>
                  </w:tcBorders>
                  <w:shd w:val="clear" w:color="auto" w:fill="FFFFFF"/>
                  <w:vAlign w:val="center"/>
                </w:tcPr>
                <w:p w14:paraId="6F5CD4A4">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12.8</w:t>
                  </w:r>
                </w:p>
              </w:tc>
              <w:tc>
                <w:tcPr>
                  <w:tcW w:w="826" w:type="dxa"/>
                  <w:tcBorders>
                    <w:tl2br w:val="nil"/>
                    <w:tr2bl w:val="nil"/>
                  </w:tcBorders>
                  <w:shd w:val="clear" w:color="auto" w:fill="FFFFFF"/>
                  <w:vAlign w:val="center"/>
                </w:tcPr>
                <w:p w14:paraId="14EB8572">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36.2</w:t>
                  </w:r>
                </w:p>
              </w:tc>
              <w:tc>
                <w:tcPr>
                  <w:tcW w:w="936" w:type="dxa"/>
                  <w:tcBorders>
                    <w:tl2br w:val="nil"/>
                    <w:tr2bl w:val="nil"/>
                  </w:tcBorders>
                  <w:shd w:val="clear" w:color="auto" w:fill="FFFFFF"/>
                  <w:vAlign w:val="center"/>
                </w:tcPr>
                <w:p w14:paraId="747403DA">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177" w:type="dxa"/>
                  <w:tcBorders>
                    <w:tl2br w:val="nil"/>
                    <w:tr2bl w:val="nil"/>
                  </w:tcBorders>
                  <w:shd w:val="clear" w:color="auto" w:fill="FFFFFF"/>
                  <w:vAlign w:val="center"/>
                </w:tcPr>
                <w:p w14:paraId="6BD4908F">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1395" w:type="dxa"/>
                  <w:tcBorders>
                    <w:tl2br w:val="nil"/>
                    <w:tr2bl w:val="nil"/>
                  </w:tcBorders>
                  <w:shd w:val="clear" w:color="auto" w:fill="FFFFFF"/>
                  <w:vAlign w:val="center"/>
                </w:tcPr>
                <w:p w14:paraId="1D5BE521">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164" w:type="dxa"/>
                  <w:tcBorders>
                    <w:tl2br w:val="nil"/>
                    <w:tr2bl w:val="nil"/>
                  </w:tcBorders>
                  <w:shd w:val="clear" w:color="auto" w:fill="FFFFFF"/>
                  <w:vAlign w:val="center"/>
                </w:tcPr>
                <w:p w14:paraId="6CEB4035">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c>
                <w:tcPr>
                  <w:tcW w:w="728" w:type="dxa"/>
                  <w:tcBorders>
                    <w:tl2br w:val="nil"/>
                    <w:tr2bl w:val="nil"/>
                  </w:tcBorders>
                  <w:shd w:val="clear" w:color="auto" w:fill="FFFFFF"/>
                  <w:vAlign w:val="center"/>
                </w:tcPr>
                <w:p w14:paraId="2C9C3E7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3D3C5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645" w:type="pct"/>
                  <w:vMerge w:val="continue"/>
                  <w:tcBorders>
                    <w:tl2br w:val="nil"/>
                    <w:tr2bl w:val="nil"/>
                  </w:tcBorders>
                  <w:shd w:val="clear" w:color="auto" w:fill="FFFFFF"/>
                  <w:vAlign w:val="center"/>
                </w:tcPr>
                <w:p w14:paraId="2031382E">
                  <w:pPr>
                    <w:keepNext w:val="0"/>
                    <w:keepLines w:val="0"/>
                    <w:pageBreakBefore w:val="0"/>
                    <w:widowControl w:val="0"/>
                    <w:kinsoku/>
                    <w:wordWrap/>
                    <w:overflowPunct/>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sz w:val="20"/>
                      <w14:textFill>
                        <w14:solidFill>
                          <w14:schemeClr w14:val="tx1"/>
                        </w14:solidFill>
                      </w14:textFill>
                    </w:rPr>
                    <w:t>北侧</w:t>
                  </w:r>
                </w:p>
              </w:tc>
              <w:tc>
                <w:tcPr>
                  <w:tcW w:w="959" w:type="dxa"/>
                  <w:tcBorders>
                    <w:tl2br w:val="nil"/>
                    <w:tr2bl w:val="nil"/>
                  </w:tcBorders>
                  <w:shd w:val="clear" w:color="auto" w:fill="FFFFFF"/>
                  <w:vAlign w:val="center"/>
                </w:tcPr>
                <w:p w14:paraId="4B0439ED">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12.8</w:t>
                  </w:r>
                </w:p>
              </w:tc>
              <w:tc>
                <w:tcPr>
                  <w:tcW w:w="826" w:type="dxa"/>
                  <w:tcBorders>
                    <w:tl2br w:val="nil"/>
                    <w:tr2bl w:val="nil"/>
                  </w:tcBorders>
                  <w:shd w:val="clear" w:color="auto" w:fill="FFFFFF"/>
                  <w:vAlign w:val="center"/>
                </w:tcPr>
                <w:p w14:paraId="36A37336">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36.2</w:t>
                  </w:r>
                </w:p>
              </w:tc>
              <w:tc>
                <w:tcPr>
                  <w:tcW w:w="936" w:type="dxa"/>
                  <w:tcBorders>
                    <w:tl2br w:val="nil"/>
                    <w:tr2bl w:val="nil"/>
                  </w:tcBorders>
                  <w:shd w:val="clear" w:color="auto" w:fill="FFFFFF"/>
                  <w:vAlign w:val="center"/>
                </w:tcPr>
                <w:p w14:paraId="6CEBE2EF">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177" w:type="dxa"/>
                  <w:tcBorders>
                    <w:tl2br w:val="nil"/>
                    <w:tr2bl w:val="nil"/>
                  </w:tcBorders>
                  <w:shd w:val="clear" w:color="auto" w:fill="FFFFFF"/>
                  <w:vAlign w:val="center"/>
                </w:tcPr>
                <w:p w14:paraId="21C32845">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c>
                <w:tcPr>
                  <w:tcW w:w="1395" w:type="dxa"/>
                  <w:tcBorders>
                    <w:tl2br w:val="nil"/>
                    <w:tr2bl w:val="nil"/>
                  </w:tcBorders>
                  <w:shd w:val="clear" w:color="auto" w:fill="FFFFFF"/>
                  <w:vAlign w:val="center"/>
                </w:tcPr>
                <w:p w14:paraId="2522F278">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164" w:type="dxa"/>
                  <w:tcBorders>
                    <w:tl2br w:val="nil"/>
                    <w:tr2bl w:val="nil"/>
                  </w:tcBorders>
                  <w:shd w:val="clear" w:color="auto" w:fill="FFFFFF"/>
                  <w:vAlign w:val="center"/>
                </w:tcPr>
                <w:p w14:paraId="0F1F06B9">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728" w:type="dxa"/>
                  <w:tcBorders>
                    <w:tl2br w:val="nil"/>
                    <w:tr2bl w:val="nil"/>
                  </w:tcBorders>
                  <w:shd w:val="clear" w:color="auto" w:fill="FFFFFF"/>
                  <w:vAlign w:val="center"/>
                </w:tcPr>
                <w:p w14:paraId="2D7CAF9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14:paraId="58A8026F">
            <w:pPr>
              <w:pStyle w:val="9"/>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Chars="200"/>
              <w:jc w:val="both"/>
              <w:rPr>
                <w:color w:val="000000" w:themeColor="text1"/>
                <w:kern w:val="24"/>
                <w:sz w:val="24"/>
                <w:szCs w:val="24"/>
                <w:highlight w:val="none"/>
                <w14:textFill>
                  <w14:solidFill>
                    <w14:schemeClr w14:val="tx1"/>
                  </w14:solidFill>
                </w14:textFill>
              </w:rPr>
            </w:pPr>
            <w:r>
              <w:rPr>
                <w:rFonts w:ascii="Times New Roman" w:hAnsi="Times New Roman" w:eastAsia="宋体" w:cs="Times New Roman"/>
                <w:color w:val="000000" w:themeColor="text1"/>
                <w:kern w:val="24"/>
                <w:sz w:val="24"/>
                <w:szCs w:val="24"/>
                <w:highlight w:val="none"/>
                <w:lang w:eastAsia="zh-CN"/>
                <w14:textFill>
                  <w14:solidFill>
                    <w14:schemeClr w14:val="tx1"/>
                  </w14:solidFill>
                </w14:textFill>
              </w:rPr>
              <w:t>由</w:t>
            </w:r>
            <w:r>
              <w:rPr>
                <w:rFonts w:hint="eastAsia" w:ascii="Times New Roman" w:cs="Times New Roman"/>
                <w:color w:val="000000" w:themeColor="text1"/>
                <w:kern w:val="24"/>
                <w:sz w:val="24"/>
                <w:szCs w:val="24"/>
                <w:highlight w:val="none"/>
                <w:lang w:eastAsia="zh-CN"/>
                <w14:textFill>
                  <w14:solidFill>
                    <w14:schemeClr w14:val="tx1"/>
                  </w14:solidFill>
                </w14:textFill>
              </w:rPr>
              <w:t>上</w:t>
            </w:r>
            <w:r>
              <w:rPr>
                <w:rFonts w:ascii="Times New Roman" w:hAnsi="Times New Roman" w:eastAsia="宋体" w:cs="Times New Roman"/>
                <w:color w:val="000000" w:themeColor="text1"/>
                <w:kern w:val="24"/>
                <w:sz w:val="24"/>
                <w:szCs w:val="24"/>
                <w:highlight w:val="none"/>
                <w:lang w:eastAsia="zh-CN"/>
                <w14:textFill>
                  <w14:solidFill>
                    <w14:schemeClr w14:val="tx1"/>
                  </w14:solidFill>
                </w14:textFill>
              </w:rPr>
              <w:t>表可知，正常工况下，项目厂界噪声满足《工业企业厂界环境噪声排放标准》</w:t>
            </w:r>
            <w:r>
              <w:rPr>
                <w:rFonts w:hint="default" w:cs="Times New Roman"/>
                <w:color w:val="000000" w:themeColor="text1"/>
                <w:kern w:val="24"/>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kern w:val="24"/>
                <w:sz w:val="24"/>
                <w:szCs w:val="24"/>
                <w:highlight w:val="none"/>
                <w:lang w:eastAsia="zh-CN"/>
                <w14:textFill>
                  <w14:solidFill>
                    <w14:schemeClr w14:val="tx1"/>
                  </w14:solidFill>
                </w14:textFill>
              </w:rPr>
              <w:t>GB12348</w:t>
            </w:r>
            <w:r>
              <w:rPr>
                <w:rFonts w:hint="eastAsia" w:ascii="Times New Roman" w:cs="Times New Roman"/>
                <w:color w:val="000000" w:themeColor="text1"/>
                <w:kern w:val="24"/>
                <w:sz w:val="24"/>
                <w:szCs w:val="24"/>
                <w:highlight w:val="none"/>
                <w:lang w:val="en-US" w:eastAsia="zh-CN"/>
                <w14:textFill>
                  <w14:solidFill>
                    <w14:schemeClr w14:val="tx1"/>
                  </w14:solidFill>
                </w14:textFill>
              </w:rPr>
              <w:t>-</w:t>
            </w:r>
            <w:r>
              <w:rPr>
                <w:rFonts w:ascii="Times New Roman" w:hAnsi="Times New Roman" w:eastAsia="宋体" w:cs="Times New Roman"/>
                <w:color w:val="000000" w:themeColor="text1"/>
                <w:kern w:val="24"/>
                <w:sz w:val="24"/>
                <w:szCs w:val="24"/>
                <w:highlight w:val="none"/>
                <w:lang w:eastAsia="zh-CN"/>
                <w14:textFill>
                  <w14:solidFill>
                    <w14:schemeClr w14:val="tx1"/>
                  </w14:solidFill>
                </w14:textFill>
              </w:rPr>
              <w:t>2008</w:t>
            </w:r>
            <w:bookmarkStart w:id="9" w:name="PO_3"/>
            <w:r>
              <w:rPr>
                <w:rFonts w:hint="default" w:cs="Times New Roman"/>
                <w:color w:val="000000" w:themeColor="text1"/>
                <w:kern w:val="24"/>
                <w:sz w:val="24"/>
                <w:szCs w:val="24"/>
                <w:highlight w:val="none"/>
                <w:lang w:eastAsia="zh-CN"/>
                <w14:textFill>
                  <w14:solidFill>
                    <w14:schemeClr w14:val="tx1"/>
                  </w14:solidFill>
                </w14:textFill>
              </w:rPr>
              <w:t>）</w:t>
            </w:r>
            <w:r>
              <w:rPr>
                <w:rFonts w:hint="default" w:cs="Times New Roman"/>
                <w:color w:val="000000" w:themeColor="text1"/>
                <w:kern w:val="24"/>
                <w:sz w:val="24"/>
                <w:szCs w:val="24"/>
                <w:highlight w:val="none"/>
                <w:lang w:val="en-US" w:eastAsia="zh-CN"/>
                <w14:textFill>
                  <w14:solidFill>
                    <w14:schemeClr w14:val="tx1"/>
                  </w14:solidFill>
                </w14:textFill>
              </w:rPr>
              <w:t>2</w:t>
            </w:r>
            <w:bookmarkEnd w:id="9"/>
            <w:r>
              <w:rPr>
                <w:rFonts w:ascii="Times New Roman" w:hAnsi="Times New Roman" w:eastAsia="宋体" w:cs="Times New Roman"/>
                <w:color w:val="000000" w:themeColor="text1"/>
                <w:kern w:val="24"/>
                <w:sz w:val="24"/>
                <w:szCs w:val="24"/>
                <w:highlight w:val="none"/>
                <w:lang w:eastAsia="zh-CN"/>
                <w14:textFill>
                  <w14:solidFill>
                    <w14:schemeClr w14:val="tx1"/>
                  </w14:solidFill>
                </w14:textFill>
              </w:rPr>
              <w:t>类标准。</w:t>
            </w:r>
          </w:p>
          <w:p w14:paraId="51FFB9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b/>
                <w:bCs/>
                <w:color w:val="000000" w:themeColor="text1"/>
                <w:kern w:val="24"/>
                <w:sz w:val="24"/>
                <w:szCs w:val="24"/>
                <w:highlight w:val="none"/>
                <w14:textFill>
                  <w14:solidFill>
                    <w14:schemeClr w14:val="tx1"/>
                  </w14:solidFill>
                </w14:textFill>
              </w:rPr>
            </w:pPr>
            <w:r>
              <w:rPr>
                <w:rFonts w:hint="eastAsia"/>
                <w:b/>
                <w:bCs/>
                <w:color w:val="000000" w:themeColor="text1"/>
                <w:kern w:val="24"/>
                <w:sz w:val="24"/>
                <w:szCs w:val="24"/>
                <w:highlight w:val="none"/>
                <w:lang w:val="en-US" w:eastAsia="zh-CN"/>
                <w14:textFill>
                  <w14:solidFill>
                    <w14:schemeClr w14:val="tx1"/>
                  </w14:solidFill>
                </w14:textFill>
              </w:rPr>
              <w:t>4.</w:t>
            </w:r>
            <w:r>
              <w:rPr>
                <w:b/>
                <w:bCs/>
                <w:color w:val="000000" w:themeColor="text1"/>
                <w:kern w:val="24"/>
                <w:sz w:val="24"/>
                <w:szCs w:val="24"/>
                <w:highlight w:val="none"/>
                <w14:textFill>
                  <w14:solidFill>
                    <w14:schemeClr w14:val="tx1"/>
                  </w14:solidFill>
                </w14:textFill>
              </w:rPr>
              <w:t>噪声</w:t>
            </w:r>
            <w:r>
              <w:rPr>
                <w:rFonts w:hint="default"/>
                <w:b/>
                <w:bCs/>
                <w:color w:val="000000" w:themeColor="text1"/>
                <w:kern w:val="24"/>
                <w:sz w:val="24"/>
                <w:szCs w:val="24"/>
                <w:highlight w:val="none"/>
                <w14:textFill>
                  <w14:solidFill>
                    <w14:schemeClr w14:val="tx1"/>
                  </w14:solidFill>
                </w14:textFill>
              </w:rPr>
              <w:t>防治措施</w:t>
            </w:r>
          </w:p>
          <w:p w14:paraId="30303DB1">
            <w:pPr>
              <w:pStyle w:val="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Chars="200"/>
              <w:jc w:val="both"/>
              <w:textAlignment w:val="auto"/>
              <w:rPr>
                <w:color w:val="000000" w:themeColor="text1"/>
                <w:kern w:val="24"/>
                <w:sz w:val="24"/>
                <w:szCs w:val="24"/>
                <w:highlight w:val="none"/>
                <w14:textFill>
                  <w14:solidFill>
                    <w14:schemeClr w14:val="tx1"/>
                  </w14:solidFill>
                </w14:textFill>
              </w:rPr>
            </w:pPr>
            <w:r>
              <w:rPr>
                <w:color w:val="000000" w:themeColor="text1"/>
                <w:kern w:val="24"/>
                <w:sz w:val="24"/>
                <w:szCs w:val="24"/>
                <w:highlight w:val="none"/>
                <w14:textFill>
                  <w14:solidFill>
                    <w14:schemeClr w14:val="tx1"/>
                  </w14:solidFill>
                </w14:textFill>
              </w:rPr>
              <w:t>（1）振动较大的设备</w:t>
            </w:r>
            <w:r>
              <w:rPr>
                <w:rFonts w:hint="eastAsia"/>
                <w:color w:val="000000" w:themeColor="text1"/>
                <w:kern w:val="24"/>
                <w:sz w:val="24"/>
                <w:szCs w:val="24"/>
                <w:highlight w:val="none"/>
                <w:lang w:eastAsia="zh-CN"/>
                <w14:textFill>
                  <w14:solidFill>
                    <w14:schemeClr w14:val="tx1"/>
                  </w14:solidFill>
                </w14:textFill>
              </w:rPr>
              <w:t>采用低噪设备，并采取</w:t>
            </w:r>
            <w:r>
              <w:rPr>
                <w:color w:val="000000" w:themeColor="text1"/>
                <w:kern w:val="24"/>
                <w:sz w:val="24"/>
                <w:szCs w:val="24"/>
                <w:highlight w:val="none"/>
                <w14:textFill>
                  <w14:solidFill>
                    <w14:schemeClr w14:val="tx1"/>
                  </w14:solidFill>
                </w14:textFill>
              </w:rPr>
              <w:t>相应的</w:t>
            </w:r>
            <w:r>
              <w:rPr>
                <w:rFonts w:hint="eastAsia"/>
                <w:color w:val="000000" w:themeColor="text1"/>
                <w:kern w:val="24"/>
                <w:sz w:val="24"/>
                <w:szCs w:val="24"/>
                <w:highlight w:val="none"/>
                <w:lang w:eastAsia="zh-CN"/>
                <w14:textFill>
                  <w14:solidFill>
                    <w14:schemeClr w14:val="tx1"/>
                  </w14:solidFill>
                </w14:textFill>
              </w:rPr>
              <w:t>减振措施</w:t>
            </w:r>
            <w:r>
              <w:rPr>
                <w:color w:val="000000" w:themeColor="text1"/>
                <w:kern w:val="24"/>
                <w:sz w:val="24"/>
                <w:szCs w:val="24"/>
                <w:highlight w:val="none"/>
                <w14:textFill>
                  <w14:solidFill>
                    <w14:schemeClr w14:val="tx1"/>
                  </w14:solidFill>
                </w14:textFill>
              </w:rPr>
              <w:t>；</w:t>
            </w:r>
          </w:p>
          <w:p w14:paraId="79B0FCAB">
            <w:pPr>
              <w:pStyle w:val="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Chars="200"/>
              <w:jc w:val="both"/>
              <w:textAlignment w:val="auto"/>
              <w:rPr>
                <w:color w:val="000000" w:themeColor="text1"/>
                <w:kern w:val="24"/>
                <w:sz w:val="24"/>
                <w:szCs w:val="24"/>
                <w:highlight w:val="none"/>
                <w14:textFill>
                  <w14:solidFill>
                    <w14:schemeClr w14:val="tx1"/>
                  </w14:solidFill>
                </w14:textFill>
              </w:rPr>
            </w:pPr>
            <w:r>
              <w:rPr>
                <w:color w:val="000000" w:themeColor="text1"/>
                <w:kern w:val="24"/>
                <w:sz w:val="24"/>
                <w:szCs w:val="24"/>
                <w:highlight w:val="none"/>
                <w14:textFill>
                  <w14:solidFill>
                    <w14:schemeClr w14:val="tx1"/>
                  </w14:solidFill>
                </w14:textFill>
              </w:rPr>
              <w:t>（2）定期对设备进行维护和保养，使设备保持良好运行状态；</w:t>
            </w:r>
          </w:p>
          <w:p w14:paraId="2E4C45AE">
            <w:pPr>
              <w:pStyle w:val="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Chars="200"/>
              <w:jc w:val="both"/>
              <w:textAlignment w:val="auto"/>
              <w:rPr>
                <w:color w:val="000000" w:themeColor="text1"/>
                <w:kern w:val="24"/>
                <w:sz w:val="24"/>
                <w:szCs w:val="24"/>
                <w:highlight w:val="none"/>
                <w14:textFill>
                  <w14:solidFill>
                    <w14:schemeClr w14:val="tx1"/>
                  </w14:solidFill>
                </w14:textFill>
              </w:rPr>
            </w:pPr>
            <w:r>
              <w:rPr>
                <w:color w:val="000000" w:themeColor="text1"/>
                <w:kern w:val="24"/>
                <w:sz w:val="24"/>
                <w:szCs w:val="24"/>
                <w:highlight w:val="none"/>
                <w14:textFill>
                  <w14:solidFill>
                    <w14:schemeClr w14:val="tx1"/>
                  </w14:solidFill>
                </w14:textFill>
              </w:rPr>
              <w:t>（3）合理安排设备布局，避免高噪声的设备安置在一起；</w:t>
            </w:r>
          </w:p>
          <w:p w14:paraId="254BC93A">
            <w:pPr>
              <w:pStyle w:val="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Chars="200"/>
              <w:jc w:val="both"/>
              <w:textAlignment w:val="auto"/>
              <w:rPr>
                <w:color w:val="000000" w:themeColor="text1"/>
                <w:kern w:val="24"/>
                <w:sz w:val="24"/>
                <w:szCs w:val="24"/>
                <w:highlight w:val="none"/>
                <w14:textFill>
                  <w14:solidFill>
                    <w14:schemeClr w14:val="tx1"/>
                  </w14:solidFill>
                </w14:textFill>
              </w:rPr>
            </w:pPr>
            <w:r>
              <w:rPr>
                <w:color w:val="000000" w:themeColor="text1"/>
                <w:kern w:val="24"/>
                <w:sz w:val="24"/>
                <w:szCs w:val="24"/>
                <w:highlight w:val="none"/>
                <w14:textFill>
                  <w14:solidFill>
                    <w14:schemeClr w14:val="tx1"/>
                  </w14:solidFill>
                </w14:textFill>
              </w:rPr>
              <w:t>（4）加强运输车辆管理，合理安排进出厂区的时间，避免同一时段同时多</w:t>
            </w:r>
            <w:r>
              <w:rPr>
                <w:rFonts w:hint="default"/>
                <w:color w:val="000000" w:themeColor="text1"/>
                <w:kern w:val="24"/>
                <w:sz w:val="24"/>
                <w:szCs w:val="24"/>
                <w:highlight w:val="none"/>
                <w14:textFill>
                  <w14:solidFill>
                    <w14:schemeClr w14:val="tx1"/>
                  </w14:solidFill>
                </w14:textFill>
              </w:rPr>
              <w:t>辆车</w:t>
            </w:r>
            <w:r>
              <w:rPr>
                <w:color w:val="000000" w:themeColor="text1"/>
                <w:kern w:val="24"/>
                <w:sz w:val="24"/>
                <w:szCs w:val="24"/>
                <w:highlight w:val="none"/>
                <w14:textFill>
                  <w14:solidFill>
                    <w14:schemeClr w14:val="tx1"/>
                  </w14:solidFill>
                </w14:textFill>
              </w:rPr>
              <w:t>进出和夜间进出，同时对进出厂内的车辆禁止鸣笛，进行规范化管理</w:t>
            </w:r>
            <w:r>
              <w:rPr>
                <w:rFonts w:hint="default"/>
                <w:color w:val="000000" w:themeColor="text1"/>
                <w:kern w:val="24"/>
                <w:sz w:val="24"/>
                <w:szCs w:val="24"/>
                <w:highlight w:val="none"/>
                <w:lang w:eastAsia="zh-CN"/>
                <w14:textFill>
                  <w14:solidFill>
                    <w14:schemeClr w14:val="tx1"/>
                  </w14:solidFill>
                </w14:textFill>
              </w:rPr>
              <w:t>。</w:t>
            </w:r>
          </w:p>
          <w:p w14:paraId="5C28DD5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color w:val="000000" w:themeColor="text1"/>
                <w:kern w:val="24"/>
                <w:sz w:val="24"/>
                <w:szCs w:val="24"/>
                <w:highlight w:val="none"/>
                <w14:textFill>
                  <w14:solidFill>
                    <w14:schemeClr w14:val="tx1"/>
                  </w14:solidFill>
                </w14:textFill>
              </w:rPr>
            </w:pPr>
            <w:r>
              <w:rPr>
                <w:color w:val="000000" w:themeColor="text1"/>
                <w:kern w:val="24"/>
                <w:sz w:val="24"/>
                <w:szCs w:val="24"/>
                <w:highlight w:val="none"/>
                <w14:textFill>
                  <w14:solidFill>
                    <w14:schemeClr w14:val="tx1"/>
                  </w14:solidFill>
                </w14:textFill>
              </w:rPr>
              <w:t>综上所述，建设项目噪声排放对周围的环境影响较小，噪声</w:t>
            </w:r>
            <w:r>
              <w:rPr>
                <w:rFonts w:hint="default"/>
                <w:color w:val="000000" w:themeColor="text1"/>
                <w:kern w:val="24"/>
                <w:sz w:val="24"/>
                <w:szCs w:val="24"/>
                <w:highlight w:val="none"/>
                <w14:textFill>
                  <w14:solidFill>
                    <w14:schemeClr w14:val="tx1"/>
                  </w14:solidFill>
                </w14:textFill>
              </w:rPr>
              <w:t>防治</w:t>
            </w:r>
            <w:r>
              <w:rPr>
                <w:color w:val="000000" w:themeColor="text1"/>
                <w:kern w:val="24"/>
                <w:sz w:val="24"/>
                <w:szCs w:val="24"/>
                <w:highlight w:val="none"/>
                <w14:textFill>
                  <w14:solidFill>
                    <w14:schemeClr w14:val="tx1"/>
                  </w14:solidFill>
                </w14:textFill>
              </w:rPr>
              <w:t>措施可行。企业在生产过程中应注意加强设备噪声治理，在项目</w:t>
            </w:r>
            <w:r>
              <w:rPr>
                <w:rFonts w:hint="eastAsia"/>
                <w:color w:val="000000" w:themeColor="text1"/>
                <w:kern w:val="24"/>
                <w:sz w:val="24"/>
                <w:szCs w:val="24"/>
                <w:highlight w:val="none"/>
                <w:lang w:val="en-US" w:eastAsia="zh-CN"/>
                <w14:textFill>
                  <w14:solidFill>
                    <w14:schemeClr w14:val="tx1"/>
                  </w14:solidFill>
                </w14:textFill>
              </w:rPr>
              <w:t>建设</w:t>
            </w:r>
            <w:r>
              <w:rPr>
                <w:color w:val="000000" w:themeColor="text1"/>
                <w:kern w:val="24"/>
                <w:sz w:val="24"/>
                <w:szCs w:val="24"/>
                <w:highlight w:val="none"/>
                <w14:textFill>
                  <w14:solidFill>
                    <w14:schemeClr w14:val="tx1"/>
                  </w14:solidFill>
                </w14:textFill>
              </w:rPr>
              <w:t>过程中应重视减震工程的设计及施工质量。确保厂界噪声达标，</w:t>
            </w:r>
            <w:r>
              <w:rPr>
                <w:rFonts w:hint="default"/>
                <w:color w:val="000000" w:themeColor="text1"/>
                <w:kern w:val="24"/>
                <w:sz w:val="24"/>
                <w:szCs w:val="24"/>
                <w:highlight w:val="none"/>
                <w14:textFill>
                  <w14:solidFill>
                    <w14:schemeClr w14:val="tx1"/>
                  </w14:solidFill>
                </w14:textFill>
              </w:rPr>
              <w:t>对环境影响较小</w:t>
            </w:r>
            <w:r>
              <w:rPr>
                <w:color w:val="000000" w:themeColor="text1"/>
                <w:kern w:val="24"/>
                <w:sz w:val="24"/>
                <w:szCs w:val="24"/>
                <w:highlight w:val="none"/>
                <w14:textFill>
                  <w14:solidFill>
                    <w14:schemeClr w14:val="tx1"/>
                  </w14:solidFill>
                </w14:textFill>
              </w:rPr>
              <w:t>。</w:t>
            </w:r>
          </w:p>
          <w:p w14:paraId="609ECFE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t>5.监测要求</w:t>
            </w:r>
          </w:p>
          <w:p w14:paraId="067DD9A6">
            <w:pPr>
              <w:keepNext w:val="0"/>
              <w:keepLines w:val="0"/>
              <w:pageBreakBefore w:val="0"/>
              <w:widowControl w:val="0"/>
              <w:kinsoku/>
              <w:wordWrap/>
              <w:overflowPunct/>
              <w:topLinePunct/>
              <w:autoSpaceDE/>
              <w:autoSpaceDN/>
              <w:bidi w:val="0"/>
              <w:adjustRightInd w:val="0"/>
              <w:snapToGrid w:val="0"/>
              <w:spacing w:line="360" w:lineRule="auto"/>
              <w:ind w:left="0" w:leftChars="0" w:right="0" w:rightChars="0" w:firstLine="480" w:firstLineChars="200"/>
              <w:textAlignment w:val="auto"/>
              <w:rPr>
                <w:rFonts w:hint="eastAsia" w:cs="Times New Roman"/>
                <w:color w:val="000000" w:themeColor="text1"/>
                <w:sz w:val="24"/>
                <w:szCs w:val="24"/>
                <w:lang w:val="en-US" w:eastAsia="zh-CN"/>
                <w14:textFill>
                  <w14:solidFill>
                    <w14:schemeClr w14:val="tx1"/>
                  </w14:solidFill>
                </w14:textFill>
              </w:rPr>
            </w:pPr>
            <w:r>
              <w:rPr>
                <w:color w:val="000000" w:themeColor="text1"/>
                <w:kern w:val="24"/>
                <w:sz w:val="24"/>
                <w:szCs w:val="24"/>
                <w:highlight w:val="none"/>
                <w14:textFill>
                  <w14:solidFill>
                    <w14:schemeClr w14:val="tx1"/>
                  </w14:solidFill>
                </w14:textFill>
              </w:rPr>
              <w:t>根据</w:t>
            </w:r>
            <w:r>
              <w:rPr>
                <w:rFonts w:hint="eastAsia"/>
                <w:color w:val="000000" w:themeColor="text1"/>
                <w:kern w:val="24"/>
                <w:sz w:val="24"/>
                <w:szCs w:val="24"/>
                <w:highlight w:val="none"/>
                <w14:textFill>
                  <w14:solidFill>
                    <w14:schemeClr w14:val="tx1"/>
                  </w14:solidFill>
                </w14:textFill>
              </w:rPr>
              <w:t>《关于开展工业噪声排污许可管理工作的通知》（环办环评〔2023〕14号）规定：按照《国民经济行业分类》（GB/T4754）属于工业行业（行业门类为B、C、D）的，且依据《固定污染源排污许可分类管理名录（2019年版）》（以下简称“排污许可名录”）属于第3至99类应当纳入排污许可管理的排污单位（以下简称“工业噪声排污单位”），其排污许可证申请表须按《排污许可证申请与核发技术规范 工业噪声》（HJ1301—2023，以下简称“工业噪声技术规范”）填报工业噪声排放信息。加油站、储油库、码头、环境治理业等不属于工业行业（行业门类为B、C、D）或者不属于《排污许可名录》第3至99类应当纳入排污许可管理的排污单位，其排污许可证申请表无须填报工业噪声相关内容。</w:t>
            </w:r>
            <w:r>
              <w:rPr>
                <w:rFonts w:hint="eastAsia"/>
                <w:color w:val="000000" w:themeColor="text1"/>
                <w:kern w:val="24"/>
                <w:sz w:val="24"/>
                <w:szCs w:val="24"/>
                <w:highlight w:val="none"/>
                <w:lang w:val="en-US" w:eastAsia="zh-CN"/>
                <w14:textFill>
                  <w14:solidFill>
                    <w14:schemeClr w14:val="tx1"/>
                  </w14:solidFill>
                </w14:textFill>
              </w:rPr>
              <w:t>本项目未加油加气站项目，属于F类</w:t>
            </w:r>
            <w:r>
              <w:rPr>
                <w:rFonts w:hint="default" w:ascii="Times New Roman" w:hAnsi="Times New Roman" w:eastAsia="宋体" w:cs="Times New Roman"/>
                <w:color w:val="000000" w:themeColor="text1"/>
                <w:sz w:val="24"/>
                <w:szCs w:val="24"/>
                <w14:textFill>
                  <w14:solidFill>
                    <w14:schemeClr w14:val="tx1"/>
                  </w14:solidFill>
                </w14:textFill>
              </w:rPr>
              <w:t>机动车燃</w:t>
            </w:r>
            <w:r>
              <w:rPr>
                <w:rFonts w:hint="default" w:ascii="Times New Roman" w:hAnsi="Times New Roman" w:eastAsia="宋体" w:cs="Times New Roman"/>
                <w:color w:val="000000" w:themeColor="text1"/>
                <w:sz w:val="24"/>
                <w:szCs w:val="24"/>
                <w:lang w:eastAsia="zh-CN"/>
                <w14:textFill>
                  <w14:solidFill>
                    <w14:schemeClr w14:val="tx1"/>
                  </w14:solidFill>
                </w14:textFill>
              </w:rPr>
              <w:t>油</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燃气</w:t>
            </w:r>
            <w:r>
              <w:rPr>
                <w:rFonts w:hint="default" w:ascii="Times New Roman" w:hAnsi="Times New Roman" w:eastAsia="宋体" w:cs="Times New Roman"/>
                <w:color w:val="000000" w:themeColor="text1"/>
                <w:sz w:val="24"/>
                <w:szCs w:val="24"/>
                <w14:textFill>
                  <w14:solidFill>
                    <w14:schemeClr w14:val="tx1"/>
                  </w14:solidFill>
                </w14:textFill>
              </w:rPr>
              <w:t>零售</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因此无需开展噪声的例行监测工作。</w:t>
            </w:r>
          </w:p>
          <w:p w14:paraId="13613D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t>4.2.4 固体废物影响和保护措施</w:t>
            </w:r>
          </w:p>
          <w:p w14:paraId="36D5F641">
            <w:pPr>
              <w:keepNext w:val="0"/>
              <w:keepLines w:val="0"/>
              <w:pageBreakBefore w:val="0"/>
              <w:widowControl w:val="0"/>
              <w:kinsoku/>
              <w:wordWrap/>
              <w:overflowPunct/>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1.固废产生情况</w:t>
            </w:r>
          </w:p>
          <w:p w14:paraId="338E69E8">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本项目运营期固体废物为危险废物及生活垃圾。</w:t>
            </w:r>
          </w:p>
          <w:p w14:paraId="61A1648C">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lang w:eastAsia="zh-CN"/>
                <w14:textFill>
                  <w14:solidFill>
                    <w14:schemeClr w14:val="tx1"/>
                  </w14:solidFill>
                </w14:textFill>
              </w:rPr>
              <w:t>生活垃圾</w:t>
            </w:r>
            <w:r>
              <w:rPr>
                <w:rFonts w:hint="default" w:ascii="Times New Roman" w:hAnsi="Times New Roman" w:eastAsia="宋体" w:cs="Times New Roman"/>
                <w:color w:val="000000" w:themeColor="text1"/>
                <w:sz w:val="24"/>
                <w14:textFill>
                  <w14:solidFill>
                    <w14:schemeClr w14:val="tx1"/>
                  </w14:solidFill>
                </w14:textFill>
              </w:rPr>
              <w:t>本项目动定员</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人，每人产生的生活垃圾按</w:t>
            </w:r>
            <w:r>
              <w:rPr>
                <w:rFonts w:hint="eastAsia" w:ascii="Times New Roman" w:hAnsi="Times New Roman" w:eastAsia="宋体" w:cs="Times New Roman"/>
                <w:color w:val="000000" w:themeColor="text1"/>
                <w:sz w:val="24"/>
                <w:lang w:val="en-US" w:eastAsia="zh-CN"/>
                <w14:textFill>
                  <w14:solidFill>
                    <w14:schemeClr w14:val="tx1"/>
                  </w14:solidFill>
                </w14:textFill>
              </w:rPr>
              <w:t>0.5</w:t>
            </w:r>
            <w:r>
              <w:rPr>
                <w:rFonts w:hint="default" w:ascii="Times New Roman" w:hAnsi="Times New Roman" w:eastAsia="宋体" w:cs="Times New Roman"/>
                <w:color w:val="000000" w:themeColor="text1"/>
                <w:sz w:val="24"/>
                <w14:textFill>
                  <w14:solidFill>
                    <w14:schemeClr w14:val="tx1"/>
                  </w14:solidFill>
                </w14:textFill>
              </w:rPr>
              <w:t>kg/d计，</w:t>
            </w:r>
            <w:r>
              <w:rPr>
                <w:rFonts w:hint="default" w:ascii="Times New Roman" w:hAnsi="Times New Roman" w:eastAsia="宋体" w:cs="Times New Roman"/>
                <w:color w:val="000000" w:themeColor="text1"/>
                <w:sz w:val="24"/>
                <w:szCs w:val="24"/>
                <w14:textFill>
                  <w14:solidFill>
                    <w14:schemeClr w14:val="tx1"/>
                  </w14:solidFill>
                </w14:textFill>
              </w:rPr>
              <w:t>流动人数</w:t>
            </w:r>
            <w:r>
              <w:rPr>
                <w:rFonts w:hint="eastAsia" w:ascii="Times New Roman" w:hAnsi="Times New Roman" w:eastAsia="宋体" w:cs="Times New Roman"/>
                <w:color w:val="000000" w:themeColor="text1"/>
                <w:sz w:val="24"/>
                <w:szCs w:val="24"/>
                <w:lang w:eastAsia="zh-CN"/>
                <w14:textFill>
                  <w14:solidFill>
                    <w14:schemeClr w14:val="tx1"/>
                  </w14:solidFill>
                </w14:textFill>
              </w:rPr>
              <w:t>按</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200</w:t>
            </w:r>
            <w:r>
              <w:rPr>
                <w:rFonts w:hint="default" w:ascii="Times New Roman" w:hAnsi="Times New Roman" w:eastAsia="宋体" w:cs="Times New Roman"/>
                <w:color w:val="000000" w:themeColor="text1"/>
                <w:sz w:val="24"/>
                <w:szCs w:val="24"/>
                <w14:textFill>
                  <w14:solidFill>
                    <w14:schemeClr w14:val="tx1"/>
                  </w14:solidFill>
                </w14:textFill>
              </w:rPr>
              <w:t>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产生垃圾按</w:t>
            </w:r>
            <w:r>
              <w:rPr>
                <w:rFonts w:hint="default" w:ascii="Times New Roman" w:hAnsi="Times New Roman" w:eastAsia="宋体" w:cs="Times New Roman"/>
                <w:color w:val="000000" w:themeColor="text1"/>
                <w:sz w:val="24"/>
                <w:szCs w:val="24"/>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kg/人·天计</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则产生的生活垃圾为</w:t>
            </w:r>
            <w:r>
              <w:rPr>
                <w:rFonts w:hint="eastAsia" w:ascii="Times New Roman" w:hAnsi="Times New Roman" w:eastAsia="宋体" w:cs="Times New Roman"/>
                <w:color w:val="000000" w:themeColor="text1"/>
                <w:sz w:val="24"/>
                <w:lang w:val="en-US" w:eastAsia="zh-CN"/>
                <w14:textFill>
                  <w14:solidFill>
                    <w14:schemeClr w14:val="tx1"/>
                  </w14:solidFill>
                </w14:textFill>
              </w:rPr>
              <w:t>9.</w:t>
            </w:r>
            <w:r>
              <w:rPr>
                <w:rFonts w:hint="eastAsia" w:cs="Times New Roman"/>
                <w:color w:val="000000" w:themeColor="text1"/>
                <w:sz w:val="24"/>
                <w:lang w:val="en-US" w:eastAsia="zh-CN"/>
                <w14:textFill>
                  <w14:solidFill>
                    <w14:schemeClr w14:val="tx1"/>
                  </w14:solidFill>
                </w14:textFill>
              </w:rPr>
              <w:t>125</w:t>
            </w:r>
            <w:r>
              <w:rPr>
                <w:rFonts w:hint="default" w:ascii="Times New Roman" w:hAnsi="Times New Roman" w:eastAsia="宋体" w:cs="Times New Roman"/>
                <w:color w:val="000000" w:themeColor="text1"/>
                <w:sz w:val="24"/>
                <w14:textFill>
                  <w14:solidFill>
                    <w14:schemeClr w14:val="tx1"/>
                  </w14:solidFill>
                </w14:textFill>
              </w:rPr>
              <w:t>t/a。生活垃圾统一分类收集，由</w:t>
            </w:r>
            <w:r>
              <w:rPr>
                <w:rFonts w:hint="eastAsia" w:cs="Times New Roman"/>
                <w:color w:val="000000" w:themeColor="text1"/>
                <w:sz w:val="24"/>
                <w:lang w:val="en-US" w:eastAsia="zh-CN"/>
                <w14:textFill>
                  <w14:solidFill>
                    <w14:schemeClr w14:val="tx1"/>
                  </w14:solidFill>
                </w14:textFill>
              </w:rPr>
              <w:t>玛纳斯县</w:t>
            </w:r>
            <w:r>
              <w:rPr>
                <w:rFonts w:hint="default" w:ascii="Times New Roman" w:hAnsi="Times New Roman" w:eastAsia="宋体" w:cs="Times New Roman"/>
                <w:color w:val="000000" w:themeColor="text1"/>
                <w:sz w:val="24"/>
                <w14:textFill>
                  <w14:solidFill>
                    <w14:schemeClr w14:val="tx1"/>
                  </w14:solidFill>
                </w14:textFill>
              </w:rPr>
              <w:t>环卫部门进行清运处理。</w:t>
            </w:r>
          </w:p>
          <w:p w14:paraId="2A7D6F0A">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0"/>
                <w:sz w:val="24"/>
                <w:lang w:val="en-US" w:eastAsia="zh-CN"/>
                <w14:textFill>
                  <w14:solidFill>
                    <w14:schemeClr w14:val="tx1"/>
                  </w14:solidFill>
                </w14:textFill>
              </w:rPr>
              <w:t>危险废物</w:t>
            </w:r>
          </w:p>
          <w:p w14:paraId="38165974">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根据《国家危险废物名录》（2021年）判别，本项目生产过程中危险废物产生情况如下：</w:t>
            </w:r>
          </w:p>
          <w:p w14:paraId="1D453B1D">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1）含油废手套、废抹布</w:t>
            </w:r>
          </w:p>
          <w:p w14:paraId="276B7338">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项目运营后，日常加油过程中会产生废弃的含油手套、废抹布，根据建设单位提供的经验数据，含油废弃手套、抹布产生量约为0.</w:t>
            </w:r>
            <w:r>
              <w:rPr>
                <w:rFonts w:hint="eastAsia" w:cs="Times New Roman"/>
                <w:color w:val="000000" w:themeColor="text1"/>
                <w:kern w:val="0"/>
                <w:sz w:val="24"/>
                <w:lang w:val="en-US" w:eastAsia="zh-CN"/>
                <w14:textFill>
                  <w14:solidFill>
                    <w14:schemeClr w14:val="tx1"/>
                  </w14:solidFill>
                </w14:textFill>
              </w:rPr>
              <w:t>01</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t/a。根据《国家危险废物名录》（2021年）附录危险废物，本项目产生的废弃含油手套、废抹布属于900-041-49废弃的含油抹布、劳保用品，</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根据危险废物豁免管理清单，本项目含有废手套、废抹布</w:t>
            </w:r>
            <w:r>
              <w:rPr>
                <w:rFonts w:hint="eastAsia" w:cs="Times New Roman"/>
                <w:color w:val="000000" w:themeColor="text1"/>
                <w:kern w:val="0"/>
                <w:sz w:val="24"/>
                <w:lang w:val="en-US" w:eastAsia="zh-CN"/>
                <w14:textFill>
                  <w14:solidFill>
                    <w14:schemeClr w14:val="tx1"/>
                  </w14:solidFill>
                </w14:textFill>
              </w:rPr>
              <w:t>豁免环节为全部环节，豁免内容为全过程不按危险废物管理，因此</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本项目产生的废弃含油手套、废抹布</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不按危险废物管理，随生活垃圾收集后，</w:t>
            </w:r>
            <w:r>
              <w:rPr>
                <w:rFonts w:hint="default" w:ascii="Times New Roman" w:hAnsi="Times New Roman" w:eastAsia="宋体" w:cs="Times New Roman"/>
                <w:color w:val="000000" w:themeColor="text1"/>
                <w:sz w:val="24"/>
                <w14:textFill>
                  <w14:solidFill>
                    <w14:schemeClr w14:val="tx1"/>
                  </w14:solidFill>
                </w14:textFill>
              </w:rPr>
              <w:t>由环卫部门进行清运处理</w:t>
            </w:r>
            <w:r>
              <w:rPr>
                <w:rFonts w:hint="eastAsia" w:cs="Times New Roman"/>
                <w:color w:val="000000" w:themeColor="text1"/>
                <w:sz w:val="24"/>
                <w:lang w:eastAsia="zh-CN"/>
                <w14:textFill>
                  <w14:solidFill>
                    <w14:schemeClr w14:val="tx1"/>
                  </w14:solidFill>
                </w14:textFill>
              </w:rPr>
              <w:t>。</w:t>
            </w:r>
          </w:p>
          <w:p w14:paraId="79A676AA">
            <w:pPr>
              <w:pStyle w:val="2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2）隔油池废油</w:t>
            </w:r>
          </w:p>
          <w:p w14:paraId="47F54922">
            <w:pPr>
              <w:pStyle w:val="2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隔油沉淀池产生的含油淤泥废渣约0.004t/a，属于《国家危险废物名录（2021年本）》中的HW08（含油废水处理中隔油、气浮、沉淀等处理过程中产生的浮油、浮渣和污泥（不包括废水生化处理污泥），编号：900-210-08），隔油沉淀池的清理由专业清掏工人进行，</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随清随运，不在站内储存</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，委托有危废处置资质的单位进行安全处置。</w:t>
            </w:r>
          </w:p>
          <w:p w14:paraId="18796B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3）油泥</w:t>
            </w:r>
          </w:p>
          <w:p w14:paraId="7491BCEC">
            <w:pPr>
              <w:pStyle w:val="2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油罐底部油泥成品油中含有少量杂质，在储存过程中将沉积到油罐底部形成油泥，油罐底部油泥堆积过多将影响油罐的正常使用，故需定期清理。本项目的油罐底部油泥产生量约为</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0.3</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t/次，根据《国家危险废物名录（2021年版）》中相关内容，其属于危险固废，编号为HW08，废物代码为900-221-08“废燃料油及燃料油储存过程中产生的油泥”，危险特性为T，I，定期由危险危废处理单位的专业人员使用专业油罐清洗设备进行清理，油罐三年清洗一次，清洗过程不产生废水，建议清理出的油泥委托有危险废物处理资质的公司运走处理处置，随清随运，不在站内储存。</w:t>
            </w:r>
          </w:p>
          <w:p w14:paraId="21903758">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color w:val="000000" w:themeColor="text1"/>
                <w:kern w:val="2"/>
                <w:sz w:val="2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14:textFill>
                  <w14:solidFill>
                    <w14:schemeClr w14:val="tx1"/>
                  </w14:solidFill>
                </w14:textFill>
              </w:rPr>
              <w:t>表4-</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1</w:t>
            </w:r>
            <w:r>
              <w:rPr>
                <w:rFonts w:hint="eastAsia" w:cs="Times New Roman"/>
                <w:color w:val="000000" w:themeColor="text1"/>
                <w:kern w:val="2"/>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2"/>
                <w:sz w:val="21"/>
                <w:szCs w:val="21"/>
                <w:lang w:val="en-US"/>
                <w14:textFill>
                  <w14:solidFill>
                    <w14:schemeClr w14:val="tx1"/>
                  </w14:solidFill>
                </w14:textFill>
              </w:rPr>
              <w:t xml:space="preserve">  项目固废排放信息一览表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1403"/>
              <w:gridCol w:w="1349"/>
              <w:gridCol w:w="1601"/>
              <w:gridCol w:w="1570"/>
              <w:gridCol w:w="1357"/>
            </w:tblGrid>
            <w:tr w14:paraId="2234E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0" w:type="pct"/>
                  <w:gridSpan w:val="2"/>
                  <w:tcBorders>
                    <w:tl2br w:val="nil"/>
                    <w:tr2bl w:val="nil"/>
                  </w:tcBorders>
                  <w:vAlign w:val="center"/>
                </w:tcPr>
                <w:p w14:paraId="60B28879">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名称</w:t>
                  </w:r>
                </w:p>
              </w:tc>
              <w:tc>
                <w:tcPr>
                  <w:tcW w:w="817" w:type="pct"/>
                  <w:tcBorders>
                    <w:tl2br w:val="nil"/>
                    <w:tr2bl w:val="nil"/>
                  </w:tcBorders>
                  <w:vAlign w:val="center"/>
                </w:tcPr>
                <w:p w14:paraId="532B000E">
                  <w:pPr>
                    <w:pStyle w:val="98"/>
                    <w:keepNext w:val="0"/>
                    <w:keepLines w:val="0"/>
                    <w:pageBreakBefore w:val="0"/>
                    <w:widowControl w:val="0"/>
                    <w:kinsoku/>
                    <w:wordWrap/>
                    <w:overflowPunct/>
                    <w:autoSpaceDE/>
                    <w:autoSpaceDN/>
                    <w:bidi w:val="0"/>
                    <w:adjustRightInd w:val="0"/>
                    <w:snapToGrid w:val="0"/>
                    <w:textAlignment w:val="auto"/>
                    <w:rPr>
                      <w:rFonts w:hint="eastAsia" w:ascii="Times New Roman" w:hAnsi="Times New Roman" w:eastAsia="宋体" w:cs="Times New Roman"/>
                      <w:b w:val="0"/>
                      <w:bCs/>
                      <w:color w:val="000000" w:themeColor="text1"/>
                      <w:kern w:val="2"/>
                      <w:szCs w:val="21"/>
                      <w:lang w:eastAsia="zh-CN"/>
                      <w14:textFill>
                        <w14:solidFill>
                          <w14:schemeClr w14:val="tx1"/>
                        </w14:solidFill>
                      </w14:textFill>
                    </w:rPr>
                  </w:pPr>
                  <w:r>
                    <w:rPr>
                      <w:rFonts w:hint="eastAsia" w:eastAsia="宋体" w:cs="Times New Roman"/>
                      <w:b w:val="0"/>
                      <w:bCs/>
                      <w:color w:val="000000" w:themeColor="text1"/>
                      <w:kern w:val="2"/>
                      <w:szCs w:val="21"/>
                      <w:lang w:eastAsia="zh-CN"/>
                      <w14:textFill>
                        <w14:solidFill>
                          <w14:schemeClr w14:val="tx1"/>
                        </w14:solidFill>
                      </w14:textFill>
                    </w:rPr>
                    <w:t>生活垃圾</w:t>
                  </w:r>
                </w:p>
              </w:tc>
              <w:tc>
                <w:tcPr>
                  <w:tcW w:w="969" w:type="pct"/>
                  <w:tcBorders>
                    <w:tl2br w:val="nil"/>
                    <w:tr2bl w:val="nil"/>
                  </w:tcBorders>
                  <w:vAlign w:val="center"/>
                </w:tcPr>
                <w:p w14:paraId="57DD3B7E">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t>含油废手套、废抹布</w:t>
                  </w:r>
                </w:p>
              </w:tc>
              <w:tc>
                <w:tcPr>
                  <w:tcW w:w="951" w:type="pct"/>
                  <w:tcBorders>
                    <w:tl2br w:val="nil"/>
                    <w:tr2bl w:val="nil"/>
                  </w:tcBorders>
                  <w:vAlign w:val="center"/>
                </w:tcPr>
                <w:p w14:paraId="70BA8ACE">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t>隔油池废油</w:t>
                  </w:r>
                </w:p>
              </w:tc>
              <w:tc>
                <w:tcPr>
                  <w:tcW w:w="820" w:type="pct"/>
                  <w:tcBorders>
                    <w:tl2br w:val="nil"/>
                    <w:tr2bl w:val="nil"/>
                  </w:tcBorders>
                  <w:vAlign w:val="center"/>
                </w:tcPr>
                <w:p w14:paraId="67F5CD7E">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t>油泥</w:t>
                  </w:r>
                </w:p>
              </w:tc>
            </w:tr>
            <w:tr w14:paraId="50AE2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0" w:type="pct"/>
                  <w:gridSpan w:val="2"/>
                  <w:tcBorders>
                    <w:tl2br w:val="nil"/>
                    <w:tr2bl w:val="nil"/>
                  </w:tcBorders>
                  <w:vAlign w:val="center"/>
                </w:tcPr>
                <w:p w14:paraId="249A53F9">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lang w:val="en-US"/>
                      <w14:textFill>
                        <w14:solidFill>
                          <w14:schemeClr w14:val="tx1"/>
                        </w14:solidFill>
                      </w14:textFill>
                    </w:rPr>
                    <w:t>产生环节</w:t>
                  </w:r>
                </w:p>
              </w:tc>
              <w:tc>
                <w:tcPr>
                  <w:tcW w:w="817" w:type="pct"/>
                  <w:tcBorders>
                    <w:tl2br w:val="nil"/>
                    <w:tr2bl w:val="nil"/>
                  </w:tcBorders>
                  <w:vAlign w:val="center"/>
                </w:tcPr>
                <w:p w14:paraId="35AF7A42">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val="0"/>
                      <w:bCs/>
                      <w:color w:val="000000" w:themeColor="text1"/>
                      <w:kern w:val="2"/>
                      <w:szCs w:val="21"/>
                      <w14:textFill>
                        <w14:solidFill>
                          <w14:schemeClr w14:val="tx1"/>
                        </w14:solidFill>
                      </w14:textFill>
                    </w:rPr>
                  </w:pPr>
                  <w:r>
                    <w:rPr>
                      <w:rFonts w:hint="eastAsia" w:eastAsia="宋体" w:cs="Times New Roman"/>
                      <w:b w:val="0"/>
                      <w:bCs/>
                      <w:color w:val="000000" w:themeColor="text1"/>
                      <w:kern w:val="2"/>
                      <w:szCs w:val="21"/>
                      <w:lang w:eastAsia="zh-CN"/>
                      <w14:textFill>
                        <w14:solidFill>
                          <w14:schemeClr w14:val="tx1"/>
                        </w14:solidFill>
                      </w14:textFill>
                    </w:rPr>
                    <w:t>职工及顾客</w:t>
                  </w:r>
                </w:p>
              </w:tc>
              <w:tc>
                <w:tcPr>
                  <w:tcW w:w="969" w:type="pct"/>
                  <w:tcBorders>
                    <w:tl2br w:val="nil"/>
                    <w:tr2bl w:val="nil"/>
                  </w:tcBorders>
                  <w:vAlign w:val="center"/>
                </w:tcPr>
                <w:p w14:paraId="4B2D758D">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Cs w:val="21"/>
                      <w14:textFill>
                        <w14:solidFill>
                          <w14:schemeClr w14:val="tx1"/>
                        </w14:solidFill>
                      </w14:textFill>
                    </w:rPr>
                    <w:t>设备</w:t>
                  </w:r>
                  <w:r>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t>维护</w:t>
                  </w:r>
                </w:p>
              </w:tc>
              <w:tc>
                <w:tcPr>
                  <w:tcW w:w="951" w:type="pct"/>
                  <w:tcBorders>
                    <w:tl2br w:val="nil"/>
                    <w:tr2bl w:val="nil"/>
                  </w:tcBorders>
                  <w:vAlign w:val="center"/>
                </w:tcPr>
                <w:p w14:paraId="1B5C6A36">
                  <w:pPr>
                    <w:pStyle w:val="98"/>
                    <w:keepNext w:val="0"/>
                    <w:keepLines w:val="0"/>
                    <w:pageBreakBefore w:val="0"/>
                    <w:widowControl w:val="0"/>
                    <w:kinsoku/>
                    <w:wordWrap/>
                    <w:overflowPunct/>
                    <w:autoSpaceDE/>
                    <w:autoSpaceDN/>
                    <w:bidi w:val="0"/>
                    <w:adjustRightInd w:val="0"/>
                    <w:snapToGrid w:val="0"/>
                    <w:textAlignment w:val="auto"/>
                    <w:rPr>
                      <w:rFonts w:hint="eastAsia"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eastAsia" w:cs="Times New Roman"/>
                      <w:b w:val="0"/>
                      <w:bCs/>
                      <w:color w:val="000000" w:themeColor="text1"/>
                      <w:kern w:val="2"/>
                      <w:szCs w:val="21"/>
                      <w:lang w:val="en-US" w:eastAsia="zh-CN"/>
                      <w14:textFill>
                        <w14:solidFill>
                          <w14:schemeClr w14:val="tx1"/>
                        </w14:solidFill>
                      </w14:textFill>
                    </w:rPr>
                    <w:t>隔油池</w:t>
                  </w:r>
                </w:p>
              </w:tc>
              <w:tc>
                <w:tcPr>
                  <w:tcW w:w="820" w:type="pct"/>
                  <w:tcBorders>
                    <w:tl2br w:val="nil"/>
                    <w:tr2bl w:val="nil"/>
                  </w:tcBorders>
                  <w:vAlign w:val="center"/>
                </w:tcPr>
                <w:p w14:paraId="7FDC828E">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eastAsia" w:cs="Times New Roman"/>
                      <w:b w:val="0"/>
                      <w:bCs/>
                      <w:color w:val="000000" w:themeColor="text1"/>
                      <w:kern w:val="2"/>
                      <w:szCs w:val="21"/>
                      <w:lang w:val="en-US" w:eastAsia="zh-CN"/>
                      <w14:textFill>
                        <w14:solidFill>
                          <w14:schemeClr w14:val="tx1"/>
                        </w14:solidFill>
                      </w14:textFill>
                    </w:rPr>
                    <w:t>油罐清理</w:t>
                  </w:r>
                </w:p>
              </w:tc>
            </w:tr>
            <w:tr w14:paraId="46E12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0" w:type="pct"/>
                  <w:gridSpan w:val="2"/>
                  <w:tcBorders>
                    <w:tl2br w:val="nil"/>
                    <w:tr2bl w:val="nil"/>
                  </w:tcBorders>
                  <w:vAlign w:val="center"/>
                </w:tcPr>
                <w:p w14:paraId="5A820299">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lang w:val="en-US"/>
                      <w14:textFill>
                        <w14:solidFill>
                          <w14:schemeClr w14:val="tx1"/>
                        </w14:solidFill>
                      </w14:textFill>
                    </w:rPr>
                    <w:t>属性</w:t>
                  </w:r>
                </w:p>
              </w:tc>
              <w:tc>
                <w:tcPr>
                  <w:tcW w:w="817" w:type="pct"/>
                  <w:tcBorders>
                    <w:tl2br w:val="nil"/>
                    <w:tr2bl w:val="nil"/>
                  </w:tcBorders>
                  <w:vAlign w:val="center"/>
                </w:tcPr>
                <w:p w14:paraId="61102967">
                  <w:pPr>
                    <w:keepNext w:val="0"/>
                    <w:keepLines w:val="0"/>
                    <w:pageBreakBefore w:val="0"/>
                    <w:widowControl w:val="0"/>
                    <w:kinsoku/>
                    <w:wordWrap/>
                    <w:overflowPunct/>
                    <w:autoSpaceDE/>
                    <w:autoSpaceDN/>
                    <w:bidi w:val="0"/>
                    <w:adjustRightInd w:val="0"/>
                    <w:snapToGrid w:val="0"/>
                    <w:jc w:val="center"/>
                    <w:textAlignment w:val="auto"/>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ascii="Times New Roman" w:hAnsi="Times New Roman" w:eastAsia="宋体" w:cs="Times New Roman"/>
                      <w:bCs/>
                      <w:color w:val="000000" w:themeColor="text1"/>
                      <w:szCs w:val="21"/>
                      <w:lang w:eastAsia="zh-CN"/>
                      <w14:textFill>
                        <w14:solidFill>
                          <w14:schemeClr w14:val="tx1"/>
                        </w14:solidFill>
                      </w14:textFill>
                    </w:rPr>
                    <w:t>一般固废</w:t>
                  </w:r>
                </w:p>
              </w:tc>
              <w:tc>
                <w:tcPr>
                  <w:tcW w:w="2741" w:type="pct"/>
                  <w:gridSpan w:val="3"/>
                  <w:tcBorders>
                    <w:tl2br w:val="nil"/>
                    <w:tr2bl w:val="nil"/>
                  </w:tcBorders>
                  <w:vAlign w:val="center"/>
                </w:tcPr>
                <w:p w14:paraId="64B0550E">
                  <w:pPr>
                    <w:keepNext w:val="0"/>
                    <w:keepLines w:val="0"/>
                    <w:pageBreakBefore w:val="0"/>
                    <w:widowControl w:val="0"/>
                    <w:kinsoku/>
                    <w:wordWrap/>
                    <w:overflowPunct/>
                    <w:autoSpaceDE/>
                    <w:autoSpaceDN/>
                    <w:bidi w:val="0"/>
                    <w:adjustRightInd w:val="0"/>
                    <w:snapToGrid w:val="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危险废物</w:t>
                  </w:r>
                </w:p>
              </w:tc>
            </w:tr>
            <w:tr w14:paraId="022641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0" w:type="pct"/>
                  <w:gridSpan w:val="2"/>
                  <w:tcBorders>
                    <w:tl2br w:val="nil"/>
                    <w:tr2bl w:val="nil"/>
                  </w:tcBorders>
                  <w:vAlign w:val="center"/>
                </w:tcPr>
                <w:p w14:paraId="5F869DFE">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废物</w:t>
                  </w:r>
                  <w:r>
                    <w:rPr>
                      <w:rFonts w:hint="default" w:ascii="Times New Roman" w:hAnsi="Times New Roman" w:eastAsia="宋体" w:cs="Times New Roman"/>
                      <w:bCs/>
                      <w:color w:val="000000" w:themeColor="text1"/>
                      <w:kern w:val="2"/>
                      <w:szCs w:val="21"/>
                      <w:lang w:val="en-US"/>
                      <w14:textFill>
                        <w14:solidFill>
                          <w14:schemeClr w14:val="tx1"/>
                        </w14:solidFill>
                      </w14:textFill>
                    </w:rPr>
                    <w:t>类别及</w:t>
                  </w:r>
                  <w:r>
                    <w:rPr>
                      <w:rFonts w:hint="default" w:ascii="Times New Roman" w:hAnsi="Times New Roman" w:eastAsia="宋体" w:cs="Times New Roman"/>
                      <w:bCs/>
                      <w:color w:val="000000" w:themeColor="text1"/>
                      <w:kern w:val="2"/>
                      <w:szCs w:val="21"/>
                      <w14:textFill>
                        <w14:solidFill>
                          <w14:schemeClr w14:val="tx1"/>
                        </w14:solidFill>
                      </w14:textFill>
                    </w:rPr>
                    <w:t>代码</w:t>
                  </w:r>
                </w:p>
              </w:tc>
              <w:tc>
                <w:tcPr>
                  <w:tcW w:w="817" w:type="pct"/>
                  <w:tcBorders>
                    <w:tl2br w:val="nil"/>
                    <w:tr2bl w:val="nil"/>
                  </w:tcBorders>
                  <w:vAlign w:val="center"/>
                </w:tcPr>
                <w:p w14:paraId="579CD326">
                  <w:pPr>
                    <w:pStyle w:val="98"/>
                    <w:keepNext w:val="0"/>
                    <w:keepLines w:val="0"/>
                    <w:pageBreakBefore w:val="0"/>
                    <w:widowControl w:val="0"/>
                    <w:kinsoku/>
                    <w:wordWrap/>
                    <w:overflowPunct/>
                    <w:autoSpaceDE/>
                    <w:autoSpaceDN/>
                    <w:bidi w:val="0"/>
                    <w:adjustRightInd w:val="0"/>
                    <w:snapToGrid w:val="0"/>
                    <w:textAlignment w:val="auto"/>
                    <w:rPr>
                      <w:rFonts w:hint="eastAsia"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eastAsia" w:eastAsia="宋体" w:cs="Times New Roman"/>
                      <w:b w:val="0"/>
                      <w:bCs/>
                      <w:color w:val="000000" w:themeColor="text1"/>
                      <w:kern w:val="2"/>
                      <w:szCs w:val="21"/>
                      <w:lang w:val="en-US" w:eastAsia="zh-CN"/>
                      <w14:textFill>
                        <w14:solidFill>
                          <w14:schemeClr w14:val="tx1"/>
                        </w14:solidFill>
                      </w14:textFill>
                    </w:rPr>
                    <w:t>/</w:t>
                  </w:r>
                </w:p>
              </w:tc>
              <w:tc>
                <w:tcPr>
                  <w:tcW w:w="969" w:type="pct"/>
                  <w:tcBorders>
                    <w:tl2br w:val="nil"/>
                    <w:tr2bl w:val="nil"/>
                  </w:tcBorders>
                  <w:vAlign w:val="center"/>
                </w:tcPr>
                <w:p w14:paraId="09D7B768">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val="0"/>
                      <w:bCs/>
                      <w:color w:val="000000" w:themeColor="text1"/>
                      <w:kern w:val="2"/>
                      <w:szCs w:val="21"/>
                      <w14:textFill>
                        <w14:solidFill>
                          <w14:schemeClr w14:val="tx1"/>
                        </w14:solidFill>
                      </w14:textFill>
                    </w:rPr>
                  </w:pPr>
                  <w:r>
                    <w:rPr>
                      <w:rFonts w:hint="default" w:ascii="Times New Roman" w:hAnsi="Times New Roman" w:eastAsia="宋体" w:cs="Times New Roman"/>
                      <w:b w:val="0"/>
                      <w:bCs/>
                      <w:color w:val="000000" w:themeColor="text1"/>
                      <w:kern w:val="2"/>
                      <w:szCs w:val="21"/>
                      <w14:textFill>
                        <w14:solidFill>
                          <w14:schemeClr w14:val="tx1"/>
                        </w14:solidFill>
                      </w14:textFill>
                    </w:rPr>
                    <w:t>（HW</w:t>
                  </w:r>
                  <w:r>
                    <w:rPr>
                      <w:rFonts w:hint="default" w:ascii="Times New Roman" w:hAnsi="Times New Roman" w:eastAsia="宋体" w:cs="Times New Roman"/>
                      <w:b w:val="0"/>
                      <w:bCs/>
                      <w:color w:val="000000" w:themeColor="text1"/>
                      <w:kern w:val="2"/>
                      <w:szCs w:val="21"/>
                      <w:lang w:val="en-US"/>
                      <w14:textFill>
                        <w14:solidFill>
                          <w14:schemeClr w14:val="tx1"/>
                        </w14:solidFill>
                      </w14:textFill>
                    </w:rPr>
                    <w:t>4</w:t>
                  </w:r>
                  <w:r>
                    <w:rPr>
                      <w:rFonts w:hint="default" w:ascii="Times New Roman" w:hAnsi="Times New Roman" w:eastAsia="宋体" w:cs="Times New Roman"/>
                      <w:b w:val="0"/>
                      <w:bCs/>
                      <w:color w:val="000000" w:themeColor="text1"/>
                      <w:kern w:val="2"/>
                      <w:szCs w:val="21"/>
                      <w14:textFill>
                        <w14:solidFill>
                          <w14:schemeClr w14:val="tx1"/>
                        </w14:solidFill>
                      </w14:textFill>
                    </w:rPr>
                    <w:t>9）</w:t>
                  </w:r>
                  <w:r>
                    <w:rPr>
                      <w:rFonts w:hint="default" w:ascii="Times New Roman" w:hAnsi="Times New Roman" w:eastAsia="宋体" w:cs="Times New Roman"/>
                      <w:b w:val="0"/>
                      <w:bCs/>
                      <w:color w:val="000000" w:themeColor="text1"/>
                      <w:kern w:val="2"/>
                      <w:szCs w:val="16"/>
                      <w14:textFill>
                        <w14:solidFill>
                          <w14:schemeClr w14:val="tx1"/>
                        </w14:solidFill>
                      </w14:textFill>
                    </w:rPr>
                    <w:t>900-04</w:t>
                  </w:r>
                  <w:r>
                    <w:rPr>
                      <w:rFonts w:hint="default" w:ascii="Times New Roman" w:hAnsi="Times New Roman" w:eastAsia="宋体" w:cs="Times New Roman"/>
                      <w:b w:val="0"/>
                      <w:bCs/>
                      <w:color w:val="000000" w:themeColor="text1"/>
                      <w:kern w:val="2"/>
                      <w:szCs w:val="16"/>
                      <w:lang w:val="en-US"/>
                      <w14:textFill>
                        <w14:solidFill>
                          <w14:schemeClr w14:val="tx1"/>
                        </w14:solidFill>
                      </w14:textFill>
                    </w:rPr>
                    <w:t>1</w:t>
                  </w:r>
                  <w:r>
                    <w:rPr>
                      <w:rFonts w:hint="default" w:ascii="Times New Roman" w:hAnsi="Times New Roman" w:eastAsia="宋体" w:cs="Times New Roman"/>
                      <w:b w:val="0"/>
                      <w:bCs/>
                      <w:color w:val="000000" w:themeColor="text1"/>
                      <w:kern w:val="2"/>
                      <w:szCs w:val="16"/>
                      <w14:textFill>
                        <w14:solidFill>
                          <w14:schemeClr w14:val="tx1"/>
                        </w14:solidFill>
                      </w14:textFill>
                    </w:rPr>
                    <w:t>-49</w:t>
                  </w:r>
                </w:p>
              </w:tc>
              <w:tc>
                <w:tcPr>
                  <w:tcW w:w="951" w:type="pct"/>
                  <w:tcBorders>
                    <w:tl2br w:val="nil"/>
                    <w:tr2bl w:val="nil"/>
                  </w:tcBorders>
                  <w:vAlign w:val="center"/>
                </w:tcPr>
                <w:p w14:paraId="4AB7BD1B">
                  <w:pPr>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val="0"/>
                      <w:bCs/>
                      <w:color w:val="000000" w:themeColor="text1"/>
                      <w:kern w:val="2"/>
                      <w:szCs w:val="21"/>
                      <w14:textFill>
                        <w14:solidFill>
                          <w14:schemeClr w14:val="tx1"/>
                        </w14:solidFill>
                      </w14:textFill>
                    </w:rPr>
                  </w:pPr>
                  <w:r>
                    <w:rPr>
                      <w:rFonts w:hint="default" w:ascii="Times New Roman" w:hAnsi="Times New Roman" w:eastAsia="宋体" w:cs="Times New Roman"/>
                      <w:b w:val="0"/>
                      <w:bCs/>
                      <w:color w:val="000000" w:themeColor="text1"/>
                      <w:kern w:val="2"/>
                      <w:szCs w:val="21"/>
                      <w14:textFill>
                        <w14:solidFill>
                          <w14:schemeClr w14:val="tx1"/>
                        </w14:solidFill>
                      </w14:textFill>
                    </w:rPr>
                    <w:t>（HW08）900-210-08</w:t>
                  </w:r>
                </w:p>
              </w:tc>
              <w:tc>
                <w:tcPr>
                  <w:tcW w:w="820" w:type="pct"/>
                  <w:tcBorders>
                    <w:tl2br w:val="nil"/>
                    <w:tr2bl w:val="nil"/>
                  </w:tcBorders>
                  <w:vAlign w:val="center"/>
                </w:tcPr>
                <w:p w14:paraId="2412113A">
                  <w:pPr>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val="0"/>
                      <w:bCs/>
                      <w:color w:val="000000" w:themeColor="text1"/>
                      <w:kern w:val="2"/>
                      <w:szCs w:val="21"/>
                      <w14:textFill>
                        <w14:solidFill>
                          <w14:schemeClr w14:val="tx1"/>
                        </w14:solidFill>
                      </w14:textFill>
                    </w:rPr>
                  </w:pPr>
                  <w:r>
                    <w:rPr>
                      <w:rFonts w:hint="default" w:ascii="Times New Roman" w:hAnsi="Times New Roman" w:eastAsia="宋体" w:cs="Times New Roman"/>
                      <w:b w:val="0"/>
                      <w:bCs/>
                      <w:color w:val="000000" w:themeColor="text1"/>
                      <w:kern w:val="2"/>
                      <w:szCs w:val="21"/>
                      <w14:textFill>
                        <w14:solidFill>
                          <w14:schemeClr w14:val="tx1"/>
                        </w14:solidFill>
                      </w14:textFill>
                    </w:rPr>
                    <w:t>（HW08）900-221-08</w:t>
                  </w:r>
                </w:p>
              </w:tc>
            </w:tr>
            <w:tr w14:paraId="55D2E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0" w:type="pct"/>
                  <w:gridSpan w:val="2"/>
                  <w:tcBorders>
                    <w:tl2br w:val="nil"/>
                    <w:tr2bl w:val="nil"/>
                  </w:tcBorders>
                  <w:vAlign w:val="center"/>
                </w:tcPr>
                <w:p w14:paraId="68B97568">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lang w:val="en-US"/>
                      <w14:textFill>
                        <w14:solidFill>
                          <w14:schemeClr w14:val="tx1"/>
                        </w14:solidFill>
                      </w14:textFill>
                    </w:rPr>
                    <w:t>有毒有害物质名称</w:t>
                  </w:r>
                </w:p>
              </w:tc>
              <w:tc>
                <w:tcPr>
                  <w:tcW w:w="817" w:type="pct"/>
                  <w:tcBorders>
                    <w:tl2br w:val="nil"/>
                    <w:tr2bl w:val="nil"/>
                  </w:tcBorders>
                  <w:vAlign w:val="center"/>
                </w:tcPr>
                <w:p w14:paraId="3203B0A3">
                  <w:pPr>
                    <w:keepNext w:val="0"/>
                    <w:keepLines w:val="0"/>
                    <w:pageBreakBefore w:val="0"/>
                    <w:widowControl w:val="0"/>
                    <w:kinsoku/>
                    <w:wordWrap/>
                    <w:overflowPunct/>
                    <w:autoSpaceDE/>
                    <w:autoSpaceDN/>
                    <w:bidi w:val="0"/>
                    <w:adjustRightInd w:val="0"/>
                    <w:snapToGrid w:val="0"/>
                    <w:jc w:val="both"/>
                    <w:textAlignment w:val="auto"/>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969" w:type="pct"/>
                  <w:tcBorders>
                    <w:tl2br w:val="nil"/>
                    <w:tr2bl w:val="nil"/>
                  </w:tcBorders>
                  <w:vAlign w:val="center"/>
                </w:tcPr>
                <w:p w14:paraId="0C3C3288">
                  <w:pPr>
                    <w:keepNext w:val="0"/>
                    <w:keepLines w:val="0"/>
                    <w:pageBreakBefore w:val="0"/>
                    <w:widowControl w:val="0"/>
                    <w:kinsoku/>
                    <w:wordWrap/>
                    <w:overflowPunct/>
                    <w:autoSpaceDE/>
                    <w:autoSpaceDN/>
                    <w:bidi w:val="0"/>
                    <w:adjustRightInd w:val="0"/>
                    <w:snapToGrid w:val="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w:t>
                  </w:r>
                </w:p>
              </w:tc>
              <w:tc>
                <w:tcPr>
                  <w:tcW w:w="951" w:type="pct"/>
                  <w:tcBorders>
                    <w:tl2br w:val="nil"/>
                    <w:tr2bl w:val="nil"/>
                  </w:tcBorders>
                  <w:vAlign w:val="center"/>
                </w:tcPr>
                <w:p w14:paraId="75F4FF63">
                  <w:pPr>
                    <w:keepNext w:val="0"/>
                    <w:keepLines w:val="0"/>
                    <w:pageBreakBefore w:val="0"/>
                    <w:widowControl w:val="0"/>
                    <w:kinsoku/>
                    <w:wordWrap/>
                    <w:overflowPunct/>
                    <w:autoSpaceDE/>
                    <w:autoSpaceDN/>
                    <w:bidi w:val="0"/>
                    <w:adjustRightInd w:val="0"/>
                    <w:snapToGrid w:val="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w:t>
                  </w:r>
                </w:p>
              </w:tc>
              <w:tc>
                <w:tcPr>
                  <w:tcW w:w="820" w:type="pct"/>
                  <w:tcBorders>
                    <w:tl2br w:val="nil"/>
                    <w:tr2bl w:val="nil"/>
                  </w:tcBorders>
                  <w:vAlign w:val="center"/>
                </w:tcPr>
                <w:p w14:paraId="487760A6">
                  <w:pPr>
                    <w:keepNext w:val="0"/>
                    <w:keepLines w:val="0"/>
                    <w:pageBreakBefore w:val="0"/>
                    <w:widowControl w:val="0"/>
                    <w:kinsoku/>
                    <w:wordWrap/>
                    <w:overflowPunct/>
                    <w:autoSpaceDE/>
                    <w:autoSpaceDN/>
                    <w:bidi w:val="0"/>
                    <w:adjustRightInd w:val="0"/>
                    <w:snapToGrid w:val="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w:t>
                  </w:r>
                </w:p>
              </w:tc>
            </w:tr>
            <w:tr w14:paraId="54CEE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0" w:type="pct"/>
                  <w:gridSpan w:val="2"/>
                  <w:tcBorders>
                    <w:tl2br w:val="nil"/>
                    <w:tr2bl w:val="nil"/>
                  </w:tcBorders>
                  <w:vAlign w:val="center"/>
                </w:tcPr>
                <w:p w14:paraId="2488D2D1">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lang w:val="en-US"/>
                      <w14:textFill>
                        <w14:solidFill>
                          <w14:schemeClr w14:val="tx1"/>
                        </w14:solidFill>
                      </w14:textFill>
                    </w:rPr>
                    <w:t>物理性状</w:t>
                  </w:r>
                </w:p>
              </w:tc>
              <w:tc>
                <w:tcPr>
                  <w:tcW w:w="817" w:type="pct"/>
                  <w:tcBorders>
                    <w:tl2br w:val="nil"/>
                    <w:tr2bl w:val="nil"/>
                  </w:tcBorders>
                  <w:vAlign w:val="center"/>
                </w:tcPr>
                <w:p w14:paraId="5875143C">
                  <w:pPr>
                    <w:pStyle w:val="98"/>
                    <w:keepNext w:val="0"/>
                    <w:keepLines w:val="0"/>
                    <w:pageBreakBefore w:val="0"/>
                    <w:widowControl w:val="0"/>
                    <w:kinsoku/>
                    <w:wordWrap/>
                    <w:overflowPunct/>
                    <w:autoSpaceDE/>
                    <w:autoSpaceDN/>
                    <w:bidi w:val="0"/>
                    <w:adjustRightInd w:val="0"/>
                    <w:snapToGrid w:val="0"/>
                    <w:textAlignment w:val="auto"/>
                    <w:rPr>
                      <w:rFonts w:hint="eastAsia" w:ascii="Times New Roman" w:hAnsi="Times New Roman" w:eastAsia="宋体" w:cs="Times New Roman"/>
                      <w:b w:val="0"/>
                      <w:bCs/>
                      <w:color w:val="000000" w:themeColor="text1"/>
                      <w:kern w:val="2"/>
                      <w:szCs w:val="21"/>
                      <w:lang w:eastAsia="zh-CN"/>
                      <w14:textFill>
                        <w14:solidFill>
                          <w14:schemeClr w14:val="tx1"/>
                        </w14:solidFill>
                      </w14:textFill>
                    </w:rPr>
                  </w:pPr>
                  <w:r>
                    <w:rPr>
                      <w:rFonts w:hint="eastAsia" w:eastAsia="宋体" w:cs="Times New Roman"/>
                      <w:b w:val="0"/>
                      <w:bCs/>
                      <w:color w:val="000000" w:themeColor="text1"/>
                      <w:kern w:val="2"/>
                      <w:szCs w:val="21"/>
                      <w:lang w:eastAsia="zh-CN"/>
                      <w14:textFill>
                        <w14:solidFill>
                          <w14:schemeClr w14:val="tx1"/>
                        </w14:solidFill>
                      </w14:textFill>
                    </w:rPr>
                    <w:t>固态</w:t>
                  </w:r>
                </w:p>
              </w:tc>
              <w:tc>
                <w:tcPr>
                  <w:tcW w:w="969" w:type="pct"/>
                  <w:tcBorders>
                    <w:tl2br w:val="nil"/>
                    <w:tr2bl w:val="nil"/>
                  </w:tcBorders>
                  <w:vAlign w:val="center"/>
                </w:tcPr>
                <w:p w14:paraId="53716643">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Cs w:val="21"/>
                      <w:lang w:val="en-US"/>
                      <w14:textFill>
                        <w14:solidFill>
                          <w14:schemeClr w14:val="tx1"/>
                        </w14:solidFill>
                      </w14:textFill>
                    </w:rPr>
                    <w:t>固态</w:t>
                  </w:r>
                </w:p>
              </w:tc>
              <w:tc>
                <w:tcPr>
                  <w:tcW w:w="951" w:type="pct"/>
                  <w:tcBorders>
                    <w:tl2br w:val="nil"/>
                    <w:tr2bl w:val="nil"/>
                  </w:tcBorders>
                  <w:vAlign w:val="center"/>
                </w:tcPr>
                <w:p w14:paraId="3BB9BCBB">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eastAsia"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Cs w:val="21"/>
                      <w14:textFill>
                        <w14:solidFill>
                          <w14:schemeClr w14:val="tx1"/>
                        </w14:solidFill>
                      </w14:textFill>
                    </w:rPr>
                    <w:t>液</w:t>
                  </w:r>
                  <w:r>
                    <w:rPr>
                      <w:rFonts w:hint="default" w:ascii="Times New Roman" w:hAnsi="Times New Roman" w:eastAsia="宋体" w:cs="Times New Roman"/>
                      <w:b w:val="0"/>
                      <w:bCs/>
                      <w:color w:val="000000" w:themeColor="text1"/>
                      <w:kern w:val="2"/>
                      <w:szCs w:val="21"/>
                      <w:lang w:val="en-US"/>
                      <w14:textFill>
                        <w14:solidFill>
                          <w14:schemeClr w14:val="tx1"/>
                        </w14:solidFill>
                      </w14:textFill>
                    </w:rPr>
                    <w:t>态</w:t>
                  </w:r>
                </w:p>
              </w:tc>
              <w:tc>
                <w:tcPr>
                  <w:tcW w:w="820" w:type="pct"/>
                  <w:tcBorders>
                    <w:tl2br w:val="nil"/>
                    <w:tr2bl w:val="nil"/>
                  </w:tcBorders>
                  <w:vAlign w:val="center"/>
                </w:tcPr>
                <w:p w14:paraId="5E3FBCBC">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14:textFill>
                        <w14:solidFill>
                          <w14:schemeClr w14:val="tx1"/>
                        </w14:solidFill>
                      </w14:textFill>
                    </w:rPr>
                  </w:pPr>
                  <w:r>
                    <w:rPr>
                      <w:rFonts w:hint="eastAsia" w:ascii="Times New Roman" w:hAnsi="Times New Roman" w:eastAsia="宋体" w:cs="Times New Roman"/>
                      <w:b w:val="0"/>
                      <w:bCs/>
                      <w:color w:val="000000" w:themeColor="text1"/>
                      <w:kern w:val="2"/>
                      <w:szCs w:val="21"/>
                      <w:lang w:val="en-US" w:eastAsia="zh-CN"/>
                      <w14:textFill>
                        <w14:solidFill>
                          <w14:schemeClr w14:val="tx1"/>
                        </w14:solidFill>
                      </w14:textFill>
                    </w:rPr>
                    <w:t>半</w:t>
                  </w:r>
                  <w:r>
                    <w:rPr>
                      <w:rFonts w:hint="default" w:ascii="Times New Roman" w:hAnsi="Times New Roman" w:eastAsia="宋体" w:cs="Times New Roman"/>
                      <w:b w:val="0"/>
                      <w:bCs/>
                      <w:color w:val="000000" w:themeColor="text1"/>
                      <w:kern w:val="2"/>
                      <w:szCs w:val="21"/>
                      <w:lang w:val="en-US"/>
                      <w14:textFill>
                        <w14:solidFill>
                          <w14:schemeClr w14:val="tx1"/>
                        </w14:solidFill>
                      </w14:textFill>
                    </w:rPr>
                    <w:t>固态</w:t>
                  </w:r>
                </w:p>
              </w:tc>
            </w:tr>
            <w:tr w14:paraId="655BF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0" w:type="pct"/>
                  <w:gridSpan w:val="2"/>
                  <w:tcBorders>
                    <w:tl2br w:val="nil"/>
                    <w:tr2bl w:val="nil"/>
                  </w:tcBorders>
                  <w:vAlign w:val="center"/>
                </w:tcPr>
                <w:p w14:paraId="4FC7F1D3">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lang w:val="en-US"/>
                      <w14:textFill>
                        <w14:solidFill>
                          <w14:schemeClr w14:val="tx1"/>
                        </w14:solidFill>
                      </w14:textFill>
                    </w:rPr>
                    <w:t>环境危险特性</w:t>
                  </w:r>
                </w:p>
              </w:tc>
              <w:tc>
                <w:tcPr>
                  <w:tcW w:w="817" w:type="pct"/>
                  <w:tcBorders>
                    <w:tl2br w:val="nil"/>
                    <w:tr2bl w:val="nil"/>
                  </w:tcBorders>
                  <w:vAlign w:val="center"/>
                </w:tcPr>
                <w:p w14:paraId="5D4FB808">
                  <w:pPr>
                    <w:keepNext w:val="0"/>
                    <w:keepLines w:val="0"/>
                    <w:pageBreakBefore w:val="0"/>
                    <w:widowControl w:val="0"/>
                    <w:kinsoku/>
                    <w:wordWrap/>
                    <w:overflowPunct/>
                    <w:autoSpaceDE/>
                    <w:autoSpaceDN/>
                    <w:bidi w:val="0"/>
                    <w:adjustRightInd w:val="0"/>
                    <w:snapToGrid w:val="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969" w:type="pct"/>
                  <w:tcBorders>
                    <w:tl2br w:val="nil"/>
                    <w:tr2bl w:val="nil"/>
                  </w:tcBorders>
                  <w:vAlign w:val="center"/>
                </w:tcPr>
                <w:p w14:paraId="64B74D3A">
                  <w:pPr>
                    <w:keepNext w:val="0"/>
                    <w:keepLines w:val="0"/>
                    <w:pageBreakBefore w:val="0"/>
                    <w:widowControl w:val="0"/>
                    <w:kinsoku/>
                    <w:wordWrap/>
                    <w:overflowPunct/>
                    <w:autoSpaceDE/>
                    <w:autoSpaceDN/>
                    <w:bidi w:val="0"/>
                    <w:adjustRightInd w:val="0"/>
                    <w:snapToGrid w:val="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T/In</w:t>
                  </w:r>
                </w:p>
              </w:tc>
              <w:tc>
                <w:tcPr>
                  <w:tcW w:w="951" w:type="pct"/>
                  <w:tcBorders>
                    <w:tl2br w:val="nil"/>
                    <w:tr2bl w:val="nil"/>
                  </w:tcBorders>
                  <w:vAlign w:val="center"/>
                </w:tcPr>
                <w:p w14:paraId="1CDF171A">
                  <w:pPr>
                    <w:keepNext w:val="0"/>
                    <w:keepLines w:val="0"/>
                    <w:pageBreakBefore w:val="0"/>
                    <w:widowControl w:val="0"/>
                    <w:kinsoku/>
                    <w:wordWrap/>
                    <w:overflowPunct/>
                    <w:autoSpaceDE/>
                    <w:autoSpaceDN/>
                    <w:bidi w:val="0"/>
                    <w:adjustRightInd w:val="0"/>
                    <w:snapToGrid w:val="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T，I</w:t>
                  </w:r>
                </w:p>
              </w:tc>
              <w:tc>
                <w:tcPr>
                  <w:tcW w:w="820" w:type="pct"/>
                  <w:tcBorders>
                    <w:tl2br w:val="nil"/>
                    <w:tr2bl w:val="nil"/>
                  </w:tcBorders>
                  <w:vAlign w:val="center"/>
                </w:tcPr>
                <w:p w14:paraId="1599B0F4">
                  <w:pPr>
                    <w:keepNext w:val="0"/>
                    <w:keepLines w:val="0"/>
                    <w:pageBreakBefore w:val="0"/>
                    <w:widowControl w:val="0"/>
                    <w:kinsoku/>
                    <w:wordWrap/>
                    <w:overflowPunct/>
                    <w:autoSpaceDE/>
                    <w:autoSpaceDN/>
                    <w:bidi w:val="0"/>
                    <w:adjustRightInd w:val="0"/>
                    <w:snapToGrid w:val="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T，I</w:t>
                  </w:r>
                </w:p>
              </w:tc>
            </w:tr>
            <w:tr w14:paraId="54AA9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40" w:type="pct"/>
                  <w:gridSpan w:val="2"/>
                  <w:tcBorders>
                    <w:tl2br w:val="nil"/>
                    <w:tr2bl w:val="nil"/>
                  </w:tcBorders>
                  <w:vAlign w:val="center"/>
                </w:tcPr>
                <w:p w14:paraId="1E81CA34">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Cs/>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14:textFill>
                        <w14:solidFill>
                          <w14:schemeClr w14:val="tx1"/>
                        </w14:solidFill>
                      </w14:textFill>
                    </w:rPr>
                    <w:t>产生量（t/a）</w:t>
                  </w:r>
                </w:p>
              </w:tc>
              <w:tc>
                <w:tcPr>
                  <w:tcW w:w="817" w:type="pct"/>
                  <w:tcBorders>
                    <w:tl2br w:val="nil"/>
                    <w:tr2bl w:val="nil"/>
                  </w:tcBorders>
                  <w:vAlign w:val="center"/>
                </w:tcPr>
                <w:p w14:paraId="3DE60637">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t>9.6725</w:t>
                  </w:r>
                </w:p>
              </w:tc>
              <w:tc>
                <w:tcPr>
                  <w:tcW w:w="969" w:type="pct"/>
                  <w:tcBorders>
                    <w:tl2br w:val="nil"/>
                    <w:tr2bl w:val="nil"/>
                  </w:tcBorders>
                  <w:vAlign w:val="center"/>
                </w:tcPr>
                <w:p w14:paraId="398784DA">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t>0.</w:t>
                  </w:r>
                  <w:r>
                    <w:rPr>
                      <w:rFonts w:hint="eastAsia" w:eastAsia="宋体" w:cs="Times New Roman"/>
                      <w:b w:val="0"/>
                      <w:bCs/>
                      <w:color w:val="000000" w:themeColor="text1"/>
                      <w:kern w:val="2"/>
                      <w:szCs w:val="21"/>
                      <w:lang w:val="en-US" w:eastAsia="zh-CN"/>
                      <w14:textFill>
                        <w14:solidFill>
                          <w14:schemeClr w14:val="tx1"/>
                        </w14:solidFill>
                      </w14:textFill>
                    </w:rPr>
                    <w:t>01</w:t>
                  </w:r>
                </w:p>
              </w:tc>
              <w:tc>
                <w:tcPr>
                  <w:tcW w:w="951" w:type="pct"/>
                  <w:tcBorders>
                    <w:tl2br w:val="nil"/>
                    <w:tr2bl w:val="nil"/>
                  </w:tcBorders>
                  <w:vAlign w:val="center"/>
                </w:tcPr>
                <w:p w14:paraId="64D54B54">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eastAsia" w:cs="Times New Roman"/>
                      <w:b w:val="0"/>
                      <w:bCs/>
                      <w:color w:val="000000" w:themeColor="text1"/>
                      <w:kern w:val="2"/>
                      <w:szCs w:val="21"/>
                      <w:lang w:val="en-US" w:eastAsia="zh-CN"/>
                      <w14:textFill>
                        <w14:solidFill>
                          <w14:schemeClr w14:val="tx1"/>
                        </w14:solidFill>
                      </w14:textFill>
                    </w:rPr>
                    <w:t>0.004</w:t>
                  </w:r>
                </w:p>
              </w:tc>
              <w:tc>
                <w:tcPr>
                  <w:tcW w:w="820" w:type="pct"/>
                  <w:tcBorders>
                    <w:tl2br w:val="nil"/>
                    <w:tr2bl w:val="nil"/>
                  </w:tcBorders>
                  <w:vAlign w:val="center"/>
                </w:tcPr>
                <w:p w14:paraId="6BAE3188">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eastAsia" w:cs="Times New Roman"/>
                      <w:b w:val="0"/>
                      <w:bCs/>
                      <w:color w:val="000000" w:themeColor="text1"/>
                      <w:kern w:val="2"/>
                      <w:szCs w:val="21"/>
                      <w:lang w:val="en-US" w:eastAsia="zh-CN"/>
                      <w14:textFill>
                        <w14:solidFill>
                          <w14:schemeClr w14:val="tx1"/>
                        </w14:solidFill>
                      </w14:textFill>
                    </w:rPr>
                    <w:t>0.2t/3a</w:t>
                  </w:r>
                </w:p>
              </w:tc>
            </w:tr>
            <w:tr w14:paraId="2FE83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0" w:type="pct"/>
                  <w:gridSpan w:val="2"/>
                  <w:tcBorders>
                    <w:tl2br w:val="nil"/>
                    <w:tr2bl w:val="nil"/>
                  </w:tcBorders>
                  <w:vAlign w:val="center"/>
                </w:tcPr>
                <w:p w14:paraId="2921AF9B">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Cs/>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lang w:val="en-US"/>
                      <w14:textFill>
                        <w14:solidFill>
                          <w14:schemeClr w14:val="tx1"/>
                        </w14:solidFill>
                      </w14:textFill>
                    </w:rPr>
                    <w:t>贮存方式</w:t>
                  </w:r>
                </w:p>
              </w:tc>
              <w:tc>
                <w:tcPr>
                  <w:tcW w:w="817" w:type="pct"/>
                  <w:tcBorders>
                    <w:tl2br w:val="nil"/>
                    <w:tr2bl w:val="nil"/>
                  </w:tcBorders>
                  <w:vAlign w:val="center"/>
                </w:tcPr>
                <w:p w14:paraId="7DF8D73B">
                  <w:pPr>
                    <w:pStyle w:val="98"/>
                    <w:keepNext w:val="0"/>
                    <w:keepLines w:val="0"/>
                    <w:pageBreakBefore w:val="0"/>
                    <w:widowControl w:val="0"/>
                    <w:kinsoku/>
                    <w:wordWrap/>
                    <w:overflowPunct/>
                    <w:autoSpaceDE/>
                    <w:autoSpaceDN/>
                    <w:bidi w:val="0"/>
                    <w:adjustRightInd w:val="0"/>
                    <w:snapToGrid w:val="0"/>
                    <w:textAlignment w:val="auto"/>
                    <w:rPr>
                      <w:rFonts w:hint="eastAsia"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eastAsia" w:eastAsia="宋体" w:cs="Times New Roman"/>
                      <w:b w:val="0"/>
                      <w:bCs/>
                      <w:color w:val="000000" w:themeColor="text1"/>
                      <w:kern w:val="2"/>
                      <w:szCs w:val="21"/>
                      <w:lang w:val="en-US" w:eastAsia="zh-CN"/>
                      <w14:textFill>
                        <w14:solidFill>
                          <w14:schemeClr w14:val="tx1"/>
                        </w14:solidFill>
                      </w14:textFill>
                    </w:rPr>
                    <w:t>桶装</w:t>
                  </w:r>
                </w:p>
              </w:tc>
              <w:tc>
                <w:tcPr>
                  <w:tcW w:w="969" w:type="pct"/>
                  <w:tcBorders>
                    <w:tl2br w:val="nil"/>
                    <w:tr2bl w:val="nil"/>
                  </w:tcBorders>
                  <w:vAlign w:val="center"/>
                </w:tcPr>
                <w:p w14:paraId="0A0A882D">
                  <w:pPr>
                    <w:keepNext w:val="0"/>
                    <w:keepLines w:val="0"/>
                    <w:pageBreakBefore w:val="0"/>
                    <w:widowControl w:val="0"/>
                    <w:kinsoku/>
                    <w:wordWrap/>
                    <w:overflowPunct/>
                    <w:autoSpaceDE/>
                    <w:autoSpaceDN/>
                    <w:bidi w:val="0"/>
                    <w:adjustRightInd w:val="0"/>
                    <w:snapToGrid w:val="0"/>
                    <w:jc w:val="center"/>
                    <w:textAlignment w:val="auto"/>
                    <w:rPr>
                      <w:rFonts w:hint="default" w:ascii="Times New Roman" w:hAnsi="Times New Roman" w:eastAsia="宋体" w:cs="Times New Roman"/>
                      <w:b w:val="0"/>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桶装</w:t>
                  </w:r>
                </w:p>
              </w:tc>
              <w:tc>
                <w:tcPr>
                  <w:tcW w:w="951" w:type="pct"/>
                  <w:tcBorders>
                    <w:tl2br w:val="nil"/>
                    <w:tr2bl w:val="nil"/>
                  </w:tcBorders>
                  <w:vAlign w:val="center"/>
                </w:tcPr>
                <w:p w14:paraId="600CFF0F">
                  <w:pPr>
                    <w:keepNext w:val="0"/>
                    <w:keepLines w:val="0"/>
                    <w:pageBreakBefore w:val="0"/>
                    <w:widowControl w:val="0"/>
                    <w:kinsoku/>
                    <w:wordWrap/>
                    <w:overflowPunct/>
                    <w:autoSpaceDE/>
                    <w:autoSpaceDN/>
                    <w:bidi w:val="0"/>
                    <w:adjustRightInd w:val="0"/>
                    <w:snapToGrid w:val="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桶装</w:t>
                  </w:r>
                </w:p>
              </w:tc>
              <w:tc>
                <w:tcPr>
                  <w:tcW w:w="820" w:type="pct"/>
                  <w:tcBorders>
                    <w:tl2br w:val="nil"/>
                    <w:tr2bl w:val="nil"/>
                  </w:tcBorders>
                  <w:vAlign w:val="center"/>
                </w:tcPr>
                <w:p w14:paraId="0E5004C3">
                  <w:pPr>
                    <w:keepNext w:val="0"/>
                    <w:keepLines w:val="0"/>
                    <w:pageBreakBefore w:val="0"/>
                    <w:widowControl w:val="0"/>
                    <w:kinsoku/>
                    <w:wordWrap/>
                    <w:overflowPunct/>
                    <w:autoSpaceDE/>
                    <w:autoSpaceDN/>
                    <w:bidi w:val="0"/>
                    <w:adjustRightInd w:val="0"/>
                    <w:snapToGrid w:val="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桶装</w:t>
                  </w:r>
                </w:p>
              </w:tc>
            </w:tr>
            <w:tr w14:paraId="03550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restart"/>
                  <w:tcBorders>
                    <w:tl2br w:val="nil"/>
                    <w:tr2bl w:val="nil"/>
                  </w:tcBorders>
                  <w:vAlign w:val="center"/>
                </w:tcPr>
                <w:p w14:paraId="24E8FAA6">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Cs/>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lang w:val="en-US"/>
                      <w14:textFill>
                        <w14:solidFill>
                          <w14:schemeClr w14:val="tx1"/>
                        </w14:solidFill>
                      </w14:textFill>
                    </w:rPr>
                    <w:t>利用处置方式和去向</w:t>
                  </w:r>
                  <w:r>
                    <w:rPr>
                      <w:rFonts w:hint="default" w:ascii="Times New Roman" w:hAnsi="Times New Roman" w:eastAsia="宋体" w:cs="Times New Roman"/>
                      <w:bCs/>
                      <w:color w:val="000000" w:themeColor="text1"/>
                      <w:kern w:val="2"/>
                      <w:szCs w:val="21"/>
                      <w14:textFill>
                        <w14:solidFill>
                          <w14:schemeClr w14:val="tx1"/>
                        </w14:solidFill>
                      </w14:textFill>
                    </w:rPr>
                    <w:t>（t/a）</w:t>
                  </w:r>
                </w:p>
              </w:tc>
              <w:tc>
                <w:tcPr>
                  <w:tcW w:w="849" w:type="pct"/>
                  <w:tcBorders>
                    <w:tl2br w:val="nil"/>
                    <w:tr2bl w:val="nil"/>
                  </w:tcBorders>
                  <w:vAlign w:val="center"/>
                </w:tcPr>
                <w:p w14:paraId="6ABDAF2C">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Cs/>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lang w:val="en-US"/>
                      <w14:textFill>
                        <w14:solidFill>
                          <w14:schemeClr w14:val="tx1"/>
                        </w14:solidFill>
                      </w14:textFill>
                    </w:rPr>
                    <w:t>自行利用量</w:t>
                  </w:r>
                </w:p>
              </w:tc>
              <w:tc>
                <w:tcPr>
                  <w:tcW w:w="817" w:type="pct"/>
                  <w:tcBorders>
                    <w:tl2br w:val="nil"/>
                    <w:tr2bl w:val="nil"/>
                  </w:tcBorders>
                  <w:vAlign w:val="center"/>
                </w:tcPr>
                <w:p w14:paraId="5276FEC9">
                  <w:pPr>
                    <w:pStyle w:val="98"/>
                    <w:keepNext w:val="0"/>
                    <w:keepLines w:val="0"/>
                    <w:pageBreakBefore w:val="0"/>
                    <w:widowControl w:val="0"/>
                    <w:kinsoku/>
                    <w:wordWrap/>
                    <w:overflowPunct/>
                    <w:autoSpaceDE/>
                    <w:autoSpaceDN/>
                    <w:bidi w:val="0"/>
                    <w:adjustRightInd w:val="0"/>
                    <w:snapToGrid w:val="0"/>
                    <w:textAlignment w:val="auto"/>
                    <w:rPr>
                      <w:rFonts w:hint="eastAsia"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eastAsia" w:eastAsia="宋体" w:cs="Times New Roman"/>
                      <w:b w:val="0"/>
                      <w:bCs/>
                      <w:color w:val="000000" w:themeColor="text1"/>
                      <w:kern w:val="2"/>
                      <w:szCs w:val="21"/>
                      <w:lang w:val="en-US" w:eastAsia="zh-CN"/>
                      <w14:textFill>
                        <w14:solidFill>
                          <w14:schemeClr w14:val="tx1"/>
                        </w14:solidFill>
                      </w14:textFill>
                    </w:rPr>
                    <w:t>0</w:t>
                  </w:r>
                </w:p>
              </w:tc>
              <w:tc>
                <w:tcPr>
                  <w:tcW w:w="969" w:type="pct"/>
                  <w:tcBorders>
                    <w:tl2br w:val="nil"/>
                    <w:tr2bl w:val="nil"/>
                  </w:tcBorders>
                  <w:vAlign w:val="center"/>
                </w:tcPr>
                <w:p w14:paraId="378518DB">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Cs w:val="21"/>
                      <w:lang w:val="en-US"/>
                      <w14:textFill>
                        <w14:solidFill>
                          <w14:schemeClr w14:val="tx1"/>
                        </w14:solidFill>
                      </w14:textFill>
                    </w:rPr>
                    <w:t>0</w:t>
                  </w:r>
                </w:p>
              </w:tc>
              <w:tc>
                <w:tcPr>
                  <w:tcW w:w="951" w:type="pct"/>
                  <w:tcBorders>
                    <w:tl2br w:val="nil"/>
                    <w:tr2bl w:val="nil"/>
                  </w:tcBorders>
                  <w:vAlign w:val="center"/>
                </w:tcPr>
                <w:p w14:paraId="35B88302">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14:textFill>
                        <w14:solidFill>
                          <w14:schemeClr w14:val="tx1"/>
                        </w14:solidFill>
                      </w14:textFill>
                    </w:rPr>
                  </w:pPr>
                  <w:r>
                    <w:rPr>
                      <w:rFonts w:hint="eastAsia" w:eastAsia="宋体" w:cs="Times New Roman"/>
                      <w:b w:val="0"/>
                      <w:bCs/>
                      <w:color w:val="000000" w:themeColor="text1"/>
                      <w:kern w:val="2"/>
                      <w:szCs w:val="21"/>
                      <w:lang w:val="en-US" w:eastAsia="zh-CN"/>
                      <w14:textFill>
                        <w14:solidFill>
                          <w14:schemeClr w14:val="tx1"/>
                        </w14:solidFill>
                      </w14:textFill>
                    </w:rPr>
                    <w:t>0</w:t>
                  </w:r>
                </w:p>
              </w:tc>
              <w:tc>
                <w:tcPr>
                  <w:tcW w:w="820" w:type="pct"/>
                  <w:tcBorders>
                    <w:tl2br w:val="nil"/>
                    <w:tr2bl w:val="nil"/>
                  </w:tcBorders>
                  <w:vAlign w:val="center"/>
                </w:tcPr>
                <w:p w14:paraId="10E4EE90">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14:textFill>
                        <w14:solidFill>
                          <w14:schemeClr w14:val="tx1"/>
                        </w14:solidFill>
                      </w14:textFill>
                    </w:rPr>
                  </w:pPr>
                  <w:r>
                    <w:rPr>
                      <w:rFonts w:hint="default" w:ascii="Times New Roman" w:hAnsi="Times New Roman" w:eastAsia="宋体" w:cs="Times New Roman"/>
                      <w:b w:val="0"/>
                      <w:bCs/>
                      <w:color w:val="000000" w:themeColor="text1"/>
                      <w:kern w:val="2"/>
                      <w:szCs w:val="21"/>
                      <w:lang w:val="en-US"/>
                      <w14:textFill>
                        <w14:solidFill>
                          <w14:schemeClr w14:val="tx1"/>
                        </w14:solidFill>
                      </w14:textFill>
                    </w:rPr>
                    <w:t>0</w:t>
                  </w:r>
                </w:p>
              </w:tc>
            </w:tr>
            <w:tr w14:paraId="2BB57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tcBorders>
                    <w:tl2br w:val="nil"/>
                    <w:tr2bl w:val="nil"/>
                  </w:tcBorders>
                  <w:vAlign w:val="center"/>
                </w:tcPr>
                <w:p w14:paraId="0BBAFCB2">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Cs/>
                      <w:color w:val="000000" w:themeColor="text1"/>
                      <w:kern w:val="2"/>
                      <w:szCs w:val="21"/>
                      <w:lang w:val="en-US"/>
                      <w14:textFill>
                        <w14:solidFill>
                          <w14:schemeClr w14:val="tx1"/>
                        </w14:solidFill>
                      </w14:textFill>
                    </w:rPr>
                  </w:pPr>
                </w:p>
              </w:tc>
              <w:tc>
                <w:tcPr>
                  <w:tcW w:w="849" w:type="pct"/>
                  <w:tcBorders>
                    <w:tl2br w:val="nil"/>
                    <w:tr2bl w:val="nil"/>
                  </w:tcBorders>
                  <w:vAlign w:val="center"/>
                </w:tcPr>
                <w:p w14:paraId="4297053D">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Cs/>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lang w:val="en-US"/>
                      <w14:textFill>
                        <w14:solidFill>
                          <w14:schemeClr w14:val="tx1"/>
                        </w14:solidFill>
                      </w14:textFill>
                    </w:rPr>
                    <w:t>委托利用量</w:t>
                  </w:r>
                </w:p>
              </w:tc>
              <w:tc>
                <w:tcPr>
                  <w:tcW w:w="817" w:type="pct"/>
                  <w:tcBorders>
                    <w:tl2br w:val="nil"/>
                    <w:tr2bl w:val="nil"/>
                  </w:tcBorders>
                  <w:vAlign w:val="center"/>
                </w:tcPr>
                <w:p w14:paraId="11C3B07F">
                  <w:pPr>
                    <w:pStyle w:val="98"/>
                    <w:keepNext w:val="0"/>
                    <w:keepLines w:val="0"/>
                    <w:pageBreakBefore w:val="0"/>
                    <w:widowControl w:val="0"/>
                    <w:kinsoku/>
                    <w:wordWrap/>
                    <w:overflowPunct/>
                    <w:autoSpaceDE/>
                    <w:autoSpaceDN/>
                    <w:bidi w:val="0"/>
                    <w:adjustRightInd w:val="0"/>
                    <w:snapToGrid w:val="0"/>
                    <w:textAlignment w:val="auto"/>
                    <w:rPr>
                      <w:rFonts w:hint="eastAsia"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eastAsia" w:eastAsia="宋体" w:cs="Times New Roman"/>
                      <w:b w:val="0"/>
                      <w:bCs/>
                      <w:color w:val="000000" w:themeColor="text1"/>
                      <w:kern w:val="2"/>
                      <w:szCs w:val="21"/>
                      <w:lang w:val="en-US" w:eastAsia="zh-CN"/>
                      <w14:textFill>
                        <w14:solidFill>
                          <w14:schemeClr w14:val="tx1"/>
                        </w14:solidFill>
                      </w14:textFill>
                    </w:rPr>
                    <w:t>0</w:t>
                  </w:r>
                </w:p>
              </w:tc>
              <w:tc>
                <w:tcPr>
                  <w:tcW w:w="969" w:type="pct"/>
                  <w:tcBorders>
                    <w:tl2br w:val="nil"/>
                    <w:tr2bl w:val="nil"/>
                  </w:tcBorders>
                  <w:vAlign w:val="center"/>
                </w:tcPr>
                <w:p w14:paraId="6AB36885">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Cs w:val="21"/>
                      <w:lang w:val="en-US"/>
                      <w14:textFill>
                        <w14:solidFill>
                          <w14:schemeClr w14:val="tx1"/>
                        </w14:solidFill>
                      </w14:textFill>
                    </w:rPr>
                    <w:t>0</w:t>
                  </w:r>
                </w:p>
              </w:tc>
              <w:tc>
                <w:tcPr>
                  <w:tcW w:w="951" w:type="pct"/>
                  <w:tcBorders>
                    <w:tl2br w:val="nil"/>
                    <w:tr2bl w:val="nil"/>
                  </w:tcBorders>
                  <w:vAlign w:val="center"/>
                </w:tcPr>
                <w:p w14:paraId="6C67175C">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14:textFill>
                        <w14:solidFill>
                          <w14:schemeClr w14:val="tx1"/>
                        </w14:solidFill>
                      </w14:textFill>
                    </w:rPr>
                  </w:pPr>
                  <w:r>
                    <w:rPr>
                      <w:rFonts w:hint="eastAsia" w:eastAsia="宋体" w:cs="Times New Roman"/>
                      <w:b w:val="0"/>
                      <w:bCs/>
                      <w:color w:val="000000" w:themeColor="text1"/>
                      <w:kern w:val="2"/>
                      <w:szCs w:val="21"/>
                      <w:lang w:val="en-US" w:eastAsia="zh-CN"/>
                      <w14:textFill>
                        <w14:solidFill>
                          <w14:schemeClr w14:val="tx1"/>
                        </w14:solidFill>
                      </w14:textFill>
                    </w:rPr>
                    <w:t>0</w:t>
                  </w:r>
                </w:p>
              </w:tc>
              <w:tc>
                <w:tcPr>
                  <w:tcW w:w="820" w:type="pct"/>
                  <w:tcBorders>
                    <w:tl2br w:val="nil"/>
                    <w:tr2bl w:val="nil"/>
                  </w:tcBorders>
                  <w:vAlign w:val="center"/>
                </w:tcPr>
                <w:p w14:paraId="144B92E5">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14:textFill>
                        <w14:solidFill>
                          <w14:schemeClr w14:val="tx1"/>
                        </w14:solidFill>
                      </w14:textFill>
                    </w:rPr>
                  </w:pPr>
                  <w:r>
                    <w:rPr>
                      <w:rFonts w:hint="default" w:ascii="Times New Roman" w:hAnsi="Times New Roman" w:eastAsia="宋体" w:cs="Times New Roman"/>
                      <w:b w:val="0"/>
                      <w:bCs/>
                      <w:color w:val="000000" w:themeColor="text1"/>
                      <w:kern w:val="2"/>
                      <w:szCs w:val="21"/>
                      <w:lang w:val="en-US"/>
                      <w14:textFill>
                        <w14:solidFill>
                          <w14:schemeClr w14:val="tx1"/>
                        </w14:solidFill>
                      </w14:textFill>
                    </w:rPr>
                    <w:t>0</w:t>
                  </w:r>
                </w:p>
              </w:tc>
            </w:tr>
            <w:tr w14:paraId="5C654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tcBorders>
                    <w:tl2br w:val="nil"/>
                    <w:tr2bl w:val="nil"/>
                  </w:tcBorders>
                  <w:vAlign w:val="center"/>
                </w:tcPr>
                <w:p w14:paraId="1B10A6C9">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Cs/>
                      <w:color w:val="000000" w:themeColor="text1"/>
                      <w:kern w:val="2"/>
                      <w:szCs w:val="21"/>
                      <w:lang w:val="en-US"/>
                      <w14:textFill>
                        <w14:solidFill>
                          <w14:schemeClr w14:val="tx1"/>
                        </w14:solidFill>
                      </w14:textFill>
                    </w:rPr>
                  </w:pPr>
                </w:p>
              </w:tc>
              <w:tc>
                <w:tcPr>
                  <w:tcW w:w="849" w:type="pct"/>
                  <w:tcBorders>
                    <w:tl2br w:val="nil"/>
                    <w:tr2bl w:val="nil"/>
                  </w:tcBorders>
                  <w:vAlign w:val="center"/>
                </w:tcPr>
                <w:p w14:paraId="138E62B9">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Cs/>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lang w:val="en-US"/>
                      <w14:textFill>
                        <w14:solidFill>
                          <w14:schemeClr w14:val="tx1"/>
                        </w14:solidFill>
                      </w14:textFill>
                    </w:rPr>
                    <w:t>委托处置量</w:t>
                  </w:r>
                </w:p>
              </w:tc>
              <w:tc>
                <w:tcPr>
                  <w:tcW w:w="817" w:type="pct"/>
                  <w:tcBorders>
                    <w:tl2br w:val="nil"/>
                    <w:tr2bl w:val="nil"/>
                  </w:tcBorders>
                  <w:vAlign w:val="center"/>
                </w:tcPr>
                <w:p w14:paraId="69A1E027">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t>9.</w:t>
                  </w:r>
                  <w:r>
                    <w:rPr>
                      <w:rFonts w:hint="eastAsia" w:cs="Times New Roman"/>
                      <w:b w:val="0"/>
                      <w:bCs/>
                      <w:color w:val="000000" w:themeColor="text1"/>
                      <w:kern w:val="2"/>
                      <w:szCs w:val="21"/>
                      <w:lang w:val="en-US" w:eastAsia="zh-CN"/>
                      <w14:textFill>
                        <w14:solidFill>
                          <w14:schemeClr w14:val="tx1"/>
                        </w14:solidFill>
                      </w14:textFill>
                    </w:rPr>
                    <w:t>1</w:t>
                  </w:r>
                  <w:r>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t>25</w:t>
                  </w:r>
                </w:p>
              </w:tc>
              <w:tc>
                <w:tcPr>
                  <w:tcW w:w="969" w:type="pct"/>
                  <w:tcBorders>
                    <w:tl2br w:val="nil"/>
                    <w:tr2bl w:val="nil"/>
                  </w:tcBorders>
                  <w:vAlign w:val="center"/>
                </w:tcPr>
                <w:p w14:paraId="13F578A8">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t>0.</w:t>
                  </w:r>
                  <w:r>
                    <w:rPr>
                      <w:rFonts w:hint="eastAsia" w:eastAsia="宋体" w:cs="Times New Roman"/>
                      <w:b w:val="0"/>
                      <w:bCs/>
                      <w:color w:val="000000" w:themeColor="text1"/>
                      <w:kern w:val="2"/>
                      <w:szCs w:val="21"/>
                      <w:lang w:val="en-US" w:eastAsia="zh-CN"/>
                      <w14:textFill>
                        <w14:solidFill>
                          <w14:schemeClr w14:val="tx1"/>
                        </w14:solidFill>
                      </w14:textFill>
                    </w:rPr>
                    <w:t>01</w:t>
                  </w:r>
                </w:p>
              </w:tc>
              <w:tc>
                <w:tcPr>
                  <w:tcW w:w="951" w:type="pct"/>
                  <w:tcBorders>
                    <w:tl2br w:val="nil"/>
                    <w:tr2bl w:val="nil"/>
                  </w:tcBorders>
                  <w:vAlign w:val="center"/>
                </w:tcPr>
                <w:p w14:paraId="7FADFA56">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eastAsia" w:eastAsia="宋体" w:cs="Times New Roman"/>
                      <w:b w:val="0"/>
                      <w:bCs/>
                      <w:color w:val="000000" w:themeColor="text1"/>
                      <w:kern w:val="2"/>
                      <w:szCs w:val="21"/>
                      <w:lang w:val="en-US" w:eastAsia="zh-CN"/>
                      <w14:textFill>
                        <w14:solidFill>
                          <w14:schemeClr w14:val="tx1"/>
                        </w14:solidFill>
                      </w14:textFill>
                    </w:rPr>
                    <w:t>0.004</w:t>
                  </w:r>
                </w:p>
              </w:tc>
              <w:tc>
                <w:tcPr>
                  <w:tcW w:w="820" w:type="pct"/>
                  <w:tcBorders>
                    <w:tl2br w:val="nil"/>
                    <w:tr2bl w:val="nil"/>
                  </w:tcBorders>
                  <w:vAlign w:val="center"/>
                </w:tcPr>
                <w:p w14:paraId="3D845F38">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eastAsia" w:cs="Times New Roman"/>
                      <w:b w:val="0"/>
                      <w:bCs/>
                      <w:color w:val="000000" w:themeColor="text1"/>
                      <w:kern w:val="2"/>
                      <w:szCs w:val="21"/>
                      <w:lang w:val="en-US" w:eastAsia="zh-CN"/>
                      <w14:textFill>
                        <w14:solidFill>
                          <w14:schemeClr w14:val="tx1"/>
                        </w14:solidFill>
                      </w14:textFill>
                    </w:rPr>
                    <w:t>0.3t/3a</w:t>
                  </w:r>
                </w:p>
              </w:tc>
            </w:tr>
            <w:tr w14:paraId="0FE33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tcBorders>
                    <w:tl2br w:val="nil"/>
                    <w:tr2bl w:val="nil"/>
                  </w:tcBorders>
                  <w:vAlign w:val="center"/>
                </w:tcPr>
                <w:p w14:paraId="692ACEB3">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Cs/>
                      <w:color w:val="000000" w:themeColor="text1"/>
                      <w:kern w:val="2"/>
                      <w:szCs w:val="21"/>
                      <w:lang w:val="en-US"/>
                      <w14:textFill>
                        <w14:solidFill>
                          <w14:schemeClr w14:val="tx1"/>
                        </w14:solidFill>
                      </w14:textFill>
                    </w:rPr>
                  </w:pPr>
                </w:p>
              </w:tc>
              <w:tc>
                <w:tcPr>
                  <w:tcW w:w="849" w:type="pct"/>
                  <w:tcBorders>
                    <w:tl2br w:val="nil"/>
                    <w:tr2bl w:val="nil"/>
                  </w:tcBorders>
                  <w:vAlign w:val="center"/>
                </w:tcPr>
                <w:p w14:paraId="4A53FA59">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Cs/>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lang w:val="en-US"/>
                      <w14:textFill>
                        <w14:solidFill>
                          <w14:schemeClr w14:val="tx1"/>
                        </w14:solidFill>
                      </w14:textFill>
                    </w:rPr>
                    <w:t>排放量</w:t>
                  </w:r>
                </w:p>
              </w:tc>
              <w:tc>
                <w:tcPr>
                  <w:tcW w:w="817" w:type="pct"/>
                  <w:tcBorders>
                    <w:tl2br w:val="nil"/>
                    <w:tr2bl w:val="nil"/>
                  </w:tcBorders>
                  <w:vAlign w:val="center"/>
                </w:tcPr>
                <w:p w14:paraId="64151298">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val="0"/>
                      <w:bCs/>
                      <w:color w:val="000000" w:themeColor="text1"/>
                      <w:kern w:val="2"/>
                      <w:szCs w:val="21"/>
                      <w:lang w:val="en-US" w:eastAsia="zh-CN"/>
                      <w14:textFill>
                        <w14:solidFill>
                          <w14:schemeClr w14:val="tx1"/>
                        </w14:solidFill>
                      </w14:textFill>
                    </w:rPr>
                  </w:pPr>
                  <w:r>
                    <w:rPr>
                      <w:rFonts w:hint="eastAsia" w:eastAsia="宋体" w:cs="Times New Roman"/>
                      <w:b w:val="0"/>
                      <w:bCs/>
                      <w:color w:val="000000" w:themeColor="text1"/>
                      <w:kern w:val="2"/>
                      <w:szCs w:val="21"/>
                      <w:lang w:val="en-US" w:eastAsia="zh-CN"/>
                      <w14:textFill>
                        <w14:solidFill>
                          <w14:schemeClr w14:val="tx1"/>
                        </w14:solidFill>
                      </w14:textFill>
                    </w:rPr>
                    <w:t>0</w:t>
                  </w:r>
                </w:p>
              </w:tc>
              <w:tc>
                <w:tcPr>
                  <w:tcW w:w="969" w:type="pct"/>
                  <w:tcBorders>
                    <w:tl2br w:val="nil"/>
                    <w:tr2bl w:val="nil"/>
                  </w:tcBorders>
                  <w:vAlign w:val="center"/>
                </w:tcPr>
                <w:p w14:paraId="21C77644">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Cs w:val="21"/>
                      <w:lang w:val="en-US"/>
                      <w14:textFill>
                        <w14:solidFill>
                          <w14:schemeClr w14:val="tx1"/>
                        </w14:solidFill>
                      </w14:textFill>
                    </w:rPr>
                    <w:t>0</w:t>
                  </w:r>
                </w:p>
              </w:tc>
              <w:tc>
                <w:tcPr>
                  <w:tcW w:w="951" w:type="pct"/>
                  <w:tcBorders>
                    <w:tl2br w:val="nil"/>
                    <w:tr2bl w:val="nil"/>
                  </w:tcBorders>
                  <w:vAlign w:val="center"/>
                </w:tcPr>
                <w:p w14:paraId="246CE608">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14:textFill>
                        <w14:solidFill>
                          <w14:schemeClr w14:val="tx1"/>
                        </w14:solidFill>
                      </w14:textFill>
                    </w:rPr>
                  </w:pPr>
                  <w:r>
                    <w:rPr>
                      <w:rFonts w:hint="eastAsia" w:eastAsia="宋体" w:cs="Times New Roman"/>
                      <w:b w:val="0"/>
                      <w:bCs/>
                      <w:color w:val="000000" w:themeColor="text1"/>
                      <w:kern w:val="2"/>
                      <w:szCs w:val="21"/>
                      <w:lang w:val="en-US" w:eastAsia="zh-CN"/>
                      <w14:textFill>
                        <w14:solidFill>
                          <w14:schemeClr w14:val="tx1"/>
                        </w14:solidFill>
                      </w14:textFill>
                    </w:rPr>
                    <w:t>0</w:t>
                  </w:r>
                </w:p>
              </w:tc>
              <w:tc>
                <w:tcPr>
                  <w:tcW w:w="820" w:type="pct"/>
                  <w:tcBorders>
                    <w:tl2br w:val="nil"/>
                    <w:tr2bl w:val="nil"/>
                  </w:tcBorders>
                  <w:vAlign w:val="center"/>
                </w:tcPr>
                <w:p w14:paraId="44EED89C">
                  <w:pPr>
                    <w:pStyle w:val="98"/>
                    <w:keepNext w:val="0"/>
                    <w:keepLines w:val="0"/>
                    <w:pageBreakBefore w:val="0"/>
                    <w:widowControl w:val="0"/>
                    <w:kinsoku/>
                    <w:wordWrap/>
                    <w:overflowPunct/>
                    <w:autoSpaceDE/>
                    <w:autoSpaceDN/>
                    <w:bidi w:val="0"/>
                    <w:adjustRightInd w:val="0"/>
                    <w:snapToGrid w:val="0"/>
                    <w:ind w:firstLine="0" w:firstLineChars="0"/>
                    <w:textAlignment w:val="auto"/>
                    <w:rPr>
                      <w:rFonts w:hint="default" w:ascii="Times New Roman" w:hAnsi="Times New Roman" w:eastAsia="宋体" w:cs="Times New Roman"/>
                      <w:b w:val="0"/>
                      <w:bCs/>
                      <w:color w:val="000000" w:themeColor="text1"/>
                      <w:kern w:val="2"/>
                      <w:szCs w:val="21"/>
                      <w:lang w:val="en-US"/>
                      <w14:textFill>
                        <w14:solidFill>
                          <w14:schemeClr w14:val="tx1"/>
                        </w14:solidFill>
                      </w14:textFill>
                    </w:rPr>
                  </w:pPr>
                  <w:r>
                    <w:rPr>
                      <w:rFonts w:hint="default" w:ascii="Times New Roman" w:hAnsi="Times New Roman" w:eastAsia="宋体" w:cs="Times New Roman"/>
                      <w:b w:val="0"/>
                      <w:bCs/>
                      <w:color w:val="000000" w:themeColor="text1"/>
                      <w:kern w:val="2"/>
                      <w:szCs w:val="21"/>
                      <w:lang w:val="en-US"/>
                      <w14:textFill>
                        <w14:solidFill>
                          <w14:schemeClr w14:val="tx1"/>
                        </w14:solidFill>
                      </w14:textFill>
                    </w:rPr>
                    <w:t>0</w:t>
                  </w:r>
                </w:p>
              </w:tc>
            </w:tr>
            <w:tr w14:paraId="50B8A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0" w:type="pct"/>
                  <w:gridSpan w:val="2"/>
                  <w:tcBorders>
                    <w:tl2br w:val="nil"/>
                    <w:tr2bl w:val="nil"/>
                  </w:tcBorders>
                  <w:vAlign w:val="center"/>
                </w:tcPr>
                <w:p w14:paraId="22F89943">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Cs/>
                      <w:color w:val="000000" w:themeColor="text1"/>
                      <w:kern w:val="2"/>
                      <w:szCs w:val="21"/>
                      <w:lang w:val="en-US"/>
                      <w14:textFill>
                        <w14:solidFill>
                          <w14:schemeClr w14:val="tx1"/>
                        </w14:solidFill>
                      </w14:textFill>
                    </w:rPr>
                  </w:pPr>
                  <w:r>
                    <w:rPr>
                      <w:rFonts w:hint="default" w:ascii="Times New Roman" w:hAnsi="Times New Roman" w:eastAsia="宋体" w:cs="Times New Roman"/>
                      <w:bCs/>
                      <w:color w:val="000000" w:themeColor="text1"/>
                      <w:kern w:val="2"/>
                      <w:szCs w:val="21"/>
                      <w:lang w:val="en-US"/>
                      <w14:textFill>
                        <w14:solidFill>
                          <w14:schemeClr w14:val="tx1"/>
                        </w14:solidFill>
                      </w14:textFill>
                    </w:rPr>
                    <w:t>委托单位名称</w:t>
                  </w:r>
                </w:p>
              </w:tc>
              <w:tc>
                <w:tcPr>
                  <w:tcW w:w="1787" w:type="pct"/>
                  <w:gridSpan w:val="2"/>
                  <w:tcBorders>
                    <w:tl2br w:val="nil"/>
                    <w:tr2bl w:val="nil"/>
                  </w:tcBorders>
                  <w:vAlign w:val="center"/>
                </w:tcPr>
                <w:p w14:paraId="03F33961">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val="0"/>
                      <w:bCs/>
                      <w:color w:val="000000" w:themeColor="text1"/>
                      <w:kern w:val="2"/>
                      <w:szCs w:val="21"/>
                      <w:lang w:val="en-US"/>
                      <w14:textFill>
                        <w14:solidFill>
                          <w14:schemeClr w14:val="tx1"/>
                        </w14:solidFill>
                      </w14:textFill>
                    </w:rPr>
                  </w:pPr>
                  <w:r>
                    <w:rPr>
                      <w:rFonts w:hint="eastAsia" w:eastAsia="宋体" w:cs="Times New Roman"/>
                      <w:b w:val="0"/>
                      <w:bCs/>
                      <w:color w:val="000000" w:themeColor="text1"/>
                      <w:kern w:val="2"/>
                      <w:szCs w:val="21"/>
                      <w:lang w:val="en-US" w:eastAsia="zh-CN"/>
                      <w14:textFill>
                        <w14:solidFill>
                          <w14:schemeClr w14:val="tx1"/>
                        </w14:solidFill>
                      </w14:textFill>
                    </w:rPr>
                    <w:t>环卫部门</w:t>
                  </w:r>
                </w:p>
              </w:tc>
              <w:tc>
                <w:tcPr>
                  <w:tcW w:w="1772" w:type="pct"/>
                  <w:gridSpan w:val="2"/>
                  <w:tcBorders>
                    <w:tl2br w:val="nil"/>
                    <w:tr2bl w:val="nil"/>
                  </w:tcBorders>
                  <w:vAlign w:val="center"/>
                </w:tcPr>
                <w:p w14:paraId="1965A3D9">
                  <w:pPr>
                    <w:pStyle w:val="98"/>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宋体" w:cs="Times New Roman"/>
                      <w:b w:val="0"/>
                      <w:bCs/>
                      <w:color w:val="000000" w:themeColor="text1"/>
                      <w:kern w:val="2"/>
                      <w:szCs w:val="21"/>
                      <w:lang w:val="en-US"/>
                      <w14:textFill>
                        <w14:solidFill>
                          <w14:schemeClr w14:val="tx1"/>
                        </w14:solidFill>
                      </w14:textFill>
                    </w:rPr>
                  </w:pPr>
                  <w:r>
                    <w:rPr>
                      <w:rFonts w:hint="default" w:ascii="Times New Roman" w:hAnsi="Times New Roman" w:eastAsia="宋体" w:cs="Times New Roman"/>
                      <w:b w:val="0"/>
                      <w:bCs/>
                      <w:color w:val="000000" w:themeColor="text1"/>
                      <w:kern w:val="2"/>
                      <w:szCs w:val="21"/>
                      <w:lang w:val="en-US"/>
                      <w14:textFill>
                        <w14:solidFill>
                          <w14:schemeClr w14:val="tx1"/>
                        </w14:solidFill>
                      </w14:textFill>
                    </w:rPr>
                    <w:t>危废处理</w:t>
                  </w:r>
                  <w:r>
                    <w:rPr>
                      <w:rFonts w:hint="default" w:ascii="Times New Roman" w:hAnsi="Times New Roman" w:eastAsia="宋体" w:cs="Times New Roman"/>
                      <w:b w:val="0"/>
                      <w:bCs/>
                      <w:color w:val="000000" w:themeColor="text1"/>
                      <w:kern w:val="2"/>
                      <w:szCs w:val="21"/>
                      <w14:textFill>
                        <w14:solidFill>
                          <w14:schemeClr w14:val="tx1"/>
                        </w14:solidFill>
                      </w14:textFill>
                    </w:rPr>
                    <w:t>资质单位</w:t>
                  </w:r>
                </w:p>
              </w:tc>
            </w:tr>
            <w:tr w14:paraId="1940B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058AF048">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b/>
                      <w:bCs w:val="0"/>
                      <w:color w:val="000000" w:themeColor="text1"/>
                      <w:kern w:val="2"/>
                      <w:sz w:val="18"/>
                      <w:szCs w:val="18"/>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2"/>
                      <w:sz w:val="18"/>
                      <w:szCs w:val="18"/>
                      <w:lang w:val="en-US" w:eastAsia="zh-CN"/>
                      <w14:textFill>
                        <w14:solidFill>
                          <w14:schemeClr w14:val="tx1"/>
                        </w14:solidFill>
                      </w14:textFill>
                    </w:rPr>
                    <w:t>备注：</w:t>
                  </w:r>
                  <w:r>
                    <w:rPr>
                      <w:rFonts w:hint="default" w:ascii="Times New Roman" w:hAnsi="Times New Roman" w:eastAsia="宋体" w:cs="Times New Roman"/>
                      <w:b/>
                      <w:bCs w:val="0"/>
                      <w:color w:val="000000" w:themeColor="text1"/>
                      <w:sz w:val="18"/>
                      <w:szCs w:val="18"/>
                      <w14:textFill>
                        <w14:solidFill>
                          <w14:schemeClr w14:val="tx1"/>
                        </w14:solidFill>
                      </w14:textFill>
                    </w:rPr>
                    <w:t>危险特性：毒性（Toxicity</w:t>
                  </w:r>
                  <w:r>
                    <w:rPr>
                      <w:rFonts w:hint="default" w:ascii="Times New Roman" w:hAnsi="Times New Roman" w:eastAsia="宋体" w:cs="Times New Roman"/>
                      <w:b/>
                      <w:bCs w:val="0"/>
                      <w:color w:val="000000" w:themeColor="text1"/>
                      <w:sz w:val="18"/>
                      <w:szCs w:val="18"/>
                      <w:lang w:eastAsia="zh-CN"/>
                      <w14:textFill>
                        <w14:solidFill>
                          <w14:schemeClr w14:val="tx1"/>
                        </w14:solidFill>
                      </w14:textFill>
                    </w:rPr>
                    <w:t>，</w:t>
                  </w:r>
                  <w:r>
                    <w:rPr>
                      <w:rFonts w:hint="default" w:ascii="Times New Roman" w:hAnsi="Times New Roman" w:eastAsia="宋体" w:cs="Times New Roman"/>
                      <w:b/>
                      <w:bCs w:val="0"/>
                      <w:color w:val="000000" w:themeColor="text1"/>
                      <w:sz w:val="18"/>
                      <w:szCs w:val="18"/>
                      <w14:textFill>
                        <w14:solidFill>
                          <w14:schemeClr w14:val="tx1"/>
                        </w14:solidFill>
                      </w14:textFill>
                    </w:rPr>
                    <w:t>T）、易燃性（Ignitability</w:t>
                  </w:r>
                  <w:r>
                    <w:rPr>
                      <w:rFonts w:hint="default" w:ascii="Times New Roman" w:hAnsi="Times New Roman" w:eastAsia="宋体" w:cs="Times New Roman"/>
                      <w:b/>
                      <w:bCs w:val="0"/>
                      <w:color w:val="000000" w:themeColor="text1"/>
                      <w:sz w:val="18"/>
                      <w:szCs w:val="18"/>
                      <w:lang w:eastAsia="zh-CN"/>
                      <w14:textFill>
                        <w14:solidFill>
                          <w14:schemeClr w14:val="tx1"/>
                        </w14:solidFill>
                      </w14:textFill>
                    </w:rPr>
                    <w:t>，</w:t>
                  </w:r>
                  <w:r>
                    <w:rPr>
                      <w:rFonts w:hint="default" w:ascii="Times New Roman" w:hAnsi="Times New Roman" w:eastAsia="宋体" w:cs="Times New Roman"/>
                      <w:b/>
                      <w:bCs w:val="0"/>
                      <w:color w:val="000000" w:themeColor="text1"/>
                      <w:sz w:val="18"/>
                      <w:szCs w:val="18"/>
                      <w14:textFill>
                        <w14:solidFill>
                          <w14:schemeClr w14:val="tx1"/>
                        </w14:solidFill>
                      </w14:textFill>
                    </w:rPr>
                    <w:t>I）和感染性（Infectivity</w:t>
                  </w:r>
                  <w:r>
                    <w:rPr>
                      <w:rFonts w:hint="default" w:ascii="Times New Roman" w:hAnsi="Times New Roman" w:eastAsia="宋体" w:cs="Times New Roman"/>
                      <w:b/>
                      <w:bCs w:val="0"/>
                      <w:color w:val="000000" w:themeColor="text1"/>
                      <w:sz w:val="18"/>
                      <w:szCs w:val="18"/>
                      <w:lang w:eastAsia="zh-CN"/>
                      <w14:textFill>
                        <w14:solidFill>
                          <w14:schemeClr w14:val="tx1"/>
                        </w14:solidFill>
                      </w14:textFill>
                    </w:rPr>
                    <w:t>，</w:t>
                  </w:r>
                  <w:r>
                    <w:rPr>
                      <w:rFonts w:hint="default" w:ascii="Times New Roman" w:hAnsi="Times New Roman" w:eastAsia="宋体" w:cs="Times New Roman"/>
                      <w:b/>
                      <w:bCs w:val="0"/>
                      <w:color w:val="000000" w:themeColor="text1"/>
                      <w:sz w:val="18"/>
                      <w:szCs w:val="18"/>
                      <w14:textFill>
                        <w14:solidFill>
                          <w14:schemeClr w14:val="tx1"/>
                        </w14:solidFill>
                      </w14:textFill>
                    </w:rPr>
                    <w:t>In）</w:t>
                  </w:r>
                  <w:r>
                    <w:rPr>
                      <w:rFonts w:hint="default" w:ascii="Times New Roman" w:hAnsi="Times New Roman" w:eastAsia="宋体" w:cs="Times New Roman"/>
                      <w:b/>
                      <w:bCs w:val="0"/>
                      <w:color w:val="000000" w:themeColor="text1"/>
                      <w:sz w:val="18"/>
                      <w:szCs w:val="18"/>
                      <w:lang w:eastAsia="zh-CN"/>
                      <w14:textFill>
                        <w14:solidFill>
                          <w14:schemeClr w14:val="tx1"/>
                        </w14:solidFill>
                      </w14:textFill>
                    </w:rPr>
                    <w:t>“</w:t>
                  </w:r>
                  <w:r>
                    <w:rPr>
                      <w:rFonts w:hint="default" w:ascii="Times New Roman" w:hAnsi="Times New Roman" w:eastAsia="宋体" w:cs="Times New Roman"/>
                      <w:b/>
                      <w:bCs w:val="0"/>
                      <w:color w:val="000000" w:themeColor="text1"/>
                      <w:sz w:val="18"/>
                      <w:szCs w:val="18"/>
                      <w14:textFill>
                        <w14:solidFill>
                          <w14:schemeClr w14:val="tx1"/>
                        </w14:solidFill>
                      </w14:textFill>
                    </w:rPr>
                    <w:t>，</w:t>
                  </w:r>
                  <w:r>
                    <w:rPr>
                      <w:rFonts w:hint="default" w:ascii="Times New Roman" w:hAnsi="Times New Roman" w:eastAsia="宋体" w:cs="Times New Roman"/>
                      <w:b/>
                      <w:bCs w:val="0"/>
                      <w:color w:val="000000" w:themeColor="text1"/>
                      <w:sz w:val="18"/>
                      <w:szCs w:val="18"/>
                      <w:lang w:eastAsia="zh-CN"/>
                      <w14:textFill>
                        <w14:solidFill>
                          <w14:schemeClr w14:val="tx1"/>
                        </w14:solidFill>
                      </w14:textFill>
                    </w:rPr>
                    <w:t>”</w:t>
                  </w:r>
                  <w:r>
                    <w:rPr>
                      <w:rFonts w:hint="default" w:ascii="Times New Roman" w:hAnsi="Times New Roman" w:eastAsia="宋体" w:cs="Times New Roman"/>
                      <w:b/>
                      <w:bCs w:val="0"/>
                      <w:color w:val="000000" w:themeColor="text1"/>
                      <w:sz w:val="18"/>
                      <w:szCs w:val="18"/>
                      <w14:textFill>
                        <w14:solidFill>
                          <w14:schemeClr w14:val="tx1"/>
                        </w14:solidFill>
                      </w14:textFill>
                    </w:rPr>
                    <w:t>分隔的多个危险特性代码，表示该种废物具有列在第一位代码所代表的危险特性，且可能具有所列其他代码代表的危险特性；</w:t>
                  </w:r>
                  <w:r>
                    <w:rPr>
                      <w:rFonts w:hint="default" w:ascii="Times New Roman" w:hAnsi="Times New Roman" w:eastAsia="宋体" w:cs="Times New Roman"/>
                      <w:b/>
                      <w:bCs w:val="0"/>
                      <w:color w:val="000000" w:themeColor="text1"/>
                      <w:sz w:val="18"/>
                      <w:szCs w:val="18"/>
                      <w:lang w:eastAsia="zh-CN"/>
                      <w14:textFill>
                        <w14:solidFill>
                          <w14:schemeClr w14:val="tx1"/>
                        </w14:solidFill>
                      </w14:textFill>
                    </w:rPr>
                    <w:t>“</w:t>
                  </w:r>
                  <w:r>
                    <w:rPr>
                      <w:rFonts w:hint="default" w:ascii="Times New Roman" w:hAnsi="Times New Roman" w:eastAsia="宋体" w:cs="Times New Roman"/>
                      <w:b/>
                      <w:bCs w:val="0"/>
                      <w:color w:val="000000" w:themeColor="text1"/>
                      <w:sz w:val="18"/>
                      <w:szCs w:val="18"/>
                      <w14:textFill>
                        <w14:solidFill>
                          <w14:schemeClr w14:val="tx1"/>
                        </w14:solidFill>
                      </w14:textFill>
                    </w:rPr>
                    <w:t>/</w:t>
                  </w:r>
                  <w:r>
                    <w:rPr>
                      <w:rFonts w:hint="default" w:ascii="Times New Roman" w:hAnsi="Times New Roman" w:eastAsia="宋体" w:cs="Times New Roman"/>
                      <w:b/>
                      <w:bCs w:val="0"/>
                      <w:color w:val="000000" w:themeColor="text1"/>
                      <w:sz w:val="18"/>
                      <w:szCs w:val="18"/>
                      <w:lang w:eastAsia="zh-CN"/>
                      <w14:textFill>
                        <w14:solidFill>
                          <w14:schemeClr w14:val="tx1"/>
                        </w14:solidFill>
                      </w14:textFill>
                    </w:rPr>
                    <w:t>”</w:t>
                  </w:r>
                  <w:r>
                    <w:rPr>
                      <w:rFonts w:hint="default" w:ascii="Times New Roman" w:hAnsi="Times New Roman" w:eastAsia="宋体" w:cs="Times New Roman"/>
                      <w:b/>
                      <w:bCs w:val="0"/>
                      <w:color w:val="000000" w:themeColor="text1"/>
                      <w:sz w:val="18"/>
                      <w:szCs w:val="18"/>
                      <w14:textFill>
                        <w14:solidFill>
                          <w14:schemeClr w14:val="tx1"/>
                        </w14:solidFill>
                      </w14:textFill>
                    </w:rPr>
                    <w:t>分隔的多个危险特性代码，表示该种危险废物具有所列代码所代表的一种或多种危险特性。</w:t>
                  </w:r>
                </w:p>
              </w:tc>
            </w:tr>
          </w:tbl>
          <w:p w14:paraId="5FBE077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环境管理要求</w:t>
            </w:r>
          </w:p>
          <w:p w14:paraId="0F03234C">
            <w:pPr>
              <w:keepNext w:val="0"/>
              <w:keepLines w:val="0"/>
              <w:pageBreakBefore w:val="0"/>
              <w:widowControl w:val="0"/>
              <w:kinsoku/>
              <w:wordWrap/>
              <w:overflowPunct/>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szCs w:val="28"/>
                <w14:textFill>
                  <w14:solidFill>
                    <w14:schemeClr w14:val="tx1"/>
                  </w14:solidFill>
                </w14:textFill>
              </w:rPr>
            </w:pPr>
            <w:r>
              <w:rPr>
                <w:rFonts w:hint="eastAsia" w:ascii="Times New Roman" w:hAnsi="Times New Roman" w:eastAsia="宋体" w:cs="Times New Roman"/>
                <w:b/>
                <w:bCs/>
                <w:color w:val="000000" w:themeColor="text1"/>
                <w:sz w:val="24"/>
                <w:lang w:eastAsia="zh-CN"/>
                <w14:textFill>
                  <w14:solidFill>
                    <w14:schemeClr w14:val="tx1"/>
                  </w14:solidFill>
                </w14:textFill>
              </w:rPr>
              <w:t>（</w:t>
            </w:r>
            <w:r>
              <w:rPr>
                <w:rFonts w:hint="eastAsia" w:ascii="Times New Roman" w:hAnsi="Times New Roman" w:eastAsia="宋体" w:cs="Times New Roman"/>
                <w:b/>
                <w:bCs/>
                <w:color w:val="000000" w:themeColor="text1"/>
                <w:sz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一般固体废物贮存要求</w:t>
            </w:r>
            <w:r>
              <w:rPr>
                <w:rFonts w:hint="default" w:ascii="Times New Roman" w:hAnsi="Times New Roman" w:eastAsia="宋体" w:cs="Times New Roman"/>
                <w:b/>
                <w:bCs/>
                <w:color w:val="000000" w:themeColor="text1"/>
                <w:sz w:val="24"/>
                <w:szCs w:val="28"/>
                <w14:textFill>
                  <w14:solidFill>
                    <w14:schemeClr w14:val="tx1"/>
                  </w14:solidFill>
                </w14:textFill>
              </w:rPr>
              <w:t>：</w:t>
            </w:r>
          </w:p>
          <w:p w14:paraId="7C68A5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color w:val="000000" w:themeColor="text1"/>
                <w:kern w:val="24"/>
                <w:sz w:val="24"/>
                <w:szCs w:val="24"/>
                <w:highlight w:val="none"/>
                <w14:textFill>
                  <w14:solidFill>
                    <w14:schemeClr w14:val="tx1"/>
                  </w14:solidFill>
                </w14:textFill>
              </w:rPr>
            </w:pPr>
            <w:r>
              <w:rPr>
                <w:rFonts w:hint="eastAsia"/>
                <w:color w:val="000000" w:themeColor="text1"/>
                <w:kern w:val="24"/>
                <w:sz w:val="24"/>
                <w:szCs w:val="24"/>
                <w:highlight w:val="none"/>
                <w14:textFill>
                  <w14:solidFill>
                    <w14:schemeClr w14:val="tx1"/>
                  </w14:solidFill>
                </w14:textFill>
              </w:rPr>
              <w:t>生活垃圾</w:t>
            </w:r>
            <w:r>
              <w:rPr>
                <w:rFonts w:hint="eastAsia"/>
                <w:color w:val="000000" w:themeColor="text1"/>
                <w:kern w:val="24"/>
                <w:sz w:val="24"/>
                <w:szCs w:val="24"/>
                <w:highlight w:val="none"/>
                <w:lang w:val="en-US" w:eastAsia="zh-CN"/>
                <w14:textFill>
                  <w14:solidFill>
                    <w14:schemeClr w14:val="tx1"/>
                  </w14:solidFill>
                </w14:textFill>
              </w:rPr>
              <w:t>和含油废手套、废抹布</w:t>
            </w:r>
            <w:r>
              <w:rPr>
                <w:rFonts w:hint="eastAsia"/>
                <w:color w:val="000000" w:themeColor="text1"/>
                <w:kern w:val="24"/>
                <w:sz w:val="24"/>
                <w:szCs w:val="24"/>
                <w:highlight w:val="none"/>
                <w14:textFill>
                  <w14:solidFill>
                    <w14:schemeClr w14:val="tx1"/>
                  </w14:solidFill>
                </w14:textFill>
              </w:rPr>
              <w:t>应经站区内封闭式垃圾桶分类集中收集后，由环卫部门统一清运处理。</w:t>
            </w:r>
          </w:p>
          <w:p w14:paraId="5E0A0780">
            <w:pPr>
              <w:keepNext w:val="0"/>
              <w:keepLines w:val="0"/>
              <w:pageBreakBefore w:val="0"/>
              <w:widowControl w:val="0"/>
              <w:kinsoku/>
              <w:wordWrap/>
              <w:topLinePunct w:val="0"/>
              <w:autoSpaceDE/>
              <w:autoSpaceDN/>
              <w:bidi w:val="0"/>
              <w:adjustRightInd w:val="0"/>
              <w:snapToGrid w:val="0"/>
              <w:spacing w:line="360" w:lineRule="auto"/>
              <w:ind w:left="0" w:leftChars="0" w:right="0" w:rightChars="0"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① </w:t>
            </w:r>
            <w:r>
              <w:rPr>
                <w:rFonts w:hint="default" w:ascii="Times New Roman" w:hAnsi="Times New Roman" w:cs="Times New Roman"/>
                <w:bCs/>
                <w:color w:val="000000" w:themeColor="text1"/>
                <w:spacing w:val="-6"/>
                <w:sz w:val="24"/>
                <w:szCs w:val="24"/>
                <w14:textFill>
                  <w14:solidFill>
                    <w14:schemeClr w14:val="tx1"/>
                  </w14:solidFill>
                </w14:textFill>
              </w:rPr>
              <w:t>一般固体废物的处理优先考虑资源的再生利用，减少对环境的污染</w:t>
            </w:r>
            <w:r>
              <w:rPr>
                <w:rFonts w:hint="default" w:ascii="Times New Roman" w:hAnsi="Times New Roman" w:cs="Times New Roman"/>
                <w:bCs/>
                <w:color w:val="000000" w:themeColor="text1"/>
                <w:sz w:val="24"/>
                <w:szCs w:val="24"/>
                <w14:textFill>
                  <w14:solidFill>
                    <w14:schemeClr w14:val="tx1"/>
                  </w14:solidFill>
                </w14:textFill>
              </w:rPr>
              <w:t>；</w:t>
            </w:r>
          </w:p>
          <w:p w14:paraId="7BAE8F4E">
            <w:pPr>
              <w:keepNext w:val="0"/>
              <w:keepLines w:val="0"/>
              <w:pageBreakBefore w:val="0"/>
              <w:widowControl w:val="0"/>
              <w:kinsoku/>
              <w:wordWrap/>
              <w:topLinePunct w:val="0"/>
              <w:autoSpaceDE/>
              <w:autoSpaceDN/>
              <w:bidi w:val="0"/>
              <w:adjustRightInd w:val="0"/>
              <w:snapToGrid w:val="0"/>
              <w:spacing w:line="360" w:lineRule="auto"/>
              <w:ind w:left="0" w:leftChars="0" w:right="0" w:rightChars="0"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② </w:t>
            </w:r>
            <w:r>
              <w:rPr>
                <w:rFonts w:hint="default" w:ascii="Times New Roman" w:hAnsi="Times New Roman" w:cs="Times New Roman"/>
                <w:bCs/>
                <w:color w:val="000000" w:themeColor="text1"/>
                <w:sz w:val="24"/>
                <w:szCs w:val="24"/>
                <w14:textFill>
                  <w14:solidFill>
                    <w14:schemeClr w14:val="tx1"/>
                  </w14:solidFill>
                </w14:textFill>
              </w:rPr>
              <w:t>一般固体废物与生活垃圾分别处置；</w:t>
            </w:r>
          </w:p>
          <w:p w14:paraId="5073C383">
            <w:pPr>
              <w:keepNext w:val="0"/>
              <w:keepLines w:val="0"/>
              <w:pageBreakBefore w:val="0"/>
              <w:widowControl w:val="0"/>
              <w:kinsoku/>
              <w:wordWrap/>
              <w:topLinePunct w:val="0"/>
              <w:autoSpaceDE/>
              <w:autoSpaceDN/>
              <w:bidi w:val="0"/>
              <w:adjustRightInd w:val="0"/>
              <w:snapToGrid w:val="0"/>
              <w:spacing w:line="360" w:lineRule="auto"/>
              <w:ind w:left="0" w:leftChars="0" w:right="0" w:rightChars="0"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 xml:space="preserve">③ </w:t>
            </w:r>
            <w:r>
              <w:rPr>
                <w:rFonts w:hint="default" w:ascii="Times New Roman" w:hAnsi="Times New Roman" w:cs="Times New Roman"/>
                <w:bCs/>
                <w:color w:val="000000" w:themeColor="text1"/>
                <w:sz w:val="24"/>
                <w:szCs w:val="24"/>
                <w14:textFill>
                  <w14:solidFill>
                    <w14:schemeClr w14:val="tx1"/>
                  </w14:solidFill>
                </w14:textFill>
              </w:rPr>
              <w:t>妥善处理产生的固体废物，不造成二次污染。</w:t>
            </w:r>
          </w:p>
          <w:p w14:paraId="140BA02F">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0" w:firstLineChars="200"/>
              <w:textAlignment w:val="auto"/>
              <w:rPr>
                <w:rFonts w:hint="eastAsia" w:eastAsia="宋体" w:cs="Times New Roman"/>
                <w:color w:val="0000FF"/>
                <w:sz w:val="24"/>
                <w:szCs w:val="24"/>
                <w:lang w:eastAsia="zh-CN"/>
              </w:rPr>
            </w:pPr>
            <w:r>
              <w:rPr>
                <w:rFonts w:hint="default" w:ascii="Times New Roman" w:hAnsi="Times New Roman" w:cs="Times New Roman"/>
                <w:bCs/>
                <w:color w:val="0000FF"/>
                <w:sz w:val="24"/>
                <w:szCs w:val="24"/>
                <w:lang w:val="en-US" w:eastAsia="zh-CN"/>
              </w:rPr>
              <w:t xml:space="preserve">④ </w:t>
            </w:r>
            <w:r>
              <w:rPr>
                <w:rFonts w:hint="eastAsia" w:cs="Times New Roman"/>
                <w:bCs/>
                <w:color w:val="0000FF"/>
                <w:sz w:val="24"/>
                <w:szCs w:val="24"/>
                <w:lang w:val="en-US" w:eastAsia="zh-CN"/>
              </w:rPr>
              <w:t>站</w:t>
            </w:r>
            <w:r>
              <w:rPr>
                <w:rFonts w:hint="default" w:ascii="Times New Roman" w:hAnsi="Times New Roman" w:cs="Times New Roman"/>
                <w:bCs/>
                <w:color w:val="0000FF"/>
                <w:sz w:val="24"/>
                <w:szCs w:val="24"/>
                <w:lang w:val="en-US" w:eastAsia="zh-CN"/>
              </w:rPr>
              <w:t>内一般固体废物按照《一般工业固体废物贮存和填埋污染控制标准》（GB18599-2020）要求在单独地点妥善收集、储存，外售</w:t>
            </w:r>
            <w:r>
              <w:rPr>
                <w:rFonts w:hint="eastAsia" w:cs="Times New Roman"/>
                <w:bCs/>
                <w:color w:val="0000FF"/>
                <w:sz w:val="24"/>
                <w:szCs w:val="24"/>
                <w:lang w:val="en-US" w:eastAsia="zh-CN"/>
              </w:rPr>
              <w:t>，</w:t>
            </w:r>
            <w:r>
              <w:rPr>
                <w:rFonts w:hint="eastAsia" w:eastAsia="宋体" w:cs="Times New Roman"/>
                <w:color w:val="0000FF"/>
                <w:sz w:val="24"/>
                <w:szCs w:val="24"/>
              </w:rPr>
              <w:t>其建设要求必须满足</w:t>
            </w:r>
            <w:r>
              <w:rPr>
                <w:rFonts w:eastAsia="宋体" w:cs="Times New Roman"/>
                <w:color w:val="0000FF"/>
                <w:sz w:val="24"/>
                <w:szCs w:val="24"/>
              </w:rPr>
              <w:t>《一般工业固体废物贮存和填埋污染控制标准》（GB18599-2020）要求</w:t>
            </w:r>
            <w:r>
              <w:rPr>
                <w:rFonts w:hint="eastAsia" w:eastAsia="宋体" w:cs="Times New Roman"/>
                <w:color w:val="0000FF"/>
                <w:sz w:val="24"/>
                <w:szCs w:val="24"/>
                <w:lang w:eastAsia="zh-CN"/>
              </w:rPr>
              <w:t>：</w:t>
            </w:r>
          </w:p>
          <w:p w14:paraId="2E587EA5">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0" w:firstLineChars="200"/>
              <w:textAlignment w:val="auto"/>
              <w:rPr>
                <w:rFonts w:hint="eastAsia" w:ascii="Times New Roman" w:hAnsi="Times New Roman" w:eastAsia="宋体" w:cs="Times New Roman"/>
                <w:color w:val="0000FF"/>
                <w:sz w:val="24"/>
                <w:szCs w:val="24"/>
                <w:lang w:eastAsia="zh-CN"/>
              </w:rPr>
            </w:pPr>
            <w:r>
              <w:rPr>
                <w:rFonts w:hint="eastAsia" w:ascii="Times New Roman" w:hAnsi="Times New Roman" w:cs="Times New Roman"/>
                <w:color w:val="0000FF"/>
                <w:sz w:val="24"/>
                <w:szCs w:val="24"/>
                <w:lang w:val="en-US" w:eastAsia="zh-CN"/>
              </w:rPr>
              <w:t>1）</w:t>
            </w:r>
            <w:r>
              <w:rPr>
                <w:rFonts w:hint="eastAsia" w:ascii="Times New Roman" w:hAnsi="Times New Roman" w:eastAsia="宋体" w:cs="Times New Roman"/>
                <w:color w:val="0000FF"/>
                <w:sz w:val="24"/>
                <w:szCs w:val="24"/>
                <w:lang w:eastAsia="zh-CN"/>
              </w:rPr>
              <w:t>当天然基础层饱和渗透系数不大于1.0×10</w:t>
            </w:r>
            <w:r>
              <w:rPr>
                <w:rFonts w:hint="eastAsia" w:ascii="Times New Roman" w:hAnsi="Times New Roman" w:eastAsia="宋体" w:cs="Times New Roman"/>
                <w:color w:val="0000FF"/>
                <w:sz w:val="24"/>
                <w:szCs w:val="24"/>
                <w:vertAlign w:val="superscript"/>
                <w:lang w:eastAsia="zh-CN"/>
              </w:rPr>
              <w:t>-5</w:t>
            </w:r>
            <w:r>
              <w:rPr>
                <w:rFonts w:hint="eastAsia" w:ascii="Times New Roman" w:hAnsi="Times New Roman" w:eastAsia="宋体" w:cs="Times New Roman"/>
                <w:color w:val="0000FF"/>
                <w:sz w:val="24"/>
                <w:szCs w:val="24"/>
                <w:lang w:eastAsia="zh-CN"/>
              </w:rPr>
              <w:t>cm/s，且厚度不小于0.75m时，可以采用天然基础层作为防渗衬层。</w:t>
            </w:r>
          </w:p>
          <w:p w14:paraId="1AA4A451">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FF"/>
                <w:sz w:val="24"/>
                <w:szCs w:val="24"/>
                <w:lang w:val="en-US" w:eastAsia="zh-CN"/>
              </w:rPr>
            </w:pPr>
            <w:r>
              <w:rPr>
                <w:rFonts w:hint="eastAsia" w:ascii="Times New Roman" w:hAnsi="Times New Roman" w:cs="Times New Roman"/>
                <w:color w:val="0000FF"/>
                <w:sz w:val="24"/>
                <w:szCs w:val="24"/>
                <w:lang w:val="en-US" w:eastAsia="zh-CN"/>
              </w:rPr>
              <w:t>2）</w:t>
            </w:r>
            <w:r>
              <w:rPr>
                <w:rFonts w:hint="eastAsia" w:ascii="Times New Roman" w:hAnsi="Times New Roman" w:eastAsia="宋体" w:cs="Times New Roman"/>
                <w:color w:val="0000FF"/>
                <w:sz w:val="24"/>
                <w:szCs w:val="24"/>
                <w:lang w:eastAsia="zh-CN"/>
              </w:rPr>
              <w:t>当天然基础层不能满足5.2.1条防渗要求时，可采用改性压实粘土类衬层或具有同等以上隔水效力的其他材料防渗衬层，其防渗性能应至少相当于渗透系数为1.0×10</w:t>
            </w:r>
            <w:r>
              <w:rPr>
                <w:rFonts w:hint="eastAsia" w:ascii="Times New Roman" w:hAnsi="Times New Roman" w:eastAsia="宋体" w:cs="Times New Roman"/>
                <w:color w:val="0000FF"/>
                <w:sz w:val="24"/>
                <w:szCs w:val="24"/>
                <w:vertAlign w:val="superscript"/>
                <w:lang w:eastAsia="zh-CN"/>
              </w:rPr>
              <w:t>-5</w:t>
            </w:r>
            <w:r>
              <w:rPr>
                <w:rFonts w:hint="eastAsia" w:ascii="Times New Roman" w:hAnsi="Times New Roman" w:eastAsia="宋体" w:cs="Times New Roman"/>
                <w:color w:val="0000FF"/>
                <w:sz w:val="24"/>
                <w:szCs w:val="24"/>
                <w:lang w:eastAsia="zh-CN"/>
              </w:rPr>
              <w:t>cm/s且厚度为0.75m的天然基础层。</w:t>
            </w:r>
          </w:p>
          <w:p w14:paraId="7879D4D0">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000000" w:themeColor="text1"/>
                <w:sz w:val="24"/>
                <w:lang w:eastAsia="zh-CN"/>
                <w14:textFill>
                  <w14:solidFill>
                    <w14:schemeClr w14:val="tx1"/>
                  </w14:solidFill>
                </w14:textFill>
              </w:rPr>
            </w:pPr>
            <w:r>
              <w:rPr>
                <w:rFonts w:hint="eastAsia" w:ascii="Times New Roman" w:hAnsi="Times New Roman" w:eastAsia="宋体" w:cs="Times New Roman"/>
                <w:bCs/>
                <w:color w:val="auto"/>
                <w:sz w:val="24"/>
                <w:szCs w:val="24"/>
                <w:lang w:val="en-US" w:eastAsia="zh-CN"/>
              </w:rPr>
              <w:t>⑤</w:t>
            </w:r>
            <w:r>
              <w:rPr>
                <w:rFonts w:hint="eastAsia" w:cs="Times New Roman"/>
                <w:bCs/>
                <w:color w:val="auto"/>
                <w:sz w:val="24"/>
                <w:szCs w:val="24"/>
                <w:lang w:val="en-US" w:eastAsia="zh-CN"/>
              </w:rPr>
              <w:t xml:space="preserve"> </w:t>
            </w:r>
            <w:r>
              <w:rPr>
                <w:rFonts w:hint="default" w:ascii="Times New Roman" w:hAnsi="Times New Roman" w:cs="Times New Roman"/>
                <w:bCs/>
                <w:color w:val="auto"/>
                <w:sz w:val="24"/>
                <w:szCs w:val="24"/>
                <w:lang w:val="en-US" w:eastAsia="zh-CN"/>
              </w:rPr>
              <w:t>此外企业应建立一般固体废物污染环境防治责任制度按照《一般工业固体废物管理台账制定指南（试行）》建立固体废物管理台账，如实记录工业固体废物的种类、数量、流向、贮存、利用、处置等信息。</w:t>
            </w:r>
          </w:p>
          <w:p w14:paraId="157CE57F">
            <w:pPr>
              <w:keepNext w:val="0"/>
              <w:keepLines w:val="0"/>
              <w:pageBreakBefore w:val="0"/>
              <w:widowControl w:val="0"/>
              <w:kinsoku/>
              <w:wordWrap/>
              <w:overflowPunct/>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14:textFill>
                  <w14:solidFill>
                    <w14:schemeClr w14:val="tx1"/>
                  </w14:solidFill>
                </w14:textFill>
              </w:rPr>
              <w:t>危险废物贮存及转移要求：</w:t>
            </w:r>
          </w:p>
          <w:p w14:paraId="0D3894D4">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环评要求建设方</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与有资质单位签订处理协议，</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对隔油池废油和油泥做到随清随运，不在站内储存</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危险废物的</w:t>
            </w:r>
            <w:r>
              <w:rPr>
                <w:rFonts w:hint="default" w:ascii="Times New Roman" w:hAnsi="Times New Roman" w:eastAsia="宋体" w:cs="Times New Roman"/>
                <w:color w:val="000000" w:themeColor="text1"/>
                <w:sz w:val="24"/>
                <w:szCs w:val="24"/>
                <w14:textFill>
                  <w14:solidFill>
                    <w14:schemeClr w14:val="tx1"/>
                  </w14:solidFill>
                </w14:textFill>
              </w:rPr>
              <w:t>转移和处理必须按照国家危险废弃物管理的规定，严格遵守《</w:t>
            </w:r>
            <w:r>
              <w:rPr>
                <w:rFonts w:hint="default" w:ascii="Times New Roman" w:hAnsi="Times New Roman" w:eastAsia="宋体" w:cs="Times New Roman"/>
                <w:color w:val="000000" w:themeColor="text1"/>
                <w:sz w:val="24"/>
                <w:szCs w:val="24"/>
                <w:lang w:eastAsia="zh-CN"/>
                <w14:textFill>
                  <w14:solidFill>
                    <w14:schemeClr w14:val="tx1"/>
                  </w14:solidFill>
                </w14:textFill>
              </w:rPr>
              <w:t>危险废物转移管理办法</w:t>
            </w:r>
            <w:r>
              <w:rPr>
                <w:rFonts w:hint="default" w:ascii="Times New Roman" w:hAnsi="Times New Roman" w:eastAsia="宋体" w:cs="Times New Roman"/>
                <w:color w:val="000000" w:themeColor="text1"/>
                <w:sz w:val="24"/>
                <w:szCs w:val="24"/>
                <w14:textFill>
                  <w14:solidFill>
                    <w14:schemeClr w14:val="tx1"/>
                  </w14:solidFill>
                </w14:textFill>
              </w:rPr>
              <w:t>》及《建设项目危险废物环境影响评价指南》执行。</w:t>
            </w:r>
          </w:p>
          <w:p w14:paraId="7E16D275">
            <w:pPr>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baseline"/>
              <w:rPr>
                <w:rStyle w:val="93"/>
                <w:rFonts w:hint="default" w:ascii="Times New Roman" w:hAnsi="Times New Roman" w:eastAsia="宋体" w:cs="Times New Roman"/>
                <w:color w:val="0000FF"/>
                <w:spacing w:val="0"/>
                <w:sz w:val="24"/>
                <w:szCs w:val="24"/>
                <w:highlight w:val="none"/>
              </w:rPr>
            </w:pPr>
            <w:r>
              <w:rPr>
                <w:rFonts w:hint="default" w:ascii="Times New Roman" w:hAnsi="Times New Roman" w:eastAsia="宋体" w:cs="Times New Roman"/>
                <w:color w:val="0000FF"/>
                <w:spacing w:val="0"/>
                <w:kern w:val="2"/>
                <w:sz w:val="24"/>
                <w:szCs w:val="24"/>
                <w:lang w:val="en-US" w:eastAsia="zh-CN" w:bidi="ar-SA"/>
              </w:rPr>
              <w:t>①</w:t>
            </w:r>
            <w:r>
              <w:rPr>
                <w:rStyle w:val="93"/>
                <w:rFonts w:hint="default" w:ascii="Times New Roman" w:hAnsi="Times New Roman" w:eastAsia="宋体" w:cs="Times New Roman"/>
                <w:color w:val="0000FF"/>
                <w:spacing w:val="0"/>
                <w:sz w:val="24"/>
                <w:szCs w:val="24"/>
                <w:highlight w:val="none"/>
              </w:rPr>
              <w:t>建设单位应建立危险废物管理计划，并报当地环境保护行政主管部门备案，危险废物管理计划内容有重大改变的，应当及时申报。如实地向所在地环境保护行政主管部门申报危险废物的种类、产生量、流向、贮存、处置等有关资料。</w:t>
            </w:r>
          </w:p>
          <w:p w14:paraId="174D2FE2">
            <w:pPr>
              <w:keepNext w:val="0"/>
              <w:keepLines w:val="0"/>
              <w:pageBreakBefore w:val="0"/>
              <w:widowControl/>
              <w:numPr>
                <w:ilvl w:val="0"/>
                <w:numId w:val="0"/>
              </w:numPr>
              <w:suppressLineNumbers w:val="0"/>
              <w:wordWrap/>
              <w:overflowPunct/>
              <w:topLinePunct w:val="0"/>
              <w:autoSpaceDE w:val="0"/>
              <w:autoSpaceDN w:val="0"/>
              <w:bidi w:val="0"/>
              <w:adjustRightInd w:val="0"/>
              <w:snapToGrid w:val="0"/>
              <w:spacing w:line="360" w:lineRule="auto"/>
              <w:ind w:left="0" w:leftChars="0" w:firstLine="400" w:firstLineChars="0"/>
              <w:jc w:val="both"/>
              <w:textAlignment w:val="baseline"/>
              <w:rPr>
                <w:rFonts w:hint="default" w:ascii="Times New Roman" w:hAnsi="Times New Roman" w:eastAsia="宋体" w:cs="Times New Roman"/>
                <w:color w:val="0000FF"/>
                <w:sz w:val="24"/>
                <w:szCs w:val="24"/>
                <w:highlight w:val="none"/>
              </w:rPr>
            </w:pPr>
            <w:r>
              <w:rPr>
                <w:rFonts w:hint="default" w:ascii="Times New Roman" w:hAnsi="Times New Roman" w:eastAsia="宋体" w:cs="Times New Roman"/>
                <w:color w:val="0000FF"/>
                <w:kern w:val="2"/>
                <w:sz w:val="24"/>
                <w:szCs w:val="24"/>
                <w:lang w:val="en-US" w:eastAsia="zh-CN" w:bidi="ar-SA"/>
              </w:rPr>
              <w:t>②</w:t>
            </w:r>
            <w:r>
              <w:rPr>
                <w:rFonts w:hint="default" w:ascii="Times New Roman" w:hAnsi="Times New Roman" w:eastAsia="宋体" w:cs="Times New Roman"/>
                <w:snapToGrid w:val="0"/>
                <w:color w:val="0000FF"/>
                <w:kern w:val="0"/>
                <w:sz w:val="24"/>
                <w:szCs w:val="24"/>
                <w:highlight w:val="none"/>
                <w:lang w:val="en-US" w:eastAsia="zh-CN" w:bidi="ar"/>
              </w:rPr>
              <w:t>危险废物环境重点监管单位的管理计划制定内容应包括单位基本信息、设施信息、危险废物产生情况信息、危险废物贮存情况信息、危险废物自行利用/处置情况信息、危险废物减量化计划和措施、危险废物转移情况信息。</w:t>
            </w:r>
          </w:p>
          <w:p w14:paraId="66CA47D9">
            <w:pPr>
              <w:keepNext w:val="0"/>
              <w:keepLines w:val="0"/>
              <w:pageBreakBefore w:val="0"/>
              <w:widowControl/>
              <w:numPr>
                <w:ilvl w:val="0"/>
                <w:numId w:val="0"/>
              </w:numPr>
              <w:suppressLineNumbers w:val="0"/>
              <w:wordWrap/>
              <w:overflowPunct/>
              <w:topLinePunct w:val="0"/>
              <w:autoSpaceDE w:val="0"/>
              <w:autoSpaceDN w:val="0"/>
              <w:bidi w:val="0"/>
              <w:adjustRightInd w:val="0"/>
              <w:snapToGrid w:val="0"/>
              <w:spacing w:line="360" w:lineRule="auto"/>
              <w:ind w:left="0" w:leftChars="0" w:firstLine="400" w:firstLineChars="0"/>
              <w:jc w:val="both"/>
              <w:textAlignment w:val="baseline"/>
              <w:rPr>
                <w:rFonts w:hint="default" w:ascii="Times New Roman" w:hAnsi="Times New Roman" w:eastAsia="宋体" w:cs="Times New Roman"/>
                <w:color w:val="0000FF"/>
                <w:sz w:val="24"/>
                <w:szCs w:val="24"/>
                <w:highlight w:val="none"/>
              </w:rPr>
            </w:pPr>
            <w:r>
              <w:rPr>
                <w:rFonts w:hint="default" w:ascii="Times New Roman" w:hAnsi="Times New Roman" w:eastAsia="宋体" w:cs="Times New Roman"/>
                <w:color w:val="0000FF"/>
                <w:kern w:val="2"/>
                <w:sz w:val="24"/>
                <w:szCs w:val="24"/>
                <w:lang w:val="en-US" w:eastAsia="zh-CN" w:bidi="ar-SA"/>
              </w:rPr>
              <w:t>③</w:t>
            </w:r>
            <w:r>
              <w:rPr>
                <w:rFonts w:hint="default" w:ascii="Times New Roman" w:hAnsi="Times New Roman" w:eastAsia="宋体" w:cs="Times New Roman"/>
                <w:snapToGrid w:val="0"/>
                <w:color w:val="0000FF"/>
                <w:kern w:val="0"/>
                <w:sz w:val="24"/>
                <w:szCs w:val="24"/>
                <w:highlight w:val="none"/>
                <w:lang w:val="en-US" w:eastAsia="zh-CN" w:bidi="ar"/>
              </w:rPr>
              <w:t>危险废物简化管理单位的管理计划制定内容应包括单位基本信息、危险废物产生情况信息、危险废物贮存情况信息、危险废物减量化计划和措施、危险废物转移情况信息。</w:t>
            </w:r>
          </w:p>
          <w:p w14:paraId="1A5D17DF">
            <w:pPr>
              <w:keepNext w:val="0"/>
              <w:keepLines w:val="0"/>
              <w:pageBreakBefore w:val="0"/>
              <w:widowControl/>
              <w:numPr>
                <w:ilvl w:val="0"/>
                <w:numId w:val="0"/>
              </w:numPr>
              <w:suppressLineNumbers w:val="0"/>
              <w:wordWrap/>
              <w:overflowPunct/>
              <w:topLinePunct w:val="0"/>
              <w:autoSpaceDE w:val="0"/>
              <w:autoSpaceDN w:val="0"/>
              <w:bidi w:val="0"/>
              <w:adjustRightInd w:val="0"/>
              <w:snapToGrid w:val="0"/>
              <w:spacing w:line="360" w:lineRule="auto"/>
              <w:ind w:left="0" w:leftChars="0" w:firstLine="400" w:firstLineChars="0"/>
              <w:jc w:val="both"/>
              <w:textAlignment w:val="baseline"/>
              <w:rPr>
                <w:rFonts w:hint="default" w:ascii="Times New Roman" w:hAnsi="Times New Roman" w:eastAsia="宋体" w:cs="Times New Roman"/>
                <w:color w:val="0000FF"/>
                <w:sz w:val="24"/>
                <w:szCs w:val="24"/>
                <w:highlight w:val="none"/>
              </w:rPr>
            </w:pPr>
            <w:r>
              <w:rPr>
                <w:rFonts w:hint="default" w:ascii="Times New Roman" w:hAnsi="Times New Roman" w:eastAsia="宋体" w:cs="Times New Roman"/>
                <w:color w:val="0000FF"/>
                <w:kern w:val="2"/>
                <w:sz w:val="24"/>
                <w:szCs w:val="24"/>
                <w:lang w:val="en-US" w:eastAsia="zh-CN" w:bidi="ar-SA"/>
              </w:rPr>
              <w:t>④</w:t>
            </w:r>
            <w:r>
              <w:rPr>
                <w:rFonts w:hint="default" w:ascii="Times New Roman" w:hAnsi="Times New Roman" w:eastAsia="宋体" w:cs="Times New Roman"/>
                <w:snapToGrid w:val="0"/>
                <w:color w:val="0000FF"/>
                <w:kern w:val="0"/>
                <w:sz w:val="24"/>
                <w:szCs w:val="24"/>
                <w:highlight w:val="none"/>
                <w:lang w:val="en-US" w:eastAsia="zh-CN" w:bidi="ar"/>
              </w:rPr>
              <w:t>危险废物登记管理单位的管理计划制定内容应包括单位基本信息、危险废物产生情况信息、危险废物转移情况信息。</w:t>
            </w:r>
          </w:p>
          <w:p w14:paraId="12B5A10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Style w:val="93"/>
                <w:rFonts w:hint="default" w:ascii="Times New Roman" w:hAnsi="Times New Roman" w:eastAsia="宋体" w:cs="Times New Roman"/>
                <w:color w:val="0000FF"/>
                <w:spacing w:val="0"/>
                <w:sz w:val="24"/>
                <w:szCs w:val="24"/>
                <w:highlight w:val="none"/>
              </w:rPr>
            </w:pPr>
            <w:r>
              <w:rPr>
                <w:rFonts w:hint="default" w:ascii="Times New Roman" w:hAnsi="Times New Roman" w:eastAsia="宋体" w:cs="Times New Roman"/>
                <w:color w:val="0000FF"/>
                <w:spacing w:val="0"/>
                <w:kern w:val="2"/>
                <w:sz w:val="24"/>
                <w:szCs w:val="24"/>
                <w:lang w:val="en-US" w:eastAsia="zh-CN" w:bidi="ar-SA"/>
              </w:rPr>
              <w:t>⑤</w:t>
            </w:r>
            <w:r>
              <w:rPr>
                <w:rStyle w:val="93"/>
                <w:rFonts w:hint="default" w:ascii="Times New Roman" w:hAnsi="Times New Roman" w:eastAsia="宋体" w:cs="Times New Roman"/>
                <w:color w:val="0000FF"/>
                <w:spacing w:val="0"/>
                <w:sz w:val="24"/>
                <w:szCs w:val="24"/>
                <w:highlight w:val="none"/>
              </w:rPr>
              <w:t>危险废物的容器和包装物必须设置危险废物识别标志。</w:t>
            </w:r>
          </w:p>
          <w:p w14:paraId="71A4A45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综上所述，建设项目落实既定的固体废物污染防治措施，固体废物的贮存满足</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防风、防雨、防渗</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等国家相关标准规定的要求、可以有效防止二次污染；固体废物的利用和处理处置满足</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一般固体废物及危险废物妥善处置</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的要求，可以实现固体废物零排放。</w:t>
            </w:r>
          </w:p>
          <w:p w14:paraId="22C5B10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10"/>
                <w:sz w:val="24"/>
                <w:szCs w:val="24"/>
                <w:lang w:val="en-US" w:eastAsia="zh-CN"/>
                <w14:textFill>
                  <w14:solidFill>
                    <w14:schemeClr w14:val="tx1"/>
                  </w14:solidFill>
                </w14:textFill>
              </w:rPr>
              <w:t>4.2.5 地下水、土壤防治措施</w:t>
            </w:r>
          </w:p>
          <w:p w14:paraId="363C12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eastAsia" w:ascii="Times New Roman" w:hAnsi="Times New Roman" w:eastAsia="宋体" w:cs="Times New Roman"/>
                <w:bCs/>
                <w:color w:val="000000" w:themeColor="text1"/>
                <w:spacing w:val="-1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建成后非正常状态下会因储油罐和输油管线的泄漏或渗漏对水的污染是相当的严重，储油罐和输油管线泄漏及加油泄漏可能发生的主要包括：自然灾害，如地震、洪水；操作失误或违章操作及土建施工质量不合格</w:t>
            </w:r>
            <w:r>
              <w:rPr>
                <w:rFonts w:hint="eastAsia" w:cs="Times New Roman"/>
                <w:color w:val="000000" w:themeColor="text1"/>
                <w:kern w:val="2"/>
                <w:sz w:val="24"/>
                <w:szCs w:val="24"/>
                <w:highlight w:val="none"/>
                <w:lang w:val="en-US" w:eastAsia="zh-CN" w:bidi="ar-SA"/>
                <w14:textFill>
                  <w14:solidFill>
                    <w14:schemeClr w14:val="tx1"/>
                  </w14:solidFill>
                </w14:textFill>
              </w:rPr>
              <w:t>及</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人为因素造成</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成品油泄漏或渗漏，导致的水环境污染；储油罐的年久失修，储油罐及输油管线腐蚀，致使成品油泄漏；管道连接不好或由于地面下沉，造成管道接口不严，致使泄漏或渗漏现象发生等。</w:t>
            </w:r>
            <w:r>
              <w:rPr>
                <w:rFonts w:hint="eastAsia" w:ascii="Times New Roman" w:hAnsi="Times New Roman" w:eastAsia="宋体" w:cs="Times New Roman"/>
                <w:bCs/>
                <w:color w:val="000000" w:themeColor="text1"/>
                <w:spacing w:val="-10"/>
                <w:sz w:val="24"/>
                <w:szCs w:val="24"/>
                <w:lang w:val="en-US" w:eastAsia="zh-CN"/>
                <w14:textFill>
                  <w14:solidFill>
                    <w14:schemeClr w14:val="tx1"/>
                  </w14:solidFill>
                </w14:textFill>
              </w:rPr>
              <w:t>油品储存对地下水产生污染的途径主要为渗透污染。渗透污染是导致地下水污染的普遍和主要方式。储罐和运输管道渗漏，含油污水的跑、冒、滴、漏和落地油等，都是通过包气带渗透到含水层而污染地下水的。包气带厚度愈薄，透水性愈好，就愈造成潜水污染，反之，包气带愈厚、透水性愈差，则其隔污能力就愈强，则潜水污染就愈轻。</w:t>
            </w:r>
          </w:p>
          <w:p w14:paraId="21F198D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Times New Roman" w:hAnsi="Times New Roman" w:eastAsia="宋体" w:cs="Times New Roman"/>
                <w:bCs/>
                <w:color w:val="000000" w:themeColor="text1"/>
                <w:spacing w:val="-10"/>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pacing w:val="-10"/>
                <w:sz w:val="24"/>
                <w:szCs w:val="24"/>
                <w:lang w:val="en-US" w:eastAsia="zh-CN"/>
                <w14:textFill>
                  <w14:solidFill>
                    <w14:schemeClr w14:val="tx1"/>
                  </w14:solidFill>
                </w14:textFill>
              </w:rPr>
              <w:t>1.防控措施</w:t>
            </w:r>
          </w:p>
          <w:p w14:paraId="45DF17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源头控制措施</w:t>
            </w:r>
          </w:p>
          <w:p w14:paraId="474DF4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应根据国家现行相关规范加强环境管理，采取防止和降低污染物跑、冒、滴、漏的措施。正常生产过程中应加强巡检及时处理污染物跑、冒、滴、漏，同时应加强对防渗工程的检查，若发现防渗密封材料老化或损坏，应及时维修更换；对工艺、设备</w:t>
            </w:r>
            <w:r>
              <w:rPr>
                <w:rFonts w:hint="eastAsia" w:eastAsia="宋体" w:cs="Times New Roman"/>
                <w:color w:val="000000" w:themeColor="text1"/>
                <w:sz w:val="24"/>
                <w:szCs w:val="24"/>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采取控制措施，防止污染物的跑、冒、滴、漏，将污染物泄漏的环境风险事故降到最低限度。</w:t>
            </w:r>
          </w:p>
          <w:p w14:paraId="636E27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防渗漏措施</w:t>
            </w:r>
          </w:p>
          <w:p w14:paraId="3FB4B18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根据《水污染防治行动计划》（水十条）中明确提出“为防治地下水污染，加油站地下油罐应于2017年底前全部更新为双层罐或者完成防渗池设置</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加油站地下水污染防控技术指南》（环办</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2017</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323号）中要求，为防止加油站油品泄漏，污染土壤和地下水，加油站需要采取防渗漏和防渗漏检测措施。</w:t>
            </w:r>
          </w:p>
          <w:p w14:paraId="23B247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a、本项目加油站油罐设计为</w:t>
            </w:r>
            <w:r>
              <w:rPr>
                <w:rFonts w:hint="eastAsia" w:cs="Times New Roman"/>
                <w:color w:val="000000" w:themeColor="text1"/>
                <w:sz w:val="24"/>
                <w:szCs w:val="24"/>
                <w:lang w:val="en-US" w:eastAsia="zh-CN"/>
                <w14:textFill>
                  <w14:solidFill>
                    <w14:schemeClr w14:val="tx1"/>
                  </w14:solidFill>
                </w14:textFill>
              </w:rPr>
              <w:t>地埋式F</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F双层油罐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即双层外玻璃纤维增强塑料油罐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。双层外玻璃纤维增强塑料油罐的内层罐的罐体结构设计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，按现行行业标准《玻璃纤维增强塑料储罐技术规范》（SYT0603-2019）的有关规定执行，并应符合《汽车加油加气加氢站技术标准》（GB50156-2021）的其他规定。</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FF双层油罐双层玻璃钢高效防腐、永不锈蚀，检修周期长，使用寿命长，且FF双层油罐如果内罐渗漏，双层间隙内带有一定压力的气体或检测液，会进入常压的内罐；双层间隙内的压力或液位会发生变化，触发声光报警器。储液并不会漏出，因此储液、土壤和地下水都是安全的</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cs="Times New Roman"/>
                <w:b w:val="0"/>
                <w:bCs w:val="0"/>
                <w:color w:val="000000" w:themeColor="text1"/>
                <w:kern w:val="2"/>
                <w:sz w:val="24"/>
                <w:szCs w:val="24"/>
                <w:lang w:val="en-US" w:eastAsia="zh-CN" w:bidi="ar-SA"/>
                <w14:textFill>
                  <w14:solidFill>
                    <w14:schemeClr w14:val="tx1"/>
                  </w14:solidFill>
                </w14:textFill>
              </w:rPr>
              <w:t>因此</w:t>
            </w:r>
            <w:r>
              <w:rPr>
                <w:rFonts w:hint="eastAsia" w:cs="Times New Roman"/>
                <w:color w:val="000000" w:themeColor="text1"/>
                <w:sz w:val="24"/>
                <w:szCs w:val="24"/>
                <w:lang w:val="en-US" w:eastAsia="zh-CN"/>
                <w14:textFill>
                  <w14:solidFill>
                    <w14:schemeClr w14:val="tx1"/>
                  </w14:solidFill>
                </w14:textFill>
              </w:rPr>
              <w:t>F</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F双层油罐</w:t>
            </w:r>
            <w:r>
              <w:rPr>
                <w:rFonts w:hint="eastAsia" w:cs="Times New Roman"/>
                <w:color w:val="000000" w:themeColor="text1"/>
                <w:sz w:val="24"/>
                <w:szCs w:val="24"/>
                <w:lang w:val="en-US" w:eastAsia="zh-CN"/>
                <w14:textFill>
                  <w14:solidFill>
                    <w14:schemeClr w14:val="tx1"/>
                  </w14:solidFill>
                </w14:textFill>
              </w:rPr>
              <w:t>可满足地下水防治相关要求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14:paraId="18C5A3A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c、在储油油罐的人孔井内和加油机底部的油盆底部都会安装泄漏探测器，只要有液体泄漏就会报警。其次，在卸油区和加油机附近都设置截油沟（截流沟渠），每周检查一次，定期清理。</w:t>
            </w:r>
          </w:p>
          <w:p w14:paraId="08DF5D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c、在储油油罐的人孔井内和加油机底部的油盆底部都会安装泄漏探测器，只要有液体泄漏就会报警。其次，在卸油区和加油机附近都设置截油沟（截流沟渠），每周检查一次，定期清理。</w:t>
            </w:r>
          </w:p>
          <w:p w14:paraId="1DF866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双层油罐系统的渗漏检测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可</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参考《双层罐渗漏检测系统》（GB/T30040）中的渗漏检测方法。地下储油罐周围设计防渗漏检查孔或检查通道，为及时发现地下油罐渗漏提供条件，防止成品油泄漏造成大面积的地下水污染。罐池的侧壁高度应不小于油罐的高度，从而形成防油堤，在发生漏油事故的情况下可以抑制油品扩散。罐池侧壁也应采取与罐池一样的防腐、防渗处理。在认真采取以上措施的基础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站区油品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一旦发生溢出与渗漏事故，油品将由于防渗层的保护作用，积聚在储油区，不会对地下水源造成影响。</w:t>
            </w:r>
          </w:p>
          <w:p w14:paraId="087F10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分区防治措施</w:t>
            </w:r>
          </w:p>
          <w:p w14:paraId="01CA59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根据《环境影响评价技术导则 地下水环境》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HJ610-2016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，本项目地下水环境保护防渗技术</w:t>
            </w:r>
            <w:r>
              <w:rPr>
                <w:rFonts w:hint="eastAsia" w:eastAsia="宋体" w:cs="Times New Roman"/>
                <w:color w:val="000000" w:themeColor="text1"/>
                <w:sz w:val="24"/>
                <w:szCs w:val="24"/>
                <w:lang w:val="en-US" w:eastAsia="zh-CN"/>
                <w14:textFill>
                  <w14:solidFill>
                    <w14:schemeClr w14:val="tx1"/>
                  </w14:solidFill>
                </w14:textFill>
              </w:rPr>
              <w:t>应按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要求做重点防渗、一般防渗。依据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《加油站地下水污染防治技术指南（试行）的通知》（环办水体函〔2017〕323号）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及《石油化工工程防渗技术规范》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GB/T50943-2013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，对本项目进行防渗区划分，详见表</w:t>
            </w:r>
            <w:r>
              <w:rPr>
                <w:rFonts w:hint="eastAsia" w:eastAsia="宋体" w:cs="Times New Roman"/>
                <w:color w:val="000000" w:themeColor="text1"/>
                <w:sz w:val="24"/>
                <w:szCs w:val="24"/>
                <w:lang w:val="en-US" w:eastAsia="zh-CN"/>
                <w14:textFill>
                  <w14:solidFill>
                    <w14:schemeClr w14:val="tx1"/>
                  </w14:solidFill>
                </w14:textFill>
              </w:rPr>
              <w:t>4-1</w:t>
            </w: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8D87E64">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right="113"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4-1</w:t>
            </w:r>
            <w:r>
              <w:rPr>
                <w:rFonts w:hint="eastAsia"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本项目防渗分区及措施</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244"/>
              <w:gridCol w:w="2613"/>
              <w:gridCol w:w="3723"/>
            </w:tblGrid>
            <w:tr w14:paraId="2A5DC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06" w:type="pct"/>
                  <w:tcBorders>
                    <w:tl2br w:val="nil"/>
                    <w:tr2bl w:val="nil"/>
                  </w:tcBorders>
                  <w:noWrap w:val="0"/>
                  <w:vAlign w:val="center"/>
                </w:tcPr>
                <w:p w14:paraId="2C1730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754" w:type="pct"/>
                  <w:tcBorders>
                    <w:tl2br w:val="nil"/>
                    <w:tr2bl w:val="nil"/>
                  </w:tcBorders>
                  <w:noWrap w:val="0"/>
                  <w:vAlign w:val="center"/>
                </w:tcPr>
                <w:p w14:paraId="7F146E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防渗分区</w:t>
                  </w:r>
                </w:p>
              </w:tc>
              <w:tc>
                <w:tcPr>
                  <w:tcW w:w="1583" w:type="pct"/>
                  <w:tcBorders>
                    <w:tl2br w:val="nil"/>
                    <w:tr2bl w:val="nil"/>
                  </w:tcBorders>
                  <w:noWrap w:val="0"/>
                  <w:vAlign w:val="center"/>
                </w:tcPr>
                <w:p w14:paraId="1C5E27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具体范围</w:t>
                  </w:r>
                </w:p>
              </w:tc>
              <w:tc>
                <w:tcPr>
                  <w:tcW w:w="2256" w:type="pct"/>
                  <w:tcBorders>
                    <w:tl2br w:val="nil"/>
                    <w:tr2bl w:val="nil"/>
                  </w:tcBorders>
                  <w:noWrap w:val="0"/>
                  <w:vAlign w:val="center"/>
                </w:tcPr>
                <w:p w14:paraId="223BFC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防渗要求</w:t>
                  </w:r>
                </w:p>
              </w:tc>
            </w:tr>
            <w:tr w14:paraId="42A43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tcBorders>
                    <w:tl2br w:val="nil"/>
                    <w:tr2bl w:val="nil"/>
                  </w:tcBorders>
                  <w:noWrap w:val="0"/>
                  <w:vAlign w:val="center"/>
                </w:tcPr>
                <w:p w14:paraId="0C08CB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754" w:type="pct"/>
                  <w:tcBorders>
                    <w:tl2br w:val="nil"/>
                    <w:tr2bl w:val="nil"/>
                  </w:tcBorders>
                  <w:noWrap w:val="0"/>
                  <w:vAlign w:val="center"/>
                </w:tcPr>
                <w:p w14:paraId="363AED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重点防渗区</w:t>
                  </w:r>
                </w:p>
              </w:tc>
              <w:tc>
                <w:tcPr>
                  <w:tcW w:w="1583" w:type="pct"/>
                  <w:tcBorders>
                    <w:tl2br w:val="nil"/>
                    <w:tr2bl w:val="nil"/>
                  </w:tcBorders>
                  <w:noWrap w:val="0"/>
                  <w:vAlign w:val="center"/>
                </w:tcPr>
                <w:p w14:paraId="037178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埋地油罐、加油区、卸油区、输油管线、储气区</w:t>
                  </w:r>
                </w:p>
              </w:tc>
              <w:tc>
                <w:tcPr>
                  <w:tcW w:w="2256" w:type="pct"/>
                  <w:tcBorders>
                    <w:tl2br w:val="nil"/>
                    <w:tr2bl w:val="nil"/>
                  </w:tcBorders>
                  <w:noWrap w:val="0"/>
                  <w:vAlign w:val="center"/>
                </w:tcPr>
                <w:p w14:paraId="427377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防渗性能不应低于6.0m厚，渗透系数为10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cm/s的黏土层的防渗性能。</w:t>
                  </w:r>
                </w:p>
              </w:tc>
            </w:tr>
            <w:tr w14:paraId="21562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tcBorders>
                    <w:tl2br w:val="nil"/>
                    <w:tr2bl w:val="nil"/>
                  </w:tcBorders>
                  <w:noWrap w:val="0"/>
                  <w:vAlign w:val="center"/>
                </w:tcPr>
                <w:p w14:paraId="5800F9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754" w:type="pct"/>
                  <w:tcBorders>
                    <w:tl2br w:val="nil"/>
                    <w:tr2bl w:val="nil"/>
                  </w:tcBorders>
                  <w:noWrap w:val="0"/>
                  <w:vAlign w:val="center"/>
                </w:tcPr>
                <w:p w14:paraId="433822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一般防渗区</w:t>
                  </w:r>
                </w:p>
              </w:tc>
              <w:tc>
                <w:tcPr>
                  <w:tcW w:w="1583" w:type="pct"/>
                  <w:tcBorders>
                    <w:tl2br w:val="nil"/>
                    <w:tr2bl w:val="nil"/>
                  </w:tcBorders>
                  <w:noWrap w:val="0"/>
                  <w:vAlign w:val="center"/>
                </w:tcPr>
                <w:p w14:paraId="4C22FE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站内地坪、站房及辅助用房、道路等</w:t>
                  </w:r>
                </w:p>
              </w:tc>
              <w:tc>
                <w:tcPr>
                  <w:tcW w:w="2256" w:type="pct"/>
                  <w:tcBorders>
                    <w:tl2br w:val="nil"/>
                    <w:tr2bl w:val="nil"/>
                  </w:tcBorders>
                  <w:noWrap w:val="0"/>
                  <w:vAlign w:val="center"/>
                </w:tcPr>
                <w:p w14:paraId="7A2D0B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防渗性能不应低于1.5m厚渗透系数为10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cm/s的黏土层的防渗性能。</w:t>
                  </w:r>
                </w:p>
              </w:tc>
            </w:tr>
          </w:tbl>
          <w:p w14:paraId="0867F22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zh-CN"/>
                <w14:textFill>
                  <w14:solidFill>
                    <w14:schemeClr w14:val="tx1"/>
                  </w14:solidFill>
                </w14:textFill>
              </w:rPr>
              <w:t>本次环评要求建设单位需严格按照</w:t>
            </w:r>
            <w:r>
              <w:rPr>
                <w:rFonts w:hint="eastAsia" w:ascii="Times New Roman" w:hAnsi="Times New Roman" w:eastAsia="宋体" w:cs="Times New Roman"/>
                <w:color w:val="000000" w:themeColor="text1"/>
                <w:sz w:val="24"/>
                <w:lang w:eastAsia="zh-CN"/>
                <w14:textFill>
                  <w14:solidFill>
                    <w14:schemeClr w14:val="tx1"/>
                  </w14:solidFill>
                </w14:textFill>
              </w:rPr>
              <w:t>《加油站地下水污染防治技术指南（试行）的通知》（环办水体函〔2017〕323号）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及《石油化工工程防渗技术规范》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GB/T50943-2013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color w:val="000000" w:themeColor="text1"/>
                <w:kern w:val="0"/>
                <w:sz w:val="24"/>
                <w:lang w:eastAsia="zh-CN" w:bidi="en-US"/>
                <w14:textFill>
                  <w14:solidFill>
                    <w14:schemeClr w14:val="tx1"/>
                  </w14:solidFill>
                </w14:textFill>
              </w:rPr>
              <w:t>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对站区各处设施进行</w:t>
            </w:r>
            <w:r>
              <w:rPr>
                <w:rFonts w:hint="eastAsia" w:eastAsia="宋体" w:cs="Times New Roman"/>
                <w:color w:val="000000" w:themeColor="text1"/>
                <w:sz w:val="24"/>
                <w:szCs w:val="24"/>
                <w:lang w:val="en-US" w:eastAsia="zh-CN"/>
                <w14:textFill>
                  <w14:solidFill>
                    <w14:schemeClr w14:val="tx1"/>
                  </w14:solidFill>
                </w14:textFill>
              </w:rPr>
              <w:t>分区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防渗处理。</w:t>
            </w:r>
          </w:p>
          <w:p w14:paraId="45A66E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0000FF"/>
                <w:sz w:val="24"/>
                <w:szCs w:val="24"/>
                <w:lang w:val="en-US" w:eastAsia="zh-CN"/>
              </w:rPr>
              <w:t>2.</w:t>
            </w:r>
            <w:r>
              <w:rPr>
                <w:rFonts w:hint="default" w:ascii="Times New Roman" w:hAnsi="Times New Roman" w:eastAsia="宋体" w:cs="Times New Roman"/>
                <w:color w:val="0000FF"/>
                <w:sz w:val="24"/>
                <w:szCs w:val="24"/>
                <w:lang w:val="en-US" w:eastAsia="zh-CN"/>
              </w:rPr>
              <w:t>跟踪监测计划</w:t>
            </w:r>
          </w:p>
          <w:p w14:paraId="21341D2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依据《加油站地下水污染防治技术指南（试行）》（环办水体函[2017]323号）“2.3”的规定：处于地下水饮用水源保护区和补给径流区外的加油站，可设置一个地下水监测井，地下水监测井尽量设置在加油站内。地下水监测井应设在埋底油罐区地下水流向的下游，在保证安全的情况下，尽可能的靠近地埋油罐。本项目将在埋底油罐区地下水流向的下游处设置一个地下水监测井，按规定进行项目竣工环境保护验收，长期、定期对地下水进行监测。</w:t>
            </w:r>
          </w:p>
          <w:p w14:paraId="5091EA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地下水监测指标及频率：</w:t>
            </w:r>
          </w:p>
          <w:p w14:paraId="2EFFD1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定性监测。可通过肉眼观察，使用测油膏，便携式气体检测仪等其他快速方法测定地下水监测井中是否存在油品污染，定性监测每周一次。定量监测。若定性监测发现地下水存在油品污染立即启动定量监测，若定性监测没有发现问题，则每季度监测一次</w:t>
            </w:r>
          </w:p>
          <w:p w14:paraId="24CCB0B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项目营运期土壤及地下水环境监测计划见表4-</w:t>
            </w:r>
            <w:r>
              <w:rPr>
                <w:rFonts w:hint="eastAsia" w:ascii="Times New Roman" w:hAnsi="Times New Roman" w:cs="Times New Roman"/>
                <w:color w:val="0000FF"/>
                <w:sz w:val="24"/>
                <w:szCs w:val="24"/>
                <w:lang w:val="en-US" w:eastAsia="zh-CN"/>
              </w:rPr>
              <w:t>1</w:t>
            </w:r>
            <w:r>
              <w:rPr>
                <w:rFonts w:hint="eastAsia" w:cs="Times New Roman"/>
                <w:color w:val="0000FF"/>
                <w:sz w:val="24"/>
                <w:szCs w:val="24"/>
                <w:lang w:val="en-US" w:eastAsia="zh-CN"/>
              </w:rPr>
              <w:t>2，监测点位示意图见附图7</w:t>
            </w:r>
            <w:r>
              <w:rPr>
                <w:rFonts w:hint="eastAsia" w:ascii="Times New Roman" w:hAnsi="Times New Roman" w:cs="Times New Roman"/>
                <w:color w:val="0000FF"/>
                <w:sz w:val="24"/>
                <w:szCs w:val="24"/>
                <w:lang w:val="en-US" w:eastAsia="zh-CN"/>
              </w:rPr>
              <w:t>。</w:t>
            </w:r>
          </w:p>
          <w:p w14:paraId="5C214A48">
            <w:pPr>
              <w:keepNext w:val="0"/>
              <w:keepLines w:val="0"/>
              <w:pageBreakBefore w:val="0"/>
              <w:widowControl w:val="0"/>
              <w:suppressLineNumbers w:val="0"/>
              <w:wordWrap/>
              <w:bidi w:val="0"/>
              <w:adjustRightInd w:val="0"/>
              <w:snapToGrid w:val="0"/>
              <w:jc w:val="center"/>
              <w:rPr>
                <w:color w:val="0000FF"/>
                <w:sz w:val="21"/>
                <w:szCs w:val="21"/>
              </w:rPr>
            </w:pPr>
            <w:r>
              <w:rPr>
                <w:rFonts w:hint="eastAsia" w:ascii="宋体" w:hAnsi="宋体" w:eastAsia="宋体" w:cs="宋体"/>
                <w:b/>
                <w:bCs/>
                <w:color w:val="0000FF"/>
                <w:kern w:val="0"/>
                <w:sz w:val="21"/>
                <w:szCs w:val="21"/>
                <w:lang w:val="en-US" w:eastAsia="zh-CN" w:bidi="ar"/>
              </w:rPr>
              <w:t>表</w:t>
            </w:r>
            <w:r>
              <w:rPr>
                <w:rFonts w:hint="default" w:ascii="Times New Roman" w:hAnsi="Times New Roman" w:eastAsia="宋体" w:cs="Times New Roman"/>
                <w:b/>
                <w:bCs/>
                <w:color w:val="0000FF"/>
                <w:kern w:val="0"/>
                <w:sz w:val="21"/>
                <w:szCs w:val="21"/>
                <w:lang w:val="en-US" w:eastAsia="zh-CN" w:bidi="ar"/>
              </w:rPr>
              <w:t>4-</w:t>
            </w:r>
            <w:r>
              <w:rPr>
                <w:rFonts w:hint="eastAsia" w:ascii="Times New Roman" w:hAnsi="Times New Roman" w:cs="Times New Roman"/>
                <w:b/>
                <w:bCs/>
                <w:color w:val="0000FF"/>
                <w:kern w:val="0"/>
                <w:sz w:val="21"/>
                <w:szCs w:val="21"/>
                <w:lang w:val="en-US" w:eastAsia="zh-CN" w:bidi="ar"/>
              </w:rPr>
              <w:t>1</w:t>
            </w:r>
            <w:r>
              <w:rPr>
                <w:rFonts w:hint="eastAsia" w:cs="Times New Roman"/>
                <w:b/>
                <w:bCs/>
                <w:color w:val="0000FF"/>
                <w:kern w:val="0"/>
                <w:sz w:val="21"/>
                <w:szCs w:val="21"/>
                <w:lang w:val="en-US" w:eastAsia="zh-CN" w:bidi="ar"/>
              </w:rPr>
              <w:t xml:space="preserve">2 </w:t>
            </w:r>
            <w:r>
              <w:rPr>
                <w:rFonts w:hint="default" w:ascii="Times New Roman" w:hAnsi="Times New Roman" w:eastAsia="宋体" w:cs="Times New Roman"/>
                <w:b/>
                <w:bCs/>
                <w:color w:val="0000FF"/>
                <w:kern w:val="0"/>
                <w:sz w:val="21"/>
                <w:szCs w:val="21"/>
                <w:lang w:val="en-US" w:eastAsia="zh-CN" w:bidi="ar"/>
              </w:rPr>
              <w:t xml:space="preserve"> </w:t>
            </w:r>
            <w:r>
              <w:rPr>
                <w:rFonts w:hint="eastAsia" w:ascii="宋体" w:hAnsi="宋体" w:eastAsia="宋体" w:cs="宋体"/>
                <w:b/>
                <w:bCs/>
                <w:color w:val="0000FF"/>
                <w:kern w:val="0"/>
                <w:sz w:val="21"/>
                <w:szCs w:val="21"/>
                <w:lang w:val="en-US" w:eastAsia="zh-CN" w:bidi="ar"/>
              </w:rPr>
              <w:t>土壤及地下水跟踪监测表</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2"/>
              <w:gridCol w:w="2062"/>
              <w:gridCol w:w="2063"/>
              <w:gridCol w:w="2063"/>
            </w:tblGrid>
            <w:tr w14:paraId="0259A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249" w:type="pct"/>
                  <w:tcBorders>
                    <w:tl2br w:val="nil"/>
                    <w:tr2bl w:val="nil"/>
                  </w:tcBorders>
                  <w:noWrap w:val="0"/>
                  <w:vAlign w:val="center"/>
                </w:tcPr>
                <w:p w14:paraId="06307F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FF"/>
                      <w:sz w:val="21"/>
                      <w:szCs w:val="21"/>
                      <w:vertAlign w:val="baseline"/>
                      <w:lang w:val="en-US" w:eastAsia="zh-CN"/>
                    </w:rPr>
                  </w:pPr>
                  <w:r>
                    <w:rPr>
                      <w:rFonts w:hint="eastAsia" w:ascii="Times New Roman" w:hAnsi="Times New Roman" w:eastAsia="宋体" w:cs="Times New Roman"/>
                      <w:b/>
                      <w:bCs/>
                      <w:color w:val="0000FF"/>
                      <w:sz w:val="21"/>
                      <w:szCs w:val="21"/>
                      <w:vertAlign w:val="baseline"/>
                      <w:lang w:val="en-US" w:eastAsia="zh-CN"/>
                    </w:rPr>
                    <w:t>环境要素</w:t>
                  </w:r>
                </w:p>
              </w:tc>
              <w:tc>
                <w:tcPr>
                  <w:tcW w:w="1249" w:type="pct"/>
                  <w:tcBorders>
                    <w:tl2br w:val="nil"/>
                    <w:tr2bl w:val="nil"/>
                  </w:tcBorders>
                  <w:noWrap w:val="0"/>
                  <w:vAlign w:val="center"/>
                </w:tcPr>
                <w:p w14:paraId="6D0E55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FF"/>
                      <w:sz w:val="21"/>
                      <w:szCs w:val="21"/>
                      <w:vertAlign w:val="baseline"/>
                      <w:lang w:val="en-US" w:eastAsia="zh-CN"/>
                    </w:rPr>
                  </w:pPr>
                  <w:r>
                    <w:rPr>
                      <w:rFonts w:hint="eastAsia" w:ascii="Times New Roman" w:hAnsi="Times New Roman" w:eastAsia="宋体" w:cs="Times New Roman"/>
                      <w:b/>
                      <w:bCs/>
                      <w:color w:val="0000FF"/>
                      <w:sz w:val="21"/>
                      <w:szCs w:val="21"/>
                      <w:vertAlign w:val="baseline"/>
                      <w:lang w:val="en-US" w:eastAsia="zh-CN"/>
                    </w:rPr>
                    <w:t>监测点位</w:t>
                  </w:r>
                </w:p>
              </w:tc>
              <w:tc>
                <w:tcPr>
                  <w:tcW w:w="1250" w:type="pct"/>
                  <w:tcBorders>
                    <w:tl2br w:val="nil"/>
                    <w:tr2bl w:val="nil"/>
                  </w:tcBorders>
                  <w:noWrap w:val="0"/>
                  <w:vAlign w:val="center"/>
                </w:tcPr>
                <w:p w14:paraId="3E146F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FF"/>
                      <w:sz w:val="21"/>
                      <w:szCs w:val="21"/>
                      <w:vertAlign w:val="baseline"/>
                      <w:lang w:val="en-US" w:eastAsia="zh-CN"/>
                    </w:rPr>
                  </w:pPr>
                  <w:r>
                    <w:rPr>
                      <w:rFonts w:hint="eastAsia" w:ascii="Times New Roman" w:hAnsi="Times New Roman" w:eastAsia="宋体" w:cs="Times New Roman"/>
                      <w:b/>
                      <w:bCs/>
                      <w:color w:val="0000FF"/>
                      <w:sz w:val="21"/>
                      <w:szCs w:val="21"/>
                      <w:vertAlign w:val="baseline"/>
                      <w:lang w:val="en-US" w:eastAsia="zh-CN"/>
                    </w:rPr>
                    <w:t>监测项目</w:t>
                  </w:r>
                </w:p>
              </w:tc>
              <w:tc>
                <w:tcPr>
                  <w:tcW w:w="1250" w:type="pct"/>
                  <w:tcBorders>
                    <w:tl2br w:val="nil"/>
                    <w:tr2bl w:val="nil"/>
                  </w:tcBorders>
                  <w:noWrap w:val="0"/>
                  <w:vAlign w:val="center"/>
                </w:tcPr>
                <w:p w14:paraId="4DD3DD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FF"/>
                      <w:sz w:val="21"/>
                      <w:szCs w:val="21"/>
                      <w:vertAlign w:val="baseline"/>
                      <w:lang w:val="en-US" w:eastAsia="zh-CN"/>
                    </w:rPr>
                  </w:pPr>
                  <w:r>
                    <w:rPr>
                      <w:rFonts w:hint="eastAsia" w:ascii="Times New Roman" w:hAnsi="Times New Roman" w:eastAsia="宋体" w:cs="Times New Roman"/>
                      <w:b/>
                      <w:bCs/>
                      <w:color w:val="0000FF"/>
                      <w:sz w:val="21"/>
                      <w:szCs w:val="21"/>
                      <w:vertAlign w:val="baseline"/>
                      <w:lang w:val="en-US" w:eastAsia="zh-CN"/>
                    </w:rPr>
                    <w:t>监测频次</w:t>
                  </w:r>
                </w:p>
              </w:tc>
            </w:tr>
            <w:tr w14:paraId="0F492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49" w:type="pct"/>
                  <w:tcBorders>
                    <w:tl2br w:val="nil"/>
                    <w:tr2bl w:val="nil"/>
                  </w:tcBorders>
                  <w:noWrap w:val="0"/>
                  <w:vAlign w:val="center"/>
                </w:tcPr>
                <w:p w14:paraId="5F0D9AB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地下水</w:t>
                  </w:r>
                </w:p>
              </w:tc>
              <w:tc>
                <w:tcPr>
                  <w:tcW w:w="1249" w:type="pct"/>
                  <w:tcBorders>
                    <w:tl2br w:val="nil"/>
                    <w:tr2bl w:val="nil"/>
                  </w:tcBorders>
                  <w:noWrap w:val="0"/>
                  <w:vAlign w:val="center"/>
                </w:tcPr>
                <w:p w14:paraId="0DE2A7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项目区下游</w:t>
                  </w:r>
                </w:p>
              </w:tc>
              <w:tc>
                <w:tcPr>
                  <w:tcW w:w="1250" w:type="pct"/>
                  <w:tcBorders>
                    <w:tl2br w:val="nil"/>
                    <w:tr2bl w:val="nil"/>
                  </w:tcBorders>
                  <w:noWrap w:val="0"/>
                  <w:vAlign w:val="center"/>
                </w:tcPr>
                <w:p w14:paraId="7A9FC1B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石油类</w:t>
                  </w:r>
                </w:p>
              </w:tc>
              <w:tc>
                <w:tcPr>
                  <w:tcW w:w="1250" w:type="pct"/>
                  <w:tcBorders>
                    <w:tl2br w:val="nil"/>
                    <w:tr2bl w:val="nil"/>
                  </w:tcBorders>
                  <w:noWrap w:val="0"/>
                  <w:vAlign w:val="center"/>
                </w:tcPr>
                <w:p w14:paraId="3F9A6A8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1次/年</w:t>
                  </w:r>
                </w:p>
              </w:tc>
            </w:tr>
            <w:tr w14:paraId="036EE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249" w:type="pct"/>
                  <w:tcBorders>
                    <w:tl2br w:val="nil"/>
                    <w:tr2bl w:val="nil"/>
                  </w:tcBorders>
                  <w:noWrap w:val="0"/>
                  <w:vAlign w:val="center"/>
                </w:tcPr>
                <w:p w14:paraId="10BAE3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土壤</w:t>
                  </w:r>
                </w:p>
              </w:tc>
              <w:tc>
                <w:tcPr>
                  <w:tcW w:w="1249" w:type="pct"/>
                  <w:tcBorders>
                    <w:tl2br w:val="nil"/>
                    <w:tr2bl w:val="nil"/>
                  </w:tcBorders>
                  <w:noWrap w:val="0"/>
                  <w:vAlign w:val="center"/>
                </w:tcPr>
                <w:p w14:paraId="5B68AE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储罐区</w:t>
                  </w:r>
                </w:p>
              </w:tc>
              <w:tc>
                <w:tcPr>
                  <w:tcW w:w="1250" w:type="pct"/>
                  <w:tcBorders>
                    <w:tl2br w:val="nil"/>
                    <w:tr2bl w:val="nil"/>
                  </w:tcBorders>
                  <w:noWrap w:val="0"/>
                  <w:vAlign w:val="center"/>
                </w:tcPr>
                <w:p w14:paraId="11FFC3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石油烃</w:t>
                  </w:r>
                </w:p>
              </w:tc>
              <w:tc>
                <w:tcPr>
                  <w:tcW w:w="1250" w:type="pct"/>
                  <w:tcBorders>
                    <w:tl2br w:val="nil"/>
                    <w:tr2bl w:val="nil"/>
                  </w:tcBorders>
                  <w:noWrap w:val="0"/>
                  <w:vAlign w:val="center"/>
                </w:tcPr>
                <w:p w14:paraId="5759F2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color w:val="0000FF"/>
                      <w:sz w:val="21"/>
                      <w:szCs w:val="21"/>
                      <w:vertAlign w:val="baseline"/>
                      <w:lang w:val="en-US" w:eastAsia="zh-CN"/>
                    </w:rPr>
                    <w:t>1 次/年</w:t>
                  </w:r>
                </w:p>
              </w:tc>
            </w:tr>
          </w:tbl>
          <w:p w14:paraId="2B6D146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0000FF"/>
                <w:sz w:val="24"/>
                <w:szCs w:val="24"/>
                <w:lang w:eastAsia="zh-CN"/>
              </w:rPr>
            </w:pPr>
            <w:r>
              <w:rPr>
                <w:rFonts w:hint="default" w:ascii="Times New Roman" w:hAnsi="Times New Roman" w:eastAsia="宋体" w:cs="Times New Roman"/>
                <w:color w:val="0000FF"/>
                <w:sz w:val="24"/>
                <w:szCs w:val="24"/>
                <w:lang w:val="en-US" w:eastAsia="zh-CN"/>
              </w:rPr>
              <w:t>综上分析，项目对可能产生土壤及地下水影响的各项途径均进行有效预防，在确保各项防渗措施得以落实，并加强维护和厂区环境管理的前提下，可有效控制污染物下渗现象，避免污染地下水及周围土壤，确保不对区域地下水环境产生明显影响。</w:t>
            </w:r>
          </w:p>
          <w:p w14:paraId="2B6EF52B">
            <w:pPr>
              <w:keepNext w:val="0"/>
              <w:keepLines w:val="0"/>
              <w:pageBreakBefore w:val="0"/>
              <w:widowControl w:val="0"/>
              <w:kinsoku/>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 xml:space="preserve">4.2.6 </w:t>
            </w:r>
            <w:r>
              <w:rPr>
                <w:rFonts w:hint="default" w:ascii="Times New Roman" w:hAnsi="Times New Roman" w:eastAsia="宋体" w:cs="Times New Roman"/>
                <w:b/>
                <w:color w:val="000000" w:themeColor="text1"/>
                <w:sz w:val="24"/>
                <w:szCs w:val="24"/>
                <w14:textFill>
                  <w14:solidFill>
                    <w14:schemeClr w14:val="tx1"/>
                  </w14:solidFill>
                </w14:textFill>
              </w:rPr>
              <w:t>环境风险分析</w:t>
            </w:r>
          </w:p>
          <w:p w14:paraId="5A2DA86D">
            <w:pPr>
              <w:autoSpaceDE w:val="0"/>
              <w:autoSpaceDN w:val="0"/>
              <w:adjustRightInd w:val="0"/>
              <w:spacing w:line="360" w:lineRule="auto"/>
              <w:ind w:firstLine="480" w:firstLineChars="200"/>
              <w:jc w:val="left"/>
              <w:rPr>
                <w:rFonts w:ascii="Times New Roman" w:hAnsi="Times New Roman"/>
                <w:color w:val="000000" w:themeColor="text1"/>
                <w:sz w:val="24"/>
                <w14:textFill>
                  <w14:solidFill>
                    <w14:schemeClr w14:val="tx1"/>
                  </w14:solidFill>
                </w14:textFill>
              </w:rPr>
            </w:pPr>
            <w:r>
              <w:rPr>
                <w:color w:val="000000" w:themeColor="text1"/>
                <w:kern w:val="0"/>
                <w:sz w:val="24"/>
                <w:szCs w:val="24"/>
                <w14:textFill>
                  <w14:solidFill>
                    <w14:schemeClr w14:val="tx1"/>
                  </w14:solidFill>
                </w14:textFill>
              </w:rPr>
              <w:t>加油站是易燃易爆场所，</w:t>
            </w:r>
            <w:r>
              <w:rPr>
                <w:color w:val="000000" w:themeColor="text1"/>
                <w:sz w:val="24"/>
                <w:szCs w:val="24"/>
                <w:lang w:val="zh-CN"/>
                <w14:textFill>
                  <w14:solidFill>
                    <w14:schemeClr w14:val="tx1"/>
                  </w14:solidFill>
                </w14:textFill>
              </w:rPr>
              <w:t>存在潜在</w:t>
            </w:r>
            <w:r>
              <w:rPr>
                <w:color w:val="000000" w:themeColor="text1"/>
                <w:kern w:val="0"/>
                <w:sz w:val="24"/>
                <w:szCs w:val="24"/>
                <w14:textFill>
                  <w14:solidFill>
                    <w14:schemeClr w14:val="tx1"/>
                  </w14:solidFill>
                </w14:textFill>
              </w:rPr>
              <w:t>的</w:t>
            </w:r>
            <w:r>
              <w:rPr>
                <w:rFonts w:hint="eastAsia"/>
                <w:color w:val="000000" w:themeColor="text1"/>
                <w:kern w:val="0"/>
                <w:sz w:val="24"/>
                <w:szCs w:val="24"/>
                <w14:textFill>
                  <w14:solidFill>
                    <w14:schemeClr w14:val="tx1"/>
                  </w14:solidFill>
                </w14:textFill>
              </w:rPr>
              <w:t>油品</w:t>
            </w:r>
            <w:r>
              <w:rPr>
                <w:color w:val="000000" w:themeColor="text1"/>
                <w:kern w:val="0"/>
                <w:sz w:val="24"/>
                <w:szCs w:val="24"/>
                <w14:textFill>
                  <w14:solidFill>
                    <w14:schemeClr w14:val="tx1"/>
                  </w14:solidFill>
                </w14:textFill>
              </w:rPr>
              <w:t>泄漏、超压，诱发火灾、爆炸事故的可能性，一旦发生概率不为零的风险事故，将产生危害国家财产和人民生命安全的不可接受后果，并伴生环境污染事故。因此，加强加油站安全运营管理，采取切实可行的环境风险防范措施，严格控制此类环境风险事故的发生，是本项目环境风险评价的目的。</w:t>
            </w:r>
          </w:p>
          <w:p w14:paraId="061716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1.评价依据</w:t>
            </w:r>
          </w:p>
          <w:p w14:paraId="53022D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1"/>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1"/>
                <w14:textFill>
                  <w14:solidFill>
                    <w14:schemeClr w14:val="tx1"/>
                  </w14:solidFill>
                </w14:textFill>
              </w:rPr>
              <w:t>风险调查</w:t>
            </w:r>
          </w:p>
          <w:p w14:paraId="1DB966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加油站涉及的危险物质有汽油、柴油，本项目共设置</w:t>
            </w:r>
            <w:r>
              <w:rPr>
                <w:rFonts w:hint="eastAsia" w:cs="Times New Roman"/>
                <w:snapToGrid w:val="0"/>
                <w:color w:val="000000" w:themeColor="text1"/>
                <w:kern w:val="0"/>
                <w:sz w:val="24"/>
                <w:szCs w:val="22"/>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4"/>
                <w:szCs w:val="22"/>
                <w:highlight w:val="none"/>
                <w:lang w:eastAsia="zh-CN"/>
                <w14:textFill>
                  <w14:solidFill>
                    <w14:schemeClr w14:val="tx1"/>
                  </w14:solidFill>
                </w14:textFill>
              </w:rPr>
              <w:t>具30m</w:t>
            </w:r>
            <w:r>
              <w:rPr>
                <w:rFonts w:hint="eastAsia" w:ascii="Times New Roman" w:hAnsi="Times New Roman" w:eastAsia="宋体" w:cs="Times New Roman"/>
                <w:snapToGrid w:val="0"/>
                <w:color w:val="000000" w:themeColor="text1"/>
                <w:kern w:val="0"/>
                <w:sz w:val="24"/>
                <w:szCs w:val="22"/>
                <w:highlight w:val="none"/>
                <w:vertAlign w:val="super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2"/>
                <w:highlight w:val="none"/>
                <w:lang w:eastAsia="zh-CN"/>
                <w14:textFill>
                  <w14:solidFill>
                    <w14:schemeClr w14:val="tx1"/>
                  </w14:solidFill>
                </w14:textFill>
              </w:rPr>
              <w:t>汽油储油罐、</w:t>
            </w:r>
            <w:r>
              <w:rPr>
                <w:rFonts w:hint="eastAsia" w:cs="Times New Roman"/>
                <w:snapToGrid w:val="0"/>
                <w:color w:val="000000" w:themeColor="text1"/>
                <w:kern w:val="0"/>
                <w:sz w:val="24"/>
                <w:szCs w:val="22"/>
                <w:highlight w:val="none"/>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2"/>
                <w:highlight w:val="none"/>
                <w:lang w:eastAsia="zh-CN"/>
                <w14:textFill>
                  <w14:solidFill>
                    <w14:schemeClr w14:val="tx1"/>
                  </w14:solidFill>
                </w14:textFill>
              </w:rPr>
              <w:t>具</w:t>
            </w:r>
            <w:r>
              <w:rPr>
                <w:rFonts w:hint="eastAsia" w:cs="Times New Roman"/>
                <w:snapToGrid w:val="0"/>
                <w:color w:val="000000" w:themeColor="text1"/>
                <w:kern w:val="0"/>
                <w:sz w:val="24"/>
                <w:szCs w:val="22"/>
                <w:highlight w:val="none"/>
                <w:lang w:val="en-US" w:eastAsia="zh-CN"/>
                <w14:textFill>
                  <w14:solidFill>
                    <w14:schemeClr w14:val="tx1"/>
                  </w14:solidFill>
                </w14:textFill>
              </w:rPr>
              <w:t>40</w:t>
            </w:r>
            <w:r>
              <w:rPr>
                <w:rFonts w:hint="default" w:ascii="Times New Roman" w:hAnsi="Times New Roman" w:eastAsia="宋体" w:cs="Times New Roman"/>
                <w:snapToGrid w:val="0"/>
                <w:color w:val="000000" w:themeColor="text1"/>
                <w:kern w:val="0"/>
                <w:sz w:val="24"/>
                <w:szCs w:val="22"/>
                <w:highlight w:val="none"/>
                <w:lang w:eastAsia="zh-CN"/>
                <w14:textFill>
                  <w14:solidFill>
                    <w14:schemeClr w14:val="tx1"/>
                  </w14:solidFill>
                </w14:textFill>
              </w:rPr>
              <w:t>m</w:t>
            </w:r>
            <w:r>
              <w:rPr>
                <w:rFonts w:hint="eastAsia" w:ascii="Times New Roman" w:hAnsi="Times New Roman" w:eastAsia="宋体" w:cs="Times New Roman"/>
                <w:snapToGrid w:val="0"/>
                <w:color w:val="000000" w:themeColor="text1"/>
                <w:kern w:val="0"/>
                <w:sz w:val="24"/>
                <w:szCs w:val="22"/>
                <w:highlight w:val="none"/>
                <w:vertAlign w:val="super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2"/>
                <w:highlight w:val="none"/>
                <w:lang w:eastAsia="zh-CN"/>
                <w14:textFill>
                  <w14:solidFill>
                    <w14:schemeClr w14:val="tx1"/>
                  </w14:solidFill>
                </w14:textFill>
              </w:rPr>
              <w:t>汽油储油罐</w:t>
            </w:r>
            <w:r>
              <w:rPr>
                <w:rFonts w:hint="eastAsia" w:cs="Times New Roman"/>
                <w:snapToGrid w:val="0"/>
                <w:color w:val="000000" w:themeColor="text1"/>
                <w:kern w:val="0"/>
                <w:sz w:val="24"/>
                <w:szCs w:val="22"/>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2"/>
                <w:highlight w:val="none"/>
                <w:lang w:eastAsia="zh-CN"/>
                <w14:textFill>
                  <w14:solidFill>
                    <w14:schemeClr w14:val="tx1"/>
                  </w14:solidFill>
                </w14:textFill>
              </w:rPr>
              <w:t>1具</w:t>
            </w:r>
            <w:r>
              <w:rPr>
                <w:rFonts w:hint="eastAsia" w:cs="Times New Roman"/>
                <w:snapToGrid w:val="0"/>
                <w:color w:val="000000" w:themeColor="text1"/>
                <w:kern w:val="0"/>
                <w:sz w:val="24"/>
                <w:szCs w:val="22"/>
                <w:highlight w:val="none"/>
                <w:lang w:val="en-US" w:eastAsia="zh-CN"/>
                <w14:textFill>
                  <w14:solidFill>
                    <w14:schemeClr w14:val="tx1"/>
                  </w14:solidFill>
                </w14:textFill>
              </w:rPr>
              <w:t>4</w:t>
            </w:r>
            <w:r>
              <w:rPr>
                <w:rFonts w:hint="default" w:ascii="Times New Roman" w:hAnsi="Times New Roman" w:eastAsia="宋体" w:cs="Times New Roman"/>
                <w:snapToGrid w:val="0"/>
                <w:color w:val="000000" w:themeColor="text1"/>
                <w:kern w:val="0"/>
                <w:sz w:val="24"/>
                <w:szCs w:val="22"/>
                <w:highlight w:val="none"/>
                <w:lang w:eastAsia="zh-CN"/>
                <w14:textFill>
                  <w14:solidFill>
                    <w14:schemeClr w14:val="tx1"/>
                  </w14:solidFill>
                </w14:textFill>
              </w:rPr>
              <w:t>0m</w:t>
            </w:r>
            <w:r>
              <w:rPr>
                <w:rFonts w:hint="eastAsia" w:ascii="Times New Roman" w:hAnsi="Times New Roman" w:eastAsia="宋体" w:cs="Times New Roman"/>
                <w:snapToGrid w:val="0"/>
                <w:color w:val="000000" w:themeColor="text1"/>
                <w:kern w:val="0"/>
                <w:sz w:val="24"/>
                <w:szCs w:val="22"/>
                <w:highlight w:val="none"/>
                <w:vertAlign w:val="super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2"/>
                <w:highlight w:val="none"/>
                <w:lang w:eastAsia="zh-CN"/>
                <w14:textFill>
                  <w14:solidFill>
                    <w14:schemeClr w14:val="tx1"/>
                  </w14:solidFill>
                </w14:textFill>
              </w:rPr>
              <w:t>柴油储油罐</w:t>
            </w:r>
            <w:r>
              <w:rPr>
                <w:rFonts w:hint="eastAsia" w:cs="Times New Roman"/>
                <w:b w:val="0"/>
                <w:bCs w:val="0"/>
                <w:color w:val="000000" w:themeColor="text1"/>
                <w:sz w:val="24"/>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加油站汽油</w:t>
            </w: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最大</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贮存量为</w:t>
            </w:r>
            <w:r>
              <w:rPr>
                <w:rFonts w:hint="eastAsia" w:cs="Times New Roman"/>
                <w:b w:val="0"/>
                <w:bCs w:val="0"/>
                <w:color w:val="000000" w:themeColor="text1"/>
                <w:sz w:val="24"/>
                <w:szCs w:val="21"/>
                <w:lang w:val="en-US" w:eastAsia="zh-CN"/>
                <w14:textFill>
                  <w14:solidFill>
                    <w14:schemeClr w14:val="tx1"/>
                  </w14:solidFill>
                </w14:textFill>
              </w:rPr>
              <w:t>82</w:t>
            </w: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.5t；柴油最大柴油贮存量为</w:t>
            </w:r>
            <w:r>
              <w:rPr>
                <w:rFonts w:hint="eastAsia" w:cs="Times New Roman"/>
                <w:b w:val="0"/>
                <w:bCs w:val="0"/>
                <w:color w:val="000000" w:themeColor="text1"/>
                <w:sz w:val="24"/>
                <w:szCs w:val="21"/>
                <w:lang w:val="en-US" w:eastAsia="zh-CN"/>
                <w14:textFill>
                  <w14:solidFill>
                    <w14:schemeClr w14:val="tx1"/>
                  </w14:solidFill>
                </w14:textFill>
              </w:rPr>
              <w:t>34.0</w:t>
            </w: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t。</w:t>
            </w:r>
          </w:p>
          <w:p w14:paraId="68DF09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w:t>
            </w:r>
            <w:r>
              <w:rPr>
                <w:rFonts w:hint="eastAsia" w:ascii="Times New Roman" w:hAnsi="Times New Roman" w:cs="Times New Roman"/>
                <w:b/>
                <w:bCs/>
                <w:color w:val="000000" w:themeColor="text1"/>
                <w:sz w:val="21"/>
                <w:szCs w:val="21"/>
                <w:lang w:val="en-US" w:eastAsia="zh-CN"/>
                <w14:textFill>
                  <w14:solidFill>
                    <w14:schemeClr w14:val="tx1"/>
                  </w14:solidFill>
                </w14:textFill>
              </w:rPr>
              <w:t>4-1</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 xml:space="preserve">  风险物质种类</w:t>
            </w:r>
            <w:r>
              <w:rPr>
                <w:rFonts w:hint="eastAsia" w:ascii="Times New Roman" w:hAnsi="Times New Roman" w:cs="Times New Roman"/>
                <w:b/>
                <w:bCs/>
                <w:color w:val="000000" w:themeColor="text1"/>
                <w:sz w:val="21"/>
                <w:szCs w:val="21"/>
                <w:lang w:eastAsia="zh-CN"/>
                <w14:textFill>
                  <w14:solidFill>
                    <w14:schemeClr w14:val="tx1"/>
                  </w14:solidFill>
                </w14:textFill>
              </w:rPr>
              <w:t>及</w:t>
            </w:r>
            <w:r>
              <w:rPr>
                <w:rFonts w:hint="default" w:ascii="Times New Roman" w:hAnsi="Times New Roman" w:cs="Times New Roman"/>
                <w:b/>
                <w:bCs/>
                <w:color w:val="000000" w:themeColor="text1"/>
                <w:sz w:val="21"/>
                <w:szCs w:val="21"/>
                <w14:textFill>
                  <w14:solidFill>
                    <w14:schemeClr w14:val="tx1"/>
                  </w14:solidFill>
                </w14:textFill>
              </w:rPr>
              <w:t>厂界内的存在量</w:t>
            </w:r>
            <w:r>
              <w:rPr>
                <w:rFonts w:hint="eastAsia" w:ascii="Times New Roman" w:hAnsi="Times New Roman" w:cs="Times New Roman"/>
                <w:b/>
                <w:bCs/>
                <w:color w:val="000000" w:themeColor="text1"/>
                <w:sz w:val="21"/>
                <w:szCs w:val="21"/>
                <w:lang w:eastAsia="zh-CN"/>
                <w14:textFill>
                  <w14:solidFill>
                    <w14:schemeClr w14:val="tx1"/>
                  </w14:solidFill>
                </w14:textFill>
              </w:rPr>
              <w:t>一览</w:t>
            </w:r>
            <w:r>
              <w:rPr>
                <w:rFonts w:hint="default" w:ascii="Times New Roman" w:hAnsi="Times New Roman" w:cs="Times New Roman"/>
                <w:b/>
                <w:bCs/>
                <w:color w:val="000000" w:themeColor="text1"/>
                <w:sz w:val="21"/>
                <w:szCs w:val="21"/>
                <w14:textFill>
                  <w14:solidFill>
                    <w14:schemeClr w14:val="tx1"/>
                  </w14:solidFill>
                </w14:textFill>
              </w:rPr>
              <w:t>表</w:t>
            </w:r>
          </w:p>
          <w:tbl>
            <w:tblPr>
              <w:tblStyle w:val="31"/>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930"/>
              <w:gridCol w:w="1490"/>
              <w:gridCol w:w="1814"/>
              <w:gridCol w:w="2311"/>
              <w:gridCol w:w="1705"/>
            </w:tblGrid>
            <w:tr w14:paraId="01AA753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564" w:type="pct"/>
                  <w:tcBorders>
                    <w:tl2br w:val="nil"/>
                    <w:tr2bl w:val="nil"/>
                  </w:tcBorders>
                  <w:shd w:val="clear" w:color="auto" w:fill="FFFFFF"/>
                  <w:noWrap w:val="0"/>
                  <w:vAlign w:val="center"/>
                </w:tcPr>
                <w:p w14:paraId="2893E6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903" w:type="pct"/>
                  <w:tcBorders>
                    <w:tl2br w:val="nil"/>
                    <w:tr2bl w:val="nil"/>
                  </w:tcBorders>
                  <w:shd w:val="clear" w:color="auto" w:fill="FFFFFF"/>
                  <w:noWrap w:val="0"/>
                  <w:vAlign w:val="center"/>
                </w:tcPr>
                <w:p w14:paraId="32D378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风险物质</w:t>
                  </w:r>
                </w:p>
              </w:tc>
              <w:tc>
                <w:tcPr>
                  <w:tcW w:w="1099" w:type="pct"/>
                  <w:tcBorders>
                    <w:tl2br w:val="nil"/>
                    <w:tr2bl w:val="nil"/>
                  </w:tcBorders>
                  <w:shd w:val="clear" w:color="auto" w:fill="FFFFFF"/>
                  <w:noWrap w:val="0"/>
                  <w:vAlign w:val="center"/>
                </w:tcPr>
                <w:p w14:paraId="6D83C2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贮存形式</w:t>
                  </w:r>
                </w:p>
              </w:tc>
              <w:tc>
                <w:tcPr>
                  <w:tcW w:w="1400" w:type="pct"/>
                  <w:tcBorders>
                    <w:tl2br w:val="nil"/>
                    <w:tr2bl w:val="nil"/>
                  </w:tcBorders>
                  <w:shd w:val="clear" w:color="auto" w:fill="FFFFFF"/>
                  <w:noWrap w:val="0"/>
                  <w:vAlign w:val="center"/>
                </w:tcPr>
                <w:p w14:paraId="355F43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最大储存量</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（t）</w:t>
                  </w:r>
                </w:p>
              </w:tc>
              <w:tc>
                <w:tcPr>
                  <w:tcW w:w="1033" w:type="pct"/>
                  <w:tcBorders>
                    <w:tl2br w:val="nil"/>
                    <w:tr2bl w:val="nil"/>
                  </w:tcBorders>
                  <w:shd w:val="clear" w:color="auto" w:fill="FFFFFF"/>
                  <w:noWrap w:val="0"/>
                  <w:vAlign w:val="center"/>
                </w:tcPr>
                <w:p w14:paraId="797EC3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临界量（t）</w:t>
                  </w:r>
                </w:p>
              </w:tc>
            </w:tr>
            <w:tr w14:paraId="07AF0E2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564" w:type="pct"/>
                  <w:tcBorders>
                    <w:tl2br w:val="nil"/>
                    <w:tr2bl w:val="nil"/>
                  </w:tcBorders>
                  <w:shd w:val="clear" w:color="auto" w:fill="FFFFFF"/>
                  <w:noWrap w:val="0"/>
                  <w:vAlign w:val="center"/>
                </w:tcPr>
                <w:p w14:paraId="5134AA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903" w:type="pct"/>
                  <w:tcBorders>
                    <w:tl2br w:val="nil"/>
                    <w:tr2bl w:val="nil"/>
                  </w:tcBorders>
                  <w:shd w:val="clear" w:color="auto" w:fill="FFFFFF"/>
                  <w:noWrap w:val="0"/>
                  <w:vAlign w:val="center"/>
                </w:tcPr>
                <w:p w14:paraId="162C00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汽油</w:t>
                  </w:r>
                </w:p>
              </w:tc>
              <w:tc>
                <w:tcPr>
                  <w:tcW w:w="1099" w:type="pct"/>
                  <w:tcBorders>
                    <w:tl2br w:val="nil"/>
                    <w:tr2bl w:val="nil"/>
                  </w:tcBorders>
                  <w:shd w:val="clear" w:color="auto" w:fill="FFFFFF"/>
                  <w:noWrap w:val="0"/>
                  <w:vAlign w:val="center"/>
                </w:tcPr>
                <w:p w14:paraId="222ED3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储油罐</w:t>
                  </w:r>
                </w:p>
              </w:tc>
              <w:tc>
                <w:tcPr>
                  <w:tcW w:w="1400" w:type="pct"/>
                  <w:tcBorders>
                    <w:tl2br w:val="nil"/>
                    <w:tr2bl w:val="nil"/>
                  </w:tcBorders>
                  <w:shd w:val="clear" w:color="auto" w:fill="FFFFFF"/>
                  <w:noWrap w:val="0"/>
                  <w:vAlign w:val="center"/>
                </w:tcPr>
                <w:p w14:paraId="1EB8A5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82</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1033" w:type="pct"/>
                  <w:tcBorders>
                    <w:tl2br w:val="nil"/>
                    <w:tr2bl w:val="nil"/>
                  </w:tcBorders>
                  <w:shd w:val="clear" w:color="auto" w:fill="FFFFFF"/>
                  <w:noWrap w:val="0"/>
                  <w:vAlign w:val="center"/>
                </w:tcPr>
                <w:p w14:paraId="3C4C06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2500</w:t>
                  </w:r>
                </w:p>
              </w:tc>
            </w:tr>
            <w:tr w14:paraId="04A4B6D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564" w:type="pct"/>
                  <w:tcBorders>
                    <w:tl2br w:val="nil"/>
                    <w:tr2bl w:val="nil"/>
                  </w:tcBorders>
                  <w:shd w:val="clear" w:color="auto" w:fill="FFFFFF"/>
                  <w:noWrap w:val="0"/>
                  <w:vAlign w:val="center"/>
                </w:tcPr>
                <w:p w14:paraId="7CE663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903" w:type="pct"/>
                  <w:tcBorders>
                    <w:tl2br w:val="nil"/>
                    <w:tr2bl w:val="nil"/>
                  </w:tcBorders>
                  <w:shd w:val="clear" w:color="auto" w:fill="FFFFFF"/>
                  <w:noWrap w:val="0"/>
                  <w:vAlign w:val="center"/>
                </w:tcPr>
                <w:p w14:paraId="2C88F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柴油</w:t>
                  </w:r>
                </w:p>
              </w:tc>
              <w:tc>
                <w:tcPr>
                  <w:tcW w:w="1099" w:type="pct"/>
                  <w:tcBorders>
                    <w:tl2br w:val="nil"/>
                    <w:tr2bl w:val="nil"/>
                  </w:tcBorders>
                  <w:shd w:val="clear" w:color="auto" w:fill="FFFFFF"/>
                  <w:noWrap w:val="0"/>
                  <w:vAlign w:val="center"/>
                </w:tcPr>
                <w:p w14:paraId="20CD73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储油罐</w:t>
                  </w:r>
                </w:p>
              </w:tc>
              <w:tc>
                <w:tcPr>
                  <w:tcW w:w="1400" w:type="pct"/>
                  <w:tcBorders>
                    <w:tl2br w:val="nil"/>
                    <w:tr2bl w:val="nil"/>
                  </w:tcBorders>
                  <w:shd w:val="clear" w:color="auto" w:fill="FFFFFF"/>
                  <w:noWrap w:val="0"/>
                  <w:vAlign w:val="center"/>
                </w:tcPr>
                <w:p w14:paraId="43E107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34.0</w:t>
                  </w:r>
                </w:p>
              </w:tc>
              <w:tc>
                <w:tcPr>
                  <w:tcW w:w="1033" w:type="pct"/>
                  <w:tcBorders>
                    <w:tl2br w:val="nil"/>
                    <w:tr2bl w:val="nil"/>
                  </w:tcBorders>
                  <w:shd w:val="clear" w:color="auto" w:fill="FFFFFF"/>
                  <w:noWrap w:val="0"/>
                  <w:vAlign w:val="center"/>
                </w:tcPr>
                <w:p w14:paraId="662E83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2500</w:t>
                  </w:r>
                </w:p>
              </w:tc>
            </w:tr>
          </w:tbl>
          <w:p w14:paraId="36C9E6FD">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（2）风险潜势初判</w:t>
            </w:r>
            <w:r>
              <w:rPr>
                <w:rFonts w:hint="default" w:ascii="Times New Roman" w:hAnsi="Times New Roman" w:eastAsia="宋体" w:cs="Times New Roman"/>
                <w:b w:val="0"/>
                <w:bCs w:val="0"/>
                <w:color w:val="000000" w:themeColor="text1"/>
                <w:sz w:val="24"/>
                <w:szCs w:val="24"/>
                <w14:textFill>
                  <w14:solidFill>
                    <w14:schemeClr w14:val="tx1"/>
                  </w14:solidFill>
                </w14:textFill>
              </w:rPr>
              <w:t>及评价等级确定</w:t>
            </w:r>
          </w:p>
          <w:p w14:paraId="6895B9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危险物质数量与临界量比值（Q）</w:t>
            </w:r>
          </w:p>
          <w:p w14:paraId="76B016FB">
            <w:pPr>
              <w:pStyle w:val="62"/>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计算所涉及的每种危险物质在</w:t>
            </w:r>
            <w:r>
              <w:rPr>
                <w:rFonts w:hint="eastAsia" w:ascii="Times New Roman" w:hAnsi="Times New Roman" w:cs="Times New Roman"/>
                <w:color w:val="000000" w:themeColor="text1"/>
                <w:sz w:val="24"/>
                <w:szCs w:val="24"/>
                <w:lang w:eastAsia="zh-CN"/>
                <w14:textFill>
                  <w14:solidFill>
                    <w14:schemeClr w14:val="tx1"/>
                  </w14:solidFill>
                </w14:textFill>
              </w:rPr>
              <w:t>加油站</w:t>
            </w:r>
            <w:r>
              <w:rPr>
                <w:rFonts w:hint="default" w:ascii="Times New Roman" w:hAnsi="Times New Roman" w:eastAsia="宋体" w:cs="Times New Roman"/>
                <w:color w:val="000000" w:themeColor="text1"/>
                <w:sz w:val="24"/>
                <w:szCs w:val="24"/>
                <w:lang w:eastAsia="zh-CN"/>
                <w14:textFill>
                  <w14:solidFill>
                    <w14:schemeClr w14:val="tx1"/>
                  </w14:solidFill>
                </w14:textFill>
              </w:rPr>
              <w:t>内的最大存在总量与其对应临界量的比值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Q。当企业只涉及一种风险物质时，该物质的数量与其临界量比值，即为Q</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当企业存在多种风险物质时，则按照下式</w:t>
            </w:r>
            <w:r>
              <w:rPr>
                <w:rFonts w:hint="default" w:ascii="Times New Roman" w:hAnsi="Times New Roman" w:eastAsia="宋体" w:cs="Times New Roman"/>
                <w:color w:val="000000" w:themeColor="text1"/>
                <w:sz w:val="24"/>
                <w:szCs w:val="24"/>
                <w14:textFill>
                  <w14:solidFill>
                    <w14:schemeClr w14:val="tx1"/>
                  </w14:solidFill>
                </w14:textFill>
              </w:rPr>
              <w:t>计算物质总量与其临界量比值</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Q</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004B56C8">
            <w:pPr>
              <w:pStyle w:val="62"/>
              <w:keepNext w:val="0"/>
              <w:keepLines w:val="0"/>
              <w:pageBreakBefore w:val="0"/>
              <w:widowControl w:val="0"/>
              <w:kinsoku/>
              <w:wordWrap/>
              <w:overflowPunct/>
              <w:topLinePunct w:val="0"/>
              <w:autoSpaceDE/>
              <w:autoSpaceDN/>
              <w:bidi w:val="0"/>
              <w:adjustRightInd/>
              <w:snapToGrid/>
              <w:spacing w:beforeLines="0" w:afterLines="0" w:line="36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position w:val="-30"/>
                <w:sz w:val="24"/>
                <w:szCs w:val="24"/>
                <w:lang w:bidi="ar"/>
                <w14:textFill>
                  <w14:solidFill>
                    <w14:schemeClr w14:val="tx1"/>
                  </w14:solidFill>
                </w14:textFill>
              </w:rPr>
              <w:object>
                <v:shape id="_x0000_i1028" o:spt="75" type="#_x0000_t75" style="height:34pt;width:117pt;" o:ole="t" filled="f" o:preferrelative="t" stroked="f" coordsize="21600,21600">
                  <v:path/>
                  <v:fill on="f" focussize="0,0"/>
                  <v:stroke on="f"/>
                  <v:imagedata r:id="rId22" o:title=""/>
                  <o:lock v:ext="edit" aspectratio="t"/>
                  <w10:wrap type="none"/>
                  <w10:anchorlock/>
                </v:shape>
                <o:OLEObject Type="Embed" ProgID="Equation.KSEE3" ShapeID="_x0000_i1028" DrawAspect="Content" ObjectID="_1468075728" r:id="rId21">
                  <o:LockedField>false</o:LockedField>
                </o:OLEObject>
              </w:object>
            </w:r>
          </w:p>
          <w:p w14:paraId="4FF82EB6">
            <w:pPr>
              <w:pStyle w:val="62"/>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式中：</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1</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n</w:t>
            </w:r>
            <w:r>
              <w:rPr>
                <w:rFonts w:hint="default" w:ascii="Times New Roman" w:hAnsi="Times New Roman" w:eastAsia="宋体" w:cs="Times New Roman"/>
                <w:color w:val="000000" w:themeColor="text1"/>
                <w:kern w:val="0"/>
                <w:sz w:val="24"/>
                <w:szCs w:val="24"/>
                <w14:textFill>
                  <w14:solidFill>
                    <w14:schemeClr w14:val="tx1"/>
                  </w14:solidFill>
                </w14:textFill>
              </w:rPr>
              <w:t>——每种风险物质的</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最大</w:t>
            </w:r>
            <w:r>
              <w:rPr>
                <w:rFonts w:hint="default" w:ascii="Times New Roman" w:hAnsi="Times New Roman" w:eastAsia="宋体" w:cs="Times New Roman"/>
                <w:color w:val="000000" w:themeColor="text1"/>
                <w:kern w:val="0"/>
                <w:sz w:val="24"/>
                <w:szCs w:val="24"/>
                <w14:textFill>
                  <w14:solidFill>
                    <w14:schemeClr w14:val="tx1"/>
                  </w14:solidFill>
                </w14:textFill>
              </w:rPr>
              <w:t>存在总量，t。</w:t>
            </w:r>
          </w:p>
          <w:p w14:paraId="6FC0ECD8">
            <w:pPr>
              <w:pStyle w:val="62"/>
              <w:keepNext w:val="0"/>
              <w:keepLines w:val="0"/>
              <w:pageBreakBefore w:val="0"/>
              <w:widowControl w:val="0"/>
              <w:kinsoku/>
              <w:wordWrap/>
              <w:overflowPunct/>
              <w:topLinePunct w:val="0"/>
              <w:autoSpaceDE/>
              <w:autoSpaceDN/>
              <w:bidi w:val="0"/>
              <w:adjustRightInd/>
              <w:snapToGrid/>
              <w:spacing w:beforeLines="0" w:afterLines="0" w:line="360" w:lineRule="auto"/>
              <w:ind w:firstLine="1200" w:firstLineChars="500"/>
              <w:jc w:val="both"/>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1</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n</w:t>
            </w:r>
            <w:r>
              <w:rPr>
                <w:rFonts w:hint="default" w:ascii="Times New Roman" w:hAnsi="Times New Roman" w:eastAsia="宋体" w:cs="Times New Roman"/>
                <w:color w:val="000000" w:themeColor="text1"/>
                <w:kern w:val="0"/>
                <w:sz w:val="24"/>
                <w:szCs w:val="24"/>
                <w14:textFill>
                  <w14:solidFill>
                    <w14:schemeClr w14:val="tx1"/>
                  </w14:solidFill>
                </w14:textFill>
              </w:rPr>
              <w:t>——每种风险物质的临界量，t。</w:t>
            </w:r>
          </w:p>
          <w:p w14:paraId="0D8F41DE">
            <w:pPr>
              <w:pStyle w:val="62"/>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当Q</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1</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时</w:t>
            </w:r>
            <w:r>
              <w:rPr>
                <w:rFonts w:hint="default" w:ascii="Times New Roman" w:hAnsi="Times New Roman" w:eastAsia="宋体" w:cs="Times New Roman"/>
                <w:color w:val="000000" w:themeColor="text1"/>
                <w:kern w:val="0"/>
                <w:sz w:val="24"/>
                <w:szCs w:val="24"/>
                <w14:textFill>
                  <w14:solidFill>
                    <w14:schemeClr w14:val="tx1"/>
                  </w14:solidFill>
                </w14:textFill>
              </w:rPr>
              <w:t>，该项目环境风险潜势为І；</w:t>
            </w:r>
          </w:p>
          <w:p w14:paraId="47B6856E">
            <w:pPr>
              <w:pStyle w:val="62"/>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当Q</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Q值划分为：</w:t>
            </w:r>
            <w:r>
              <w:rPr>
                <w:rFonts w:hint="default" w:ascii="Times New Roman" w:hAnsi="Times New Roman" w:eastAsia="宋体" w:cs="Times New Roman"/>
                <w:color w:val="000000" w:themeColor="text1"/>
                <w:kern w:val="0"/>
                <w:sz w:val="24"/>
                <w:szCs w:val="24"/>
                <w14:textFill>
                  <w14:solidFill>
                    <w14:schemeClr w14:val="tx1"/>
                  </w14:solidFill>
                </w14:textFill>
              </w:rPr>
              <w:t>1≤Q&lt;10</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10≤Q&lt;100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100。</w:t>
            </w:r>
          </w:p>
          <w:p w14:paraId="2CCC99B9">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根据《企业突发环境事件风险分级方法》（HJ941-2018）中附录A</w:t>
            </w:r>
            <w:r>
              <w:rPr>
                <w:rFonts w:hint="default" w:ascii="Times New Roman" w:hAnsi="Times New Roman" w:eastAsia="宋体" w:cs="Times New Roman"/>
                <w:color w:val="000000" w:themeColor="text1"/>
                <w:kern w:val="0"/>
                <w:sz w:val="24"/>
                <w:szCs w:val="24"/>
                <w14:textFill>
                  <w14:solidFill>
                    <w14:schemeClr w14:val="tx1"/>
                  </w14:solidFill>
                </w14:textFill>
              </w:rPr>
              <w:t>（突发环境事件风险物质及临界量清单）</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进行计算得出：本项目环境风险物质数量与临界量比值（Q）</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=0.0</w:t>
            </w:r>
            <w:r>
              <w:rPr>
                <w:rFonts w:hint="eastAsia" w:cs="Times New Roman"/>
                <w:b w:val="0"/>
                <w:bCs w:val="0"/>
                <w:color w:val="000000" w:themeColor="text1"/>
                <w:sz w:val="24"/>
                <w:szCs w:val="24"/>
                <w:lang w:val="en-US" w:eastAsia="zh-CN"/>
                <w14:textFill>
                  <w14:solidFill>
                    <w14:schemeClr w14:val="tx1"/>
                  </w14:solidFill>
                </w14:textFill>
              </w:rPr>
              <w:t>466</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即本工程环境风险潜势为І级</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p>
          <w:p w14:paraId="6D42855E">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根据</w:t>
            </w:r>
            <w:r>
              <w:rPr>
                <w:rFonts w:hint="default" w:ascii="Times New Roman" w:hAnsi="Times New Roman" w:eastAsia="宋体" w:cs="Times New Roman"/>
                <w:color w:val="000000" w:themeColor="text1"/>
                <w:kern w:val="2"/>
                <w:sz w:val="24"/>
                <w:szCs w:val="24"/>
                <w14:textFill>
                  <w14:solidFill>
                    <w14:schemeClr w14:val="tx1"/>
                  </w14:solidFill>
                </w14:textFill>
              </w:rPr>
              <w:t>《建设项目环境风险评价技术导则》（HJ169-2018）</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，环境风险评价工作等级划分为一级、二级、三级</w:t>
            </w:r>
            <w:r>
              <w:rPr>
                <w:rFonts w:hint="eastAsia" w:ascii="Times New Roman" w:hAnsi="Times New Roman" w:eastAsia="宋体" w:cs="Times New Roman"/>
                <w:color w:val="000000" w:themeColor="text1"/>
                <w:kern w:val="2"/>
                <w:sz w:val="24"/>
                <w:szCs w:val="24"/>
                <w:lang w:eastAsia="zh-CN"/>
                <w14:textFill>
                  <w14:solidFill>
                    <w14:schemeClr w14:val="tx1"/>
                  </w14:solidFill>
                </w14:textFill>
              </w:rPr>
              <w:t>和简单分析</w:t>
            </w:r>
            <w:r>
              <w:rPr>
                <w:rFonts w:hint="default" w:ascii="Times New Roman" w:hAnsi="Times New Roman" w:eastAsia="宋体" w:cs="Times New Roman"/>
                <w:color w:val="000000" w:themeColor="text1"/>
                <w:kern w:val="2"/>
                <w:sz w:val="24"/>
                <w:szCs w:val="24"/>
                <w:lang w:eastAsia="zh-CN"/>
                <w14:textFill>
                  <w14:solidFill>
                    <w14:schemeClr w14:val="tx1"/>
                  </w14:solidFill>
                </w14:textFill>
              </w:rPr>
              <w:t>。根据建设项目涉及的物质及工艺系统危险性和所在地的环境敏感性确定环境风险潜势，按照表</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1</w:t>
            </w:r>
            <w:r>
              <w:rPr>
                <w:rFonts w:hint="eastAsia" w:cs="Times New Roman"/>
                <w:color w:val="000000" w:themeColor="text1"/>
                <w:kern w:val="2"/>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确定评价工作等级。</w:t>
            </w:r>
          </w:p>
          <w:p w14:paraId="0A7E64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表4-</w:t>
            </w:r>
            <w:r>
              <w:rPr>
                <w:rFonts w:hint="eastAsia" w:ascii="Times New Roman" w:hAnsi="Times New Roman" w:eastAsia="宋体" w:cs="Times New Roman"/>
                <w:b/>
                <w:bCs/>
                <w:color w:val="000000" w:themeColor="text1"/>
                <w:kern w:val="2"/>
                <w:sz w:val="21"/>
                <w:szCs w:val="21"/>
                <w:lang w:val="en-US" w:eastAsia="zh-CN"/>
                <w14:textFill>
                  <w14:solidFill>
                    <w14:schemeClr w14:val="tx1"/>
                  </w14:solidFill>
                </w14:textFill>
              </w:rPr>
              <w:t>1</w:t>
            </w:r>
            <w:r>
              <w:rPr>
                <w:rFonts w:hint="eastAsia" w:cs="Times New Roman"/>
                <w:b/>
                <w:bCs/>
                <w:color w:val="000000" w:themeColor="text1"/>
                <w:kern w:val="2"/>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kern w:val="2"/>
                <w:sz w:val="21"/>
                <w:szCs w:val="21"/>
                <w:lang w:val="en-US" w:eastAsia="zh-CN"/>
                <w14:textFill>
                  <w14:solidFill>
                    <w14:schemeClr w14:val="tx1"/>
                  </w14:solidFill>
                </w14:textFill>
              </w:rPr>
              <w:t xml:space="preserve">  环境风险评价工作等级划分表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1648"/>
              <w:gridCol w:w="1650"/>
              <w:gridCol w:w="1648"/>
              <w:gridCol w:w="1654"/>
            </w:tblGrid>
            <w:tr w14:paraId="04738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tcBorders>
                    <w:tl2br w:val="nil"/>
                    <w:tr2bl w:val="nil"/>
                  </w:tcBorders>
                  <w:noWrap w:val="0"/>
                  <w:vAlign w:val="center"/>
                </w:tcPr>
                <w:p w14:paraId="18D27974">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环境风险潜势</w:t>
                  </w:r>
                </w:p>
              </w:tc>
              <w:tc>
                <w:tcPr>
                  <w:tcW w:w="999" w:type="pct"/>
                  <w:tcBorders>
                    <w:tl2br w:val="nil"/>
                    <w:tr2bl w:val="nil"/>
                  </w:tcBorders>
                  <w:noWrap w:val="0"/>
                  <w:vAlign w:val="center"/>
                </w:tcPr>
                <w:p w14:paraId="26386FD5">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instrText xml:space="preserve"> = 4 \* ROMAN \* MERGEFORMAT </w:instrTex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IV</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instrText xml:space="preserve"> = 4 \* ROMAN \* MERGEFORMAT </w:instrTex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IV</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w:t>
                  </w:r>
                </w:p>
              </w:tc>
              <w:tc>
                <w:tcPr>
                  <w:tcW w:w="1000" w:type="pct"/>
                  <w:tcBorders>
                    <w:tl2br w:val="nil"/>
                    <w:tr2bl w:val="nil"/>
                  </w:tcBorders>
                  <w:noWrap w:val="0"/>
                  <w:vAlign w:val="center"/>
                </w:tcPr>
                <w:p w14:paraId="03ED1998">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instrText xml:space="preserve"> = 3 \* ROMAN \* MERGEFORMAT </w:instrTex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III</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end"/>
                  </w:r>
                </w:p>
              </w:tc>
              <w:tc>
                <w:tcPr>
                  <w:tcW w:w="999" w:type="pct"/>
                  <w:tcBorders>
                    <w:tl2br w:val="nil"/>
                    <w:tr2bl w:val="nil"/>
                  </w:tcBorders>
                  <w:noWrap w:val="0"/>
                  <w:vAlign w:val="center"/>
                </w:tcPr>
                <w:p w14:paraId="7FA868EF">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instrText xml:space="preserve"> = 2 \* ROMAN \* MERGEFORMAT </w:instrTex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II</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end"/>
                  </w:r>
                </w:p>
              </w:tc>
              <w:tc>
                <w:tcPr>
                  <w:tcW w:w="1000" w:type="pct"/>
                  <w:tcBorders>
                    <w:tl2br w:val="nil"/>
                    <w:tr2bl w:val="nil"/>
                  </w:tcBorders>
                  <w:noWrap w:val="0"/>
                  <w:vAlign w:val="center"/>
                </w:tcPr>
                <w:p w14:paraId="397ECAD2">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instrText xml:space="preserve"> = 1 \* ROMAN \* MERGEFORMAT </w:instrTex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I</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fldChar w:fldCharType="end"/>
                  </w:r>
                </w:p>
              </w:tc>
            </w:tr>
            <w:tr w14:paraId="2B403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tcBorders>
                    <w:tl2br w:val="nil"/>
                    <w:tr2bl w:val="nil"/>
                  </w:tcBorders>
                  <w:noWrap w:val="0"/>
                  <w:vAlign w:val="center"/>
                </w:tcPr>
                <w:p w14:paraId="5C2A965D">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评价工作等级</w:t>
                  </w:r>
                </w:p>
              </w:tc>
              <w:tc>
                <w:tcPr>
                  <w:tcW w:w="999" w:type="pct"/>
                  <w:tcBorders>
                    <w:tl2br w:val="nil"/>
                    <w:tr2bl w:val="nil"/>
                  </w:tcBorders>
                  <w:noWrap w:val="0"/>
                  <w:vAlign w:val="center"/>
                </w:tcPr>
                <w:p w14:paraId="55503411">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w:t>
                  </w:r>
                </w:p>
              </w:tc>
              <w:tc>
                <w:tcPr>
                  <w:tcW w:w="1000" w:type="pct"/>
                  <w:tcBorders>
                    <w:tl2br w:val="nil"/>
                    <w:tr2bl w:val="nil"/>
                  </w:tcBorders>
                  <w:noWrap w:val="0"/>
                  <w:vAlign w:val="center"/>
                </w:tcPr>
                <w:p w14:paraId="65B2C328">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二</w:t>
                  </w:r>
                </w:p>
              </w:tc>
              <w:tc>
                <w:tcPr>
                  <w:tcW w:w="999" w:type="pct"/>
                  <w:tcBorders>
                    <w:tl2br w:val="nil"/>
                    <w:tr2bl w:val="nil"/>
                  </w:tcBorders>
                  <w:noWrap w:val="0"/>
                  <w:vAlign w:val="center"/>
                </w:tcPr>
                <w:p w14:paraId="16D27E27">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三</w:t>
                  </w:r>
                </w:p>
              </w:tc>
              <w:tc>
                <w:tcPr>
                  <w:tcW w:w="1000" w:type="pct"/>
                  <w:tcBorders>
                    <w:tl2br w:val="nil"/>
                    <w:tr2bl w:val="nil"/>
                  </w:tcBorders>
                  <w:noWrap w:val="0"/>
                  <w:vAlign w:val="center"/>
                </w:tcPr>
                <w:p w14:paraId="2F3EC802">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简单分析</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a</w:t>
                  </w:r>
                </w:p>
              </w:tc>
            </w:tr>
            <w:tr w14:paraId="3623E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14:paraId="43121A60">
                  <w:pPr>
                    <w:pStyle w:val="2"/>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a</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是相对于详细评价工作内容而言，在描述危险物质、环境影响途径、环境危害成果、风险防范措施等方面给出定性的说明。</w:t>
                  </w:r>
                </w:p>
              </w:tc>
            </w:tr>
          </w:tbl>
          <w:p w14:paraId="1F605830">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根据以上分析，本项目环境风险评价工作等级简单分析即可。</w:t>
            </w:r>
          </w:p>
          <w:p w14:paraId="72F1B016">
            <w:pPr>
              <w:keepNext w:val="0"/>
              <w:keepLines w:val="0"/>
              <w:pageBreakBefore w:val="0"/>
              <w:widowControl w:val="0"/>
              <w:tabs>
                <w:tab w:val="left" w:pos="720"/>
              </w:tabs>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2.环境风险识别</w:t>
            </w:r>
          </w:p>
          <w:p w14:paraId="3E3F3E83">
            <w:pPr>
              <w:keepNext w:val="0"/>
              <w:keepLines w:val="0"/>
              <w:pageBreakBefore w:val="0"/>
              <w:widowControl w:val="0"/>
              <w:tabs>
                <w:tab w:val="left" w:pos="720"/>
              </w:tabs>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设备、设施的环境风险识别</w:t>
            </w:r>
          </w:p>
          <w:p w14:paraId="557BE6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①油罐区</w:t>
            </w:r>
          </w:p>
          <w:p w14:paraId="2FA39E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1）加油站储油罐均为埋地设置，若防腐处理不好或年久超过防腐保养期，易造成储罐腐蚀穿孔，引起油品泄漏，导致环境污染事故。</w:t>
            </w:r>
          </w:p>
          <w:p w14:paraId="6E35F5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2）储油区及加油区周围，若雨水及事故中含有的油类物质废水直接排入市政污水管网，可能引起水体污染、环境污染事故。</w:t>
            </w:r>
          </w:p>
          <w:p w14:paraId="1F9266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3）若储油罐区地质松软，油罐埋设在地下水位区，地下水位上升可能导致储罐上浮或移位，造成其与输油管连接处断裂，引起油品泄漏，导致环境污染事故。</w:t>
            </w:r>
          </w:p>
          <w:p w14:paraId="506186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4）储罐地面通气管、阻火器等因日常维护不当，不能正常启闭，易导致油品挥发，当其浓度达到爆炸限值，遇点火源就会引起燃烧、爆炸、环境污染事故。</w:t>
            </w:r>
          </w:p>
          <w:p w14:paraId="17CA1C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②加油机</w:t>
            </w:r>
          </w:p>
          <w:p w14:paraId="60F1D3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1）加油机接地因松动或锈蚀而接触不良，可引起静电大量积聚以及放</w:t>
            </w:r>
            <w:r>
              <w:rPr>
                <w:rFonts w:hint="eastAsia" w:cs="Times New Roman"/>
                <w:color w:val="000000" w:themeColor="text1"/>
                <w:sz w:val="24"/>
                <w:szCs w:val="24"/>
                <w:lang w:val="en-US" w:eastAsia="zh-CN"/>
                <w14:textFill>
                  <w14:solidFill>
                    <w14:schemeClr w14:val="tx1"/>
                  </w14:solidFill>
                </w14:textFill>
              </w:rPr>
              <w:t>电</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，当出现漏油、油品溢出等情况异常情况下，易发生火灾。</w:t>
            </w:r>
          </w:p>
          <w:p w14:paraId="397926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2）加油枪、加油管损坏、加油机内接管密封垫损坏均会造成油品泄漏，遇点火源可能发生燃烧、爆炸、环境污染事故。</w:t>
            </w:r>
          </w:p>
          <w:p w14:paraId="74C1F4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3）若不严格遵守停车熄火再加油的规定，发动机可能点燃油箱内散发的油蒸气，引起火灾、爆炸、环境污染事故。</w:t>
            </w:r>
          </w:p>
          <w:p w14:paraId="5C8C03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③输油管道</w:t>
            </w:r>
          </w:p>
          <w:p w14:paraId="4EBE7A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1）输油管道管沟敷设，未用黄沙填实，防腐处理不规范，对输油管线不注意日常维修养护，因外露被腐蚀引起渗漏有引起火灾的危险。</w:t>
            </w:r>
          </w:p>
          <w:p w14:paraId="265921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2）若输油管道末端和分支处防静电接地失效，易引起静电积聚放电，在油品泄漏时，有引起火灾的危险。</w:t>
            </w:r>
          </w:p>
          <w:p w14:paraId="1ABF4D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④装卸油作业区</w:t>
            </w:r>
          </w:p>
          <w:p w14:paraId="232BAE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加油车不熄火，送油车静电没有消散，油罐车卸油连通软管导静电性能差；雷雨天往油罐卸油过往汽车车箱加油速度过快，加油操作失误；密闭卸油接口处漏油；对明火源管理不严等，都会导致火灾、爆炸或设备损坏或人身伤亡事故或环境污染事故。</w:t>
            </w:r>
          </w:p>
          <w:p w14:paraId="69DC4D7D">
            <w:pPr>
              <w:keepNext w:val="0"/>
              <w:keepLines w:val="0"/>
              <w:pageBreakBefore w:val="0"/>
              <w:widowControl w:val="0"/>
              <w:tabs>
                <w:tab w:val="left" w:pos="720"/>
              </w:tabs>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（2）作业过程中的环境风险识别</w:t>
            </w:r>
          </w:p>
          <w:p w14:paraId="240929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卸油过程</w:t>
            </w:r>
          </w:p>
          <w:p w14:paraId="56CAD0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加油站采用油品从槽车自流入油罐的卸油方式。</w:t>
            </w:r>
          </w:p>
          <w:p w14:paraId="41ACAE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槽车用带有快速接头导电橡胶软管直接连接卸油口进行卸油（密闭式卸油），油品流动即会产生大量静电，若槽车未有效接地，就会产生静电放电，成为火灾、爆炸事故的点火源。</w:t>
            </w:r>
          </w:p>
          <w:p w14:paraId="0AB4E8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若卸油管破裂或接头密封垫损坏，可能造成油品泄漏，遇点火源发生燃烧、爆炸事故。</w:t>
            </w:r>
          </w:p>
          <w:p w14:paraId="3638FB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若卸油未采取密闭式卸油口，连接密封效果不良，可能造成油品泄漏，遇点火源发生燃烧、爆炸事故。</w:t>
            </w:r>
          </w:p>
          <w:p w14:paraId="331112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加油过程</w:t>
            </w:r>
          </w:p>
          <w:p w14:paraId="7059B4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作业人员依据顾客需要的加油数量在加油机上预置，确认油品无误后提枪加油，加油完毕后收枪复位。作业人员在加油过程中若不遵守安全规章，不严格按正确的规程作业或操作失误，可能造成漏油、油品溢出等情况，遇加油机接地松动而接触不良引起静电大量积聚放电或遇明火极易发生火灾甚至爆炸。</w:t>
            </w:r>
          </w:p>
          <w:p w14:paraId="23F9DD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作业人员若违反规程向塑料容器加注油品，易造成静电积聚放电，若遇油品或油蒸气，可能发生火灾；装有油品的密闭塑料容器，如温度过高，导致压力增大，有塑料容器爆裂的危险，若遇点火源，会引发火灾。加油枪、加油管损坏、加油机内接管密封垫损坏均会造成油品泄漏，遇点火源可能发生燃烧、爆炸事故。</w:t>
            </w:r>
          </w:p>
          <w:p w14:paraId="1924310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eastAsia="宋体" w:cs="Times New Roman"/>
                <w:b/>
                <w:bCs/>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1"/>
                <w:lang w:val="en-US" w:eastAsia="zh-CN"/>
                <w14:textFill>
                  <w14:solidFill>
                    <w14:schemeClr w14:val="tx1"/>
                  </w14:solidFill>
                </w14:textFill>
              </w:rPr>
              <w:t>3.环境风险分析</w:t>
            </w:r>
          </w:p>
          <w:p w14:paraId="053816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b/>
                <w:bCs/>
                <w:color w:val="000000" w:themeColor="text1"/>
                <w:sz w:val="24"/>
                <w:szCs w:val="21"/>
                <w:lang w:val="en-US" w:eastAsia="zh-CN"/>
                <w14:textFill>
                  <w14:solidFill>
                    <w14:schemeClr w14:val="tx1"/>
                  </w14:solidFill>
                </w14:textFill>
              </w:rPr>
            </w:pPr>
            <w:r>
              <w:rPr>
                <w:bCs/>
                <w:color w:val="000000" w:themeColor="text1"/>
                <w:sz w:val="24"/>
                <w:szCs w:val="24"/>
                <w14:textFill>
                  <w14:solidFill>
                    <w14:schemeClr w14:val="tx1"/>
                  </w14:solidFill>
                </w14:textFill>
              </w:rPr>
              <w:t>加油站存在的环境风险主要表现在油品泄漏时对地下水、土壤、大气等环境产生不利影响。</w:t>
            </w:r>
          </w:p>
          <w:p w14:paraId="414687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000000" w:themeColor="text1"/>
                <w:sz w:val="24"/>
                <w:szCs w:val="21"/>
                <w:lang w:eastAsia="zh-CN"/>
                <w14:textFill>
                  <w14:solidFill>
                    <w14:schemeClr w14:val="tx1"/>
                  </w14:solidFill>
                </w14:textFill>
              </w:rPr>
            </w:pPr>
            <w:r>
              <w:rPr>
                <w:rFonts w:hint="default" w:ascii="Times New Roman" w:hAnsi="Times New Roman" w:eastAsia="宋体" w:cs="Times New Roman"/>
                <w:color w:val="000000" w:themeColor="text1"/>
                <w:sz w:val="24"/>
                <w:szCs w:val="21"/>
                <w14:textFill>
                  <w14:solidFill>
                    <w14:schemeClr w14:val="tx1"/>
                  </w14:solidFill>
                </w14:textFill>
              </w:rPr>
              <w:t>（1）</w:t>
            </w:r>
            <w:r>
              <w:rPr>
                <w:rFonts w:hint="eastAsia" w:ascii="Times New Roman" w:hAnsi="Times New Roman" w:eastAsia="宋体" w:cs="Times New Roman"/>
                <w:color w:val="000000" w:themeColor="text1"/>
                <w:sz w:val="24"/>
                <w:szCs w:val="21"/>
                <w:lang w:eastAsia="zh-CN"/>
                <w14:textFill>
                  <w14:solidFill>
                    <w14:schemeClr w14:val="tx1"/>
                  </w14:solidFill>
                </w14:textFill>
              </w:rPr>
              <w:t>对地下水环境的影响</w:t>
            </w:r>
          </w:p>
          <w:p w14:paraId="718E0640">
            <w:pPr>
              <w:keepNext w:val="0"/>
              <w:keepLines w:val="0"/>
              <w:pageBreakBefore w:val="0"/>
              <w:widowControl w:val="0"/>
              <w:tabs>
                <w:tab w:val="left" w:pos="2315"/>
              </w:tabs>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000000" w:themeColor="text1"/>
                <w:sz w:val="24"/>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1"/>
                <w:lang w:eastAsia="zh-CN"/>
                <w14:textFill>
                  <w14:solidFill>
                    <w14:schemeClr w14:val="tx1"/>
                  </w14:solidFill>
                </w14:textFill>
              </w:rPr>
              <w:t>储油罐和输油管线的泄漏或渗漏对地下水的污染较为严重，地下水一旦遭到成品油的污染，将使地下水产生严重异味，并具有较强的致畸致癌性，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也需几十年甚至上百年的时间。</w:t>
            </w:r>
          </w:p>
          <w:p w14:paraId="05FFC256">
            <w:pPr>
              <w:keepNext w:val="0"/>
              <w:keepLines w:val="0"/>
              <w:pageBreakBefore w:val="0"/>
              <w:widowControl w:val="0"/>
              <w:tabs>
                <w:tab w:val="left" w:pos="2315"/>
              </w:tabs>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1"/>
                <w:lang w:eastAsia="zh-CN"/>
                <w14:textFill>
                  <w14:solidFill>
                    <w14:schemeClr w14:val="tx1"/>
                  </w14:solidFill>
                </w14:textFill>
              </w:rPr>
              <w:t>本项目采用防腐防渗技术，对储油罐内外表面、围堰的内表面、输油管线外表面均做了防渗防腐处理，加油站一旦发生溢出与渗漏事故，油品将由于防渗层的保护作用，积聚在储油区，同时罐区设置围堰，对地下水不会造成影响。</w:t>
            </w:r>
          </w:p>
          <w:p w14:paraId="58C5CEF1">
            <w:pPr>
              <w:keepNext w:val="0"/>
              <w:keepLines w:val="0"/>
              <w:pageBreakBefore w:val="0"/>
              <w:widowControl w:val="0"/>
              <w:tabs>
                <w:tab w:val="left" w:pos="2505"/>
              </w:tabs>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000000" w:themeColor="text1"/>
                <w:sz w:val="24"/>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1"/>
                <w:lang w:eastAsia="zh-CN"/>
                <w14:textFill>
                  <w14:solidFill>
                    <w14:schemeClr w14:val="tx1"/>
                  </w14:solidFill>
                </w14:textFill>
              </w:rPr>
              <w:t>（</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1"/>
                <w:lang w:eastAsia="zh-CN"/>
                <w14:textFill>
                  <w14:solidFill>
                    <w14:schemeClr w14:val="tx1"/>
                  </w14:solidFill>
                </w14:textFill>
              </w:rPr>
              <w:t>）对土壤环境的影响</w:t>
            </w:r>
          </w:p>
          <w:p w14:paraId="0598F5DB">
            <w:pPr>
              <w:keepNext w:val="0"/>
              <w:keepLines w:val="0"/>
              <w:pageBreakBefore w:val="0"/>
              <w:widowControl w:val="0"/>
              <w:tabs>
                <w:tab w:val="left" w:pos="2505"/>
              </w:tabs>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000000" w:themeColor="text1"/>
                <w:sz w:val="24"/>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1"/>
                <w:lang w:eastAsia="zh-CN"/>
                <w14:textFill>
                  <w14:solidFill>
                    <w14:schemeClr w14:val="tx1"/>
                  </w14:solidFill>
                </w14:textFill>
              </w:rPr>
              <w:t>加油站对土壤的主要影响来自储油罐和输油管线，储油罐和输油管线的泄漏或渗漏对土壤的污染较为严重，由于这种渗漏可穿越较厚的土壤层，使土壤层中吸附大量的燃料油，土壤层吸附的燃料油不仅会造成植物生物的死亡，还会使得土壤结构发生变化，造成土壤性质的改变。本加油站对油罐区采用防渗混凝土罐池内填土（砂）埋设方法，池底及内壁一定高度范围内贴做防渗层，对油罐内外壁进行了防腐处理，油罐池</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隔池内设置检测立管，立管的下端位置置于罐池的最低处，能够保证油罐内、外壁任何部位出现渗漏均能被及时发现</w:t>
            </w:r>
            <w:r>
              <w:rPr>
                <w:rFonts w:hint="eastAsia" w:ascii="Times New Roman" w:hAnsi="Times New Roman" w:eastAsia="宋体" w:cs="Times New Roman"/>
                <w:color w:val="000000" w:themeColor="text1"/>
                <w:sz w:val="24"/>
                <w:szCs w:val="21"/>
                <w:lang w:eastAsia="zh-CN"/>
                <w14:textFill>
                  <w14:solidFill>
                    <w14:schemeClr w14:val="tx1"/>
                  </w14:solidFill>
                </w14:textFill>
              </w:rPr>
              <w:t>。经过以上措施后，可以有效避免储油罐发生泄漏事故，防止油罐对土壤的污染。</w:t>
            </w:r>
          </w:p>
          <w:p w14:paraId="1C46CB22">
            <w:pPr>
              <w:keepNext w:val="0"/>
              <w:keepLines w:val="0"/>
              <w:pageBreakBefore w:val="0"/>
              <w:widowControl w:val="0"/>
              <w:tabs>
                <w:tab w:val="left" w:pos="2505"/>
              </w:tabs>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000000" w:themeColor="text1"/>
                <w:sz w:val="24"/>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1"/>
                <w:lang w:eastAsia="zh-CN"/>
                <w14:textFill>
                  <w14:solidFill>
                    <w14:schemeClr w14:val="tx1"/>
                  </w14:solidFill>
                </w14:textFill>
              </w:rPr>
              <w:t>（</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1"/>
                <w:lang w:eastAsia="zh-CN"/>
                <w14:textFill>
                  <w14:solidFill>
                    <w14:schemeClr w14:val="tx1"/>
                  </w14:solidFill>
                </w14:textFill>
              </w:rPr>
              <w:t>）对大气环境的影响</w:t>
            </w:r>
          </w:p>
          <w:p w14:paraId="71D7C1BD">
            <w:pPr>
              <w:keepNext w:val="0"/>
              <w:keepLines w:val="0"/>
              <w:pageBreakBefore w:val="0"/>
              <w:widowControl w:val="0"/>
              <w:tabs>
                <w:tab w:val="left" w:pos="2505"/>
              </w:tabs>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000000" w:themeColor="text1"/>
                <w:sz w:val="24"/>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1"/>
                <w:lang w:eastAsia="zh-CN"/>
                <w14:textFill>
                  <w14:solidFill>
                    <w14:schemeClr w14:val="tx1"/>
                  </w14:solidFill>
                </w14:textFill>
              </w:rPr>
              <w:t>发生泄漏后，油气浓度会在短时间内增加，对大气环境有一定的影响。泄漏事故是短时间的，油气达到一定程度会发生火灾或爆炸，对大气环境有较大影响。为减少潜在的风险，建设单位需加强管理，生产与储存场所做好通风和安全管理，避免原料泄漏事故的发生。</w:t>
            </w:r>
          </w:p>
          <w:p w14:paraId="03E3FE02">
            <w:pPr>
              <w:keepNext w:val="0"/>
              <w:keepLines w:val="0"/>
              <w:pageBreakBefore w:val="0"/>
              <w:widowControl w:val="0"/>
              <w:tabs>
                <w:tab w:val="left" w:pos="2505"/>
              </w:tabs>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000000" w:themeColor="text1"/>
                <w:sz w:val="24"/>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1"/>
                <w:lang w:eastAsia="zh-CN"/>
                <w14:textFill>
                  <w14:solidFill>
                    <w14:schemeClr w14:val="tx1"/>
                  </w14:solidFill>
                </w14:textFill>
              </w:rPr>
              <w:t>本项目采用地埋式储油罐工艺，一旦发生渗漏与溢出事故时，由于采取了防渗漏检查孔等渗漏溢出检测设施，可及时发现储油罐渗漏，油品渗漏量较小，再由于受储油罐地基及防渗层的保护，渗漏出的成品油将积聚在储油区。储油区表面采用了混凝土硬化，较为密闭，油品将主要通过储油区通气管及人孔井非密封处挥发，不会造成大面积的扩散，对大气环境影响较小。</w:t>
            </w:r>
          </w:p>
          <w:p w14:paraId="7F49612F">
            <w:pPr>
              <w:keepNext w:val="0"/>
              <w:keepLines w:val="0"/>
              <w:pageBreakBefore w:val="0"/>
              <w:widowControl w:val="0"/>
              <w:tabs>
                <w:tab w:val="left" w:pos="2505"/>
              </w:tabs>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1"/>
                <w:lang w:eastAsia="zh-CN"/>
                <w14:textFill>
                  <w14:solidFill>
                    <w14:schemeClr w14:val="tx1"/>
                  </w14:solidFill>
                </w14:textFill>
              </w:rPr>
              <w:t>（</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1"/>
                <w:lang w:eastAsia="zh-CN"/>
                <w14:textFill>
                  <w14:solidFill>
                    <w14:schemeClr w14:val="tx1"/>
                  </w14:solidFill>
                </w14:textFill>
              </w:rPr>
              <w:t>）对周边敏感点的影响</w:t>
            </w:r>
          </w:p>
          <w:p w14:paraId="7A9799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color w:val="000000" w:themeColor="text1"/>
                <w:sz w:val="24"/>
                <w:szCs w:val="21"/>
                <w14:textFill>
                  <w14:solidFill>
                    <w14:schemeClr w14:val="tx1"/>
                  </w14:solidFill>
                </w14:textFill>
              </w:rPr>
              <w:t>事故状态下，汽油泄漏时间内会造成一定范围内空气中的非甲烷总烃超标，事故状态下会对项目所在地周边的保护目标产生影响。</w:t>
            </w:r>
          </w:p>
          <w:p w14:paraId="575994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000000" w:themeColor="text1"/>
                <w:sz w:val="24"/>
                <w:szCs w:val="21"/>
                <w:lang w:eastAsia="zh-CN"/>
                <w14:textFill>
                  <w14:solidFill>
                    <w14:schemeClr w14:val="tx1"/>
                  </w14:solidFill>
                </w14:textFill>
              </w:rPr>
            </w:pPr>
            <w:r>
              <w:rPr>
                <w:rFonts w:hint="default" w:ascii="Times New Roman" w:hAnsi="Times New Roman" w:eastAsia="宋体" w:cs="Times New Roman"/>
                <w:color w:val="000000" w:themeColor="text1"/>
                <w:sz w:val="24"/>
                <w:szCs w:val="21"/>
                <w14:textFill>
                  <w14:solidFill>
                    <w14:schemeClr w14:val="tx1"/>
                  </w14:solidFill>
                </w14:textFill>
              </w:rPr>
              <w:t>本项目站区严格按照</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《汽车加油加气加氢站技术标准》（GB50156-</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2021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1"/>
                <w14:textFill>
                  <w14:solidFill>
                    <w14:schemeClr w14:val="tx1"/>
                  </w14:solidFill>
                </w14:textFill>
              </w:rPr>
              <w:t>进行</w:t>
            </w:r>
            <w:r>
              <w:rPr>
                <w:rFonts w:hint="eastAsia" w:ascii="Times New Roman" w:hAnsi="Times New Roman" w:eastAsia="宋体" w:cs="Times New Roman"/>
                <w:color w:val="000000" w:themeColor="text1"/>
                <w:sz w:val="24"/>
                <w:szCs w:val="21"/>
                <w:lang w:eastAsia="zh-CN"/>
                <w14:textFill>
                  <w14:solidFill>
                    <w14:schemeClr w14:val="tx1"/>
                  </w14:solidFill>
                </w14:textFill>
              </w:rPr>
              <w:t>了</w:t>
            </w:r>
            <w:r>
              <w:rPr>
                <w:rFonts w:hint="default" w:ascii="Times New Roman" w:hAnsi="Times New Roman" w:eastAsia="宋体" w:cs="Times New Roman"/>
                <w:color w:val="000000" w:themeColor="text1"/>
                <w:sz w:val="24"/>
                <w:szCs w:val="21"/>
                <w14:textFill>
                  <w14:solidFill>
                    <w14:schemeClr w14:val="tx1"/>
                  </w14:solidFill>
                </w14:textFill>
              </w:rPr>
              <w:t>设计规划，防渗措施严格按照《加油站地下水污染防治技术指南（试行）》中相关要求</w:t>
            </w:r>
            <w:r>
              <w:rPr>
                <w:rFonts w:hint="eastAsia" w:ascii="Times New Roman" w:hAnsi="Times New Roman" w:eastAsia="宋体" w:cs="Times New Roman"/>
                <w:color w:val="000000" w:themeColor="text1"/>
                <w:sz w:val="24"/>
                <w:szCs w:val="21"/>
                <w:lang w:eastAsia="zh-CN"/>
                <w14:textFill>
                  <w14:solidFill>
                    <w14:schemeClr w14:val="tx1"/>
                  </w14:solidFill>
                </w14:textFill>
              </w:rPr>
              <w:t>储油罐</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采用双层FF储罐</w:t>
            </w:r>
            <w:r>
              <w:rPr>
                <w:rFonts w:hint="default" w:ascii="Times New Roman" w:hAnsi="Times New Roman" w:eastAsia="宋体" w:cs="Times New Roman"/>
                <w:color w:val="000000" w:themeColor="text1"/>
                <w:sz w:val="24"/>
                <w:szCs w:val="21"/>
                <w14:textFill>
                  <w14:solidFill>
                    <w14:schemeClr w14:val="tx1"/>
                  </w14:solidFill>
                </w14:textFill>
              </w:rPr>
              <w:t>，降低了罐区油品渗漏的风险；加油区、输</w:t>
            </w:r>
            <w:r>
              <w:rPr>
                <w:rFonts w:hint="eastAsia" w:ascii="Times New Roman" w:hAnsi="Times New Roman" w:eastAsia="宋体" w:cs="Times New Roman"/>
                <w:color w:val="000000" w:themeColor="text1"/>
                <w:sz w:val="24"/>
                <w:szCs w:val="21"/>
                <w:lang w:eastAsia="zh-CN"/>
                <w14:textFill>
                  <w14:solidFill>
                    <w14:schemeClr w14:val="tx1"/>
                  </w14:solidFill>
                </w14:textFill>
              </w:rPr>
              <w:t>油</w:t>
            </w:r>
            <w:r>
              <w:rPr>
                <w:rFonts w:hint="default" w:ascii="Times New Roman" w:hAnsi="Times New Roman" w:eastAsia="宋体" w:cs="Times New Roman"/>
                <w:color w:val="000000" w:themeColor="text1"/>
                <w:sz w:val="24"/>
                <w:szCs w:val="21"/>
                <w14:textFill>
                  <w14:solidFill>
                    <w14:schemeClr w14:val="tx1"/>
                  </w14:solidFill>
                </w14:textFill>
              </w:rPr>
              <w:t>管线的防腐防渗减小了加油枪、加油机及输油管线发生意外泄漏时造成的油品渗漏的可能；加之泄漏检测仪24h全程监控，将油品渗漏风险降至最低</w:t>
            </w:r>
            <w:r>
              <w:rPr>
                <w:rFonts w:hint="eastAsia" w:ascii="Times New Roman" w:hAnsi="Times New Roman" w:eastAsia="宋体" w:cs="Times New Roman"/>
                <w:color w:val="000000" w:themeColor="text1"/>
                <w:sz w:val="24"/>
                <w:szCs w:val="21"/>
                <w:lang w:eastAsia="zh-CN"/>
                <w14:textFill>
                  <w14:solidFill>
                    <w14:schemeClr w14:val="tx1"/>
                  </w14:solidFill>
                </w14:textFill>
              </w:rPr>
              <w:t>，对周边保护目标的影响很小。</w:t>
            </w:r>
          </w:p>
          <w:p w14:paraId="2E988A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4.环境风险防范措施及应急要求</w:t>
            </w:r>
          </w:p>
          <w:p w14:paraId="234648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本项目油罐采用埋地</w:t>
            </w: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双层FF储</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油罐，</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输油管道采用双层管道，管道做了防腐层，</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具体设计要求符合《汽车加油加气站设计与施工规范》（GB50156-2012）的规定。</w:t>
            </w: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管道</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储</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油罐分别设置渗漏检测探头，渗漏检测控制器集中设置在站房，报警器由</w:t>
            </w: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储油</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罐制造商及管道厂家各自提供。</w:t>
            </w:r>
            <w:r>
              <w:rPr>
                <w:rFonts w:hint="eastAsia" w:ascii="Times New Roman" w:hAnsi="Times New Roman" w:eastAsia="宋体" w:cs="Times New Roman"/>
                <w:b w:val="0"/>
                <w:bCs w:val="0"/>
                <w:color w:val="000000" w:themeColor="text1"/>
                <w:sz w:val="24"/>
                <w:szCs w:val="21"/>
                <w:highlight w:val="none"/>
                <w:lang w:val="en-US" w:eastAsia="zh-CN"/>
                <w14:textFill>
                  <w14:solidFill>
                    <w14:schemeClr w14:val="tx1"/>
                  </w14:solidFill>
                </w14:textFill>
              </w:rPr>
              <w:t>同时在加油站内各区域设置视频监控系统，实时监视各重点部位运行情况，保障加油站的安全运营。</w:t>
            </w:r>
          </w:p>
          <w:p w14:paraId="6D6678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罐车卸油采用密闭卸油方式，油罐车卸油时用的卸油连通软管、油气回收连通软管采用导静电耐油软管；汽油罐车卸油采用卸油油气回收系统，油罐车上管道接口及站内油气回收管道接口前设置手动阀门；加油站内的卸油管道接口、油气回收管道接口均设在地面以上。</w:t>
            </w:r>
          </w:p>
          <w:p w14:paraId="1A4ED7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油罐安装卸油防溢阀，泵设置高液位防满溢报警措施，油料达到油罐容量90%时，应能触动高液位报警装置；油料达到油罐容量95%时，应能自动停止油料继续进罐。</w:t>
            </w:r>
          </w:p>
          <w:p w14:paraId="035926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加油枪采用自封式加油枪，汽油加油作业安装油气回收系统，在汽车加注汽油过程中，将汽车油箱口散溢的油气，通过油气回收专用加油枪收集，经加油油气回收管线输送至汽油储罐，控制油气外排。</w:t>
            </w:r>
          </w:p>
          <w:p w14:paraId="5DC3E1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制定加油作业规范，对员工定期进行培训，要求员工严格按照规范加油。</w:t>
            </w:r>
          </w:p>
          <w:p w14:paraId="763702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站内根据《汽车加油加气站设计与施工规范》（GB50156-2012）中的相关要求配套设置推车式干粉灭火器、手提式干粉灭火器、灭火毯及灭火沙等消防器材。</w:t>
            </w:r>
          </w:p>
          <w:p w14:paraId="6ADF7C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在可能发生成品油挥发及泄漏积聚的场所，设置可燃气体报警装置，泄漏通过放散管排放，不会造成大面积的扩散</w:t>
            </w: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w:t>
            </w:r>
          </w:p>
          <w:p w14:paraId="14FAAE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（8）在管沟油品管道的始端、末端和分支处，设置防静电和防感应雷的联合接地装置。</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加强储油罐与管道系统的管理与维修，使整个油品储存系统处于密闭化，严格防止跑、冒、滴、漏或泄漏现象发生</w:t>
            </w: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w:t>
            </w:r>
          </w:p>
          <w:p w14:paraId="0F5DCC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根据本项目实际情况编制环境风险应急预案，并到生态环境局进行备案。若发现油品泄漏，需启动环境预警和开展应急响应，应急响应措施主要有泄漏加油站停运、油品阻隔和泄漏油品回收。在1天内向</w:t>
            </w: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生态环境</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主管部门报告，在5个工作日内提供泄漏加油站的初始环境报告，包括责任人的名称和电话号码，泄漏物的类型、体积和地下水污染物浓度，采取应急响应措施。</w:t>
            </w:r>
          </w:p>
          <w:p w14:paraId="5A91B5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5.事故应急预案</w:t>
            </w:r>
          </w:p>
          <w:p w14:paraId="094A8C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eastAsia="宋体" w:cs="Times New Roman"/>
                <w:bCs/>
                <w:color w:val="000000" w:themeColor="text1"/>
                <w:sz w:val="24"/>
                <w:szCs w:val="24"/>
                <w:lang w:val="en-US" w:eastAsia="zh-CN"/>
                <w14:textFill>
                  <w14:solidFill>
                    <w14:schemeClr w14:val="tx1"/>
                  </w14:solidFill>
                </w14:textFill>
              </w:rPr>
            </w:pPr>
            <w:r>
              <w:rPr>
                <w:rFonts w:hint="eastAsia" w:eastAsia="宋体" w:cs="Times New Roman"/>
                <w:bCs/>
                <w:color w:val="000000" w:themeColor="text1"/>
                <w:sz w:val="24"/>
                <w:szCs w:val="24"/>
                <w:lang w:val="en-US" w:eastAsia="zh-CN"/>
                <w14:textFill>
                  <w14:solidFill>
                    <w14:schemeClr w14:val="tx1"/>
                  </w14:solidFill>
                </w14:textFill>
              </w:rPr>
              <w:t>经与建设单位核实，加油站未编制过突发环境事件应急预案，因此环评要求建设单位根据项目</w:t>
            </w:r>
            <w:r>
              <w:rPr>
                <w:rFonts w:hint="default" w:ascii="Times New Roman" w:hAnsi="Times New Roman" w:eastAsia="宋体" w:cs="Times New Roman"/>
                <w:b w:val="0"/>
                <w:bCs w:val="0"/>
                <w:color w:val="000000" w:themeColor="text1"/>
                <w:sz w:val="24"/>
                <w:szCs w:val="21"/>
                <w:lang w:val="en-US" w:eastAsia="zh-CN"/>
                <w14:textFill>
                  <w14:solidFill>
                    <w14:schemeClr w14:val="tx1"/>
                  </w14:solidFill>
                </w14:textFill>
              </w:rPr>
              <w:t>实际情况编制突发环境事件应急预案，并到生态环境局进行备案。</w:t>
            </w:r>
            <w:r>
              <w:rPr>
                <w:rFonts w:hint="eastAsia" w:eastAsia="宋体" w:cs="Times New Roman"/>
                <w:bCs/>
                <w:color w:val="0000FF"/>
                <w:sz w:val="24"/>
                <w:szCs w:val="24"/>
                <w:lang w:val="en-US" w:eastAsia="zh-CN"/>
              </w:rPr>
              <w:t>应急预案建设单位应编制详尽的应急计划，同时应与</w:t>
            </w:r>
            <w:r>
              <w:rPr>
                <w:rFonts w:hint="eastAsia" w:ascii="Times New Roman" w:hAnsi="Times New Roman" w:cs="Times New Roman"/>
                <w:color w:val="0000FF"/>
                <w:sz w:val="24"/>
                <w:szCs w:val="24"/>
                <w:u w:val="none"/>
                <w:lang w:eastAsia="zh-CN"/>
              </w:rPr>
              <w:t>玛纳斯县</w:t>
            </w:r>
            <w:r>
              <w:rPr>
                <w:rFonts w:hint="eastAsia" w:eastAsia="宋体" w:cs="Times New Roman"/>
                <w:bCs/>
                <w:color w:val="0000FF"/>
                <w:sz w:val="24"/>
                <w:szCs w:val="24"/>
                <w:lang w:val="en-US" w:eastAsia="zh-CN"/>
              </w:rPr>
              <w:t>应急管理部门达成共同提高应急管理水平的共识，同时明确应急管理区域，明确合作宗旨、合作原则、主要合作领域和内容等，并制定应急联动机制实施办法，统一应急行动，明确应急责任人和有关部门的职责，确保在最短的时间将事故控制，以减少对环境的破坏。</w:t>
            </w:r>
            <w:r>
              <w:rPr>
                <w:rFonts w:hint="eastAsia" w:eastAsia="宋体" w:cs="Times New Roman"/>
                <w:bCs/>
                <w:color w:val="000000" w:themeColor="text1"/>
                <w:sz w:val="24"/>
                <w:szCs w:val="24"/>
                <w:lang w:val="en-US" w:eastAsia="zh-CN"/>
                <w14:textFill>
                  <w14:solidFill>
                    <w14:schemeClr w14:val="tx1"/>
                  </w14:solidFill>
                </w14:textFill>
              </w:rPr>
              <w:t>应急反应计划制定大概包括以下方面：</w:t>
            </w:r>
          </w:p>
          <w:p w14:paraId="10DB53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eastAsia="宋体" w:cs="Times New Roman"/>
                <w:bCs/>
                <w:color w:val="000000" w:themeColor="text1"/>
                <w:sz w:val="24"/>
                <w:szCs w:val="24"/>
                <w:lang w:val="en-US" w:eastAsia="zh-CN"/>
                <w14:textFill>
                  <w14:solidFill>
                    <w14:schemeClr w14:val="tx1"/>
                  </w14:solidFill>
                </w14:textFill>
              </w:rPr>
            </w:pPr>
            <w:r>
              <w:rPr>
                <w:rFonts w:hint="eastAsia" w:eastAsia="宋体" w:cs="Times New Roman"/>
                <w:bCs/>
                <w:color w:val="000000" w:themeColor="text1"/>
                <w:sz w:val="24"/>
                <w:szCs w:val="24"/>
                <w:lang w:val="en-US" w:eastAsia="zh-CN"/>
                <w14:textFill>
                  <w14:solidFill>
                    <w14:schemeClr w14:val="tx1"/>
                  </w14:solidFill>
                </w14:textFill>
              </w:rPr>
              <w:t>（1）建立突发性事故反应体系</w:t>
            </w:r>
          </w:p>
          <w:p w14:paraId="12DA0C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eastAsia="宋体" w:cs="Times New Roman"/>
                <w:bCs/>
                <w:color w:val="000000" w:themeColor="text1"/>
                <w:sz w:val="24"/>
                <w:szCs w:val="24"/>
                <w:lang w:val="en-US" w:eastAsia="zh-CN"/>
                <w14:textFill>
                  <w14:solidFill>
                    <w14:schemeClr w14:val="tx1"/>
                  </w14:solidFill>
                </w14:textFill>
              </w:rPr>
            </w:pPr>
            <w:r>
              <w:rPr>
                <w:rFonts w:hint="eastAsia" w:eastAsia="宋体" w:cs="Times New Roman"/>
                <w:bCs/>
                <w:color w:val="000000" w:themeColor="text1"/>
                <w:sz w:val="24"/>
                <w:szCs w:val="24"/>
                <w:lang w:val="en-US" w:eastAsia="zh-CN"/>
                <w14:textFill>
                  <w14:solidFill>
                    <w14:schemeClr w14:val="tx1"/>
                  </w14:solidFill>
                </w14:textFill>
              </w:rPr>
              <w:t>为对突发性事故做出快速反应，应建立起相应的组织机构，包括指挥协调中心、咨询中心、监测中心和善后工作小组。</w:t>
            </w:r>
          </w:p>
          <w:p w14:paraId="52AE94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eastAsia="宋体" w:cs="Times New Roman"/>
                <w:bCs/>
                <w:color w:val="000000" w:themeColor="text1"/>
                <w:sz w:val="24"/>
                <w:szCs w:val="24"/>
                <w:lang w:val="en-US" w:eastAsia="zh-CN"/>
                <w14:textFill>
                  <w14:solidFill>
                    <w14:schemeClr w14:val="tx1"/>
                  </w14:solidFill>
                </w14:textFill>
              </w:rPr>
            </w:pPr>
            <w:r>
              <w:rPr>
                <w:rFonts w:hint="eastAsia" w:eastAsia="宋体" w:cs="Times New Roman"/>
                <w:bCs/>
                <w:color w:val="000000" w:themeColor="text1"/>
                <w:sz w:val="24"/>
                <w:szCs w:val="24"/>
                <w:lang w:val="en-US" w:eastAsia="zh-CN"/>
                <w14:textFill>
                  <w14:solidFill>
                    <w14:schemeClr w14:val="tx1"/>
                  </w14:solidFill>
                </w14:textFill>
              </w:rPr>
              <w:t>指挥中心：由项目建设单位牵头，包括各生态环境部门、水利务局、清污公司等有关单位。配备完善的通讯设备，有条件时，启动社会联动</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110</w:t>
            </w:r>
            <w:r>
              <w:rPr>
                <w:rFonts w:hint="eastAsia" w:eastAsia="宋体" w:cs="Times New Roman"/>
                <w:bCs/>
                <w:color w:val="000000" w:themeColor="text1"/>
                <w:sz w:val="24"/>
                <w:szCs w:val="24"/>
                <w:lang w:val="en-US" w:eastAsia="zh-CN"/>
                <w14:textFill>
                  <w14:solidFill>
                    <w14:schemeClr w14:val="tx1"/>
                  </w14:solidFill>
                </w14:textFill>
              </w:rPr>
              <w:t>报警系统，提高反应效率。其任务是建立应急体系，协调应急反应多边关系，指挥消除污染事故的行动。</w:t>
            </w:r>
          </w:p>
          <w:p w14:paraId="57D65C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eastAsia="宋体" w:cs="Times New Roman"/>
                <w:bCs/>
                <w:color w:val="000000" w:themeColor="text1"/>
                <w:sz w:val="24"/>
                <w:szCs w:val="24"/>
                <w:lang w:val="en-US" w:eastAsia="zh-CN"/>
                <w14:textFill>
                  <w14:solidFill>
                    <w14:schemeClr w14:val="tx1"/>
                  </w14:solidFill>
                </w14:textFill>
              </w:rPr>
            </w:pPr>
            <w:r>
              <w:rPr>
                <w:rFonts w:hint="eastAsia" w:eastAsia="宋体" w:cs="Times New Roman"/>
                <w:bCs/>
                <w:color w:val="000000" w:themeColor="text1"/>
                <w:sz w:val="24"/>
                <w:szCs w:val="24"/>
                <w:lang w:val="en-US" w:eastAsia="zh-CN"/>
                <w14:textFill>
                  <w14:solidFill>
                    <w14:schemeClr w14:val="tx1"/>
                  </w14:solidFill>
                </w14:textFill>
              </w:rPr>
              <w:t>咨询中心：由科研部门承担，主要任务是根据历史资料、自然资源资料和科研成果作出评价，提出配备防污设备、器材的种类、数量及贮存地点的建议，并根据事故可能类型，如碰撞、爆炸等，迅速而科学地作出处理突发性事故决定的指南，以供指挥协调中心决策，同时对事件进行跟踪，对自身工作做出评价，以便改进工作程序或调整研究方向。</w:t>
            </w:r>
          </w:p>
          <w:p w14:paraId="74CD19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eastAsia="宋体" w:cs="Times New Roman"/>
                <w:bCs/>
                <w:color w:val="000000" w:themeColor="text1"/>
                <w:sz w:val="24"/>
                <w:szCs w:val="24"/>
                <w:lang w:val="en-US" w:eastAsia="zh-CN"/>
                <w14:textFill>
                  <w14:solidFill>
                    <w14:schemeClr w14:val="tx1"/>
                  </w14:solidFill>
                </w14:textFill>
              </w:rPr>
            </w:pPr>
            <w:r>
              <w:rPr>
                <w:rFonts w:hint="eastAsia" w:eastAsia="宋体" w:cs="Times New Roman"/>
                <w:bCs/>
                <w:color w:val="000000" w:themeColor="text1"/>
                <w:sz w:val="24"/>
                <w:szCs w:val="24"/>
                <w:lang w:val="en-US" w:eastAsia="zh-CN"/>
                <w14:textFill>
                  <w14:solidFill>
                    <w14:schemeClr w14:val="tx1"/>
                  </w14:solidFill>
                </w14:textFill>
              </w:rPr>
              <w:t>监测中心：目前主要由环境监测部门承担，建立化验室，配备相应的分析检测仪器。其主要任务是对水体环境总体状况作污染分析，并提交分析报告。</w:t>
            </w:r>
          </w:p>
          <w:p w14:paraId="1A007E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eastAsia="宋体" w:cs="Times New Roman"/>
                <w:bCs/>
                <w:color w:val="000000" w:themeColor="text1"/>
                <w:sz w:val="24"/>
                <w:szCs w:val="24"/>
                <w:lang w:val="en-US" w:eastAsia="zh-CN"/>
                <w14:textFill>
                  <w14:solidFill>
                    <w14:schemeClr w14:val="tx1"/>
                  </w14:solidFill>
                </w14:textFill>
              </w:rPr>
            </w:pPr>
            <w:r>
              <w:rPr>
                <w:rFonts w:hint="eastAsia" w:eastAsia="宋体" w:cs="Times New Roman"/>
                <w:bCs/>
                <w:color w:val="000000" w:themeColor="text1"/>
                <w:sz w:val="24"/>
                <w:szCs w:val="24"/>
                <w:lang w:val="en-US" w:eastAsia="zh-CN"/>
                <w14:textFill>
                  <w14:solidFill>
                    <w14:schemeClr w14:val="tx1"/>
                  </w14:solidFill>
                </w14:textFill>
              </w:rPr>
              <w:t>善后工作小组：由环保专业人员组成，主要负担清除费用和对污染损害的索赔工作进行法律研究和谈判。</w:t>
            </w:r>
          </w:p>
          <w:p w14:paraId="478132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cs="Times New Roman"/>
                <w:bCs/>
                <w:color w:val="000000" w:themeColor="text1"/>
                <w:sz w:val="24"/>
                <w:szCs w:val="24"/>
                <w:lang w:val="en-US" w:eastAsia="zh-CN"/>
                <w14:textFill>
                  <w14:solidFill>
                    <w14:schemeClr w14:val="tx1"/>
                  </w14:solidFill>
                </w14:textFill>
              </w:rPr>
            </w:pPr>
            <w:r>
              <w:rPr>
                <w:rFonts w:hint="eastAsia" w:eastAsia="宋体" w:cs="Times New Roman"/>
                <w:bCs/>
                <w:color w:val="000000" w:themeColor="text1"/>
                <w:sz w:val="24"/>
                <w:szCs w:val="24"/>
                <w:lang w:val="en-US" w:eastAsia="zh-CN"/>
                <w14:textFill>
                  <w14:solidFill>
                    <w14:schemeClr w14:val="tx1"/>
                  </w14:solidFill>
                </w14:textFill>
              </w:rPr>
              <w:t>（2）</w:t>
            </w:r>
            <w:r>
              <w:rPr>
                <w:rFonts w:hint="default" w:eastAsia="宋体" w:cs="Times New Roman"/>
                <w:bCs/>
                <w:color w:val="000000" w:themeColor="text1"/>
                <w:sz w:val="24"/>
                <w:szCs w:val="24"/>
                <w:lang w:val="en-US" w:eastAsia="zh-CN"/>
                <w14:textFill>
                  <w14:solidFill>
                    <w14:schemeClr w14:val="tx1"/>
                  </w14:solidFill>
                </w14:textFill>
              </w:rPr>
              <w:t>建立监视和报告制度</w:t>
            </w:r>
          </w:p>
          <w:p w14:paraId="39764B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cs="Times New Roman"/>
                <w:bCs/>
                <w:color w:val="000000" w:themeColor="text1"/>
                <w:sz w:val="24"/>
                <w:szCs w:val="24"/>
                <w:lang w:val="en-US" w:eastAsia="zh-CN"/>
                <w14:textFill>
                  <w14:solidFill>
                    <w14:schemeClr w14:val="tx1"/>
                  </w14:solidFill>
                </w14:textFill>
              </w:rPr>
            </w:pPr>
            <w:r>
              <w:rPr>
                <w:rFonts w:hint="default" w:eastAsia="宋体" w:cs="Times New Roman"/>
                <w:bCs/>
                <w:color w:val="000000" w:themeColor="text1"/>
                <w:sz w:val="24"/>
                <w:szCs w:val="24"/>
                <w:lang w:val="en-US" w:eastAsia="zh-CN"/>
                <w14:textFill>
                  <w14:solidFill>
                    <w14:schemeClr w14:val="tx1"/>
                  </w14:solidFill>
                </w14:textFill>
              </w:rPr>
              <w:t>一个应急反应体系，最主要的是制定操作性较强、适应性较好的作业计划，该计划对处理突发性事故的作用关系甚大。主要包括通知、评价、处理决定、调动和善后处理等，日常监视及接收信息的工作主要由建设单位负责，</w:t>
            </w:r>
            <w:r>
              <w:rPr>
                <w:rFonts w:hint="eastAsia" w:eastAsia="宋体" w:cs="Times New Roman"/>
                <w:bCs/>
                <w:color w:val="000000" w:themeColor="text1"/>
                <w:sz w:val="24"/>
                <w:szCs w:val="24"/>
                <w:lang w:val="en-US" w:eastAsia="zh-CN"/>
                <w14:textFill>
                  <w14:solidFill>
                    <w14:schemeClr w14:val="tx1"/>
                  </w14:solidFill>
                </w14:textFill>
              </w:rPr>
              <w:t>一</w:t>
            </w:r>
            <w:r>
              <w:rPr>
                <w:rFonts w:hint="default" w:eastAsia="宋体" w:cs="Times New Roman"/>
                <w:bCs/>
                <w:color w:val="000000" w:themeColor="text1"/>
                <w:sz w:val="24"/>
                <w:szCs w:val="24"/>
                <w:lang w:val="en-US" w:eastAsia="zh-CN"/>
                <w14:textFill>
                  <w14:solidFill>
                    <w14:schemeClr w14:val="tx1"/>
                  </w14:solidFill>
                </w14:textFill>
              </w:rPr>
              <w:t>旦发生事故</w:t>
            </w:r>
            <w:r>
              <w:rPr>
                <w:rFonts w:hint="eastAsia" w:eastAsia="宋体" w:cs="Times New Roman"/>
                <w:bCs/>
                <w:color w:val="000000" w:themeColor="text1"/>
                <w:sz w:val="24"/>
                <w:szCs w:val="24"/>
                <w:lang w:val="en-US" w:eastAsia="zh-CN"/>
                <w14:textFill>
                  <w14:solidFill>
                    <w14:schemeClr w14:val="tx1"/>
                  </w14:solidFill>
                </w14:textFill>
              </w:rPr>
              <w:t>（</w:t>
            </w:r>
            <w:r>
              <w:rPr>
                <w:rFonts w:hint="default" w:eastAsia="宋体" w:cs="Times New Roman"/>
                <w:bCs/>
                <w:color w:val="000000" w:themeColor="text1"/>
                <w:sz w:val="24"/>
                <w:szCs w:val="24"/>
                <w:lang w:val="en-US" w:eastAsia="zh-CN"/>
                <w14:textFill>
                  <w14:solidFill>
                    <w14:schemeClr w14:val="tx1"/>
                  </w14:solidFill>
                </w14:textFill>
              </w:rPr>
              <w:t>第一个信息来源可能来自包括公众在内的许多来源中的一个</w:t>
            </w:r>
            <w:r>
              <w:rPr>
                <w:rFonts w:hint="eastAsia" w:eastAsia="宋体" w:cs="Times New Roman"/>
                <w:bCs/>
                <w:color w:val="000000" w:themeColor="text1"/>
                <w:sz w:val="24"/>
                <w:szCs w:val="24"/>
                <w:lang w:val="en-US" w:eastAsia="zh-CN"/>
                <w14:textFill>
                  <w14:solidFill>
                    <w14:schemeClr w14:val="tx1"/>
                  </w14:solidFill>
                </w14:textFill>
              </w:rPr>
              <w:t>）</w:t>
            </w:r>
            <w:r>
              <w:rPr>
                <w:rFonts w:hint="default" w:eastAsia="宋体" w:cs="Times New Roman"/>
                <w:bCs/>
                <w:color w:val="000000" w:themeColor="text1"/>
                <w:sz w:val="24"/>
                <w:szCs w:val="24"/>
                <w:lang w:val="en-US" w:eastAsia="zh-CN"/>
                <w14:textFill>
                  <w14:solidFill>
                    <w14:schemeClr w14:val="tx1"/>
                  </w14:solidFill>
                </w14:textFill>
              </w:rPr>
              <w:t>收到信息后立即按报告程序通知指挥中心等相关单位，启动反应体系。</w:t>
            </w:r>
          </w:p>
          <w:p w14:paraId="15FBA5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cs="Times New Roman"/>
                <w:bCs/>
                <w:color w:val="000000" w:themeColor="text1"/>
                <w:sz w:val="24"/>
                <w:szCs w:val="24"/>
                <w:lang w:val="en-US" w:eastAsia="zh-CN"/>
                <w14:textFill>
                  <w14:solidFill>
                    <w14:schemeClr w14:val="tx1"/>
                  </w14:solidFill>
                </w14:textFill>
              </w:rPr>
            </w:pPr>
            <w:r>
              <w:rPr>
                <w:rFonts w:hint="eastAsia" w:eastAsia="宋体" w:cs="Times New Roman"/>
                <w:bCs/>
                <w:color w:val="000000" w:themeColor="text1"/>
                <w:sz w:val="24"/>
                <w:szCs w:val="24"/>
                <w:lang w:val="en-US" w:eastAsia="zh-CN"/>
                <w14:textFill>
                  <w14:solidFill>
                    <w14:schemeClr w14:val="tx1"/>
                  </w14:solidFill>
                </w14:textFill>
              </w:rPr>
              <w:t>（3）</w:t>
            </w:r>
            <w:r>
              <w:rPr>
                <w:rFonts w:hint="default" w:eastAsia="宋体" w:cs="Times New Roman"/>
                <w:bCs/>
                <w:color w:val="000000" w:themeColor="text1"/>
                <w:sz w:val="24"/>
                <w:szCs w:val="24"/>
                <w:lang w:val="en-US" w:eastAsia="zh-CN"/>
                <w14:textFill>
                  <w14:solidFill>
                    <w14:schemeClr w14:val="tx1"/>
                  </w14:solidFill>
                </w14:textFill>
              </w:rPr>
              <w:t>培训和演习</w:t>
            </w:r>
          </w:p>
          <w:p w14:paraId="504EB5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cs="Times New Roman"/>
                <w:bCs/>
                <w:color w:val="000000" w:themeColor="text1"/>
                <w:sz w:val="24"/>
                <w:szCs w:val="24"/>
                <w:lang w:val="en-US" w:eastAsia="zh-CN"/>
                <w14:textFill>
                  <w14:solidFill>
                    <w14:schemeClr w14:val="tx1"/>
                  </w14:solidFill>
                </w14:textFill>
              </w:rPr>
            </w:pPr>
            <w:r>
              <w:rPr>
                <w:rFonts w:hint="default" w:eastAsia="宋体" w:cs="Times New Roman"/>
                <w:bCs/>
                <w:color w:val="000000" w:themeColor="text1"/>
                <w:sz w:val="24"/>
                <w:szCs w:val="24"/>
                <w:lang w:val="en-US" w:eastAsia="zh-CN"/>
                <w14:textFill>
                  <w14:solidFill>
                    <w14:schemeClr w14:val="tx1"/>
                  </w14:solidFill>
                </w14:textFill>
              </w:rPr>
              <w:t>制定了突发性事故应急计划后，应急队伍要根据计划的要求，在假设的情况下进行定期演练和理论学习，以检验计划的可操作性、适应性和严密性，并组织人力编写《突发性应事故应急手册》，人手一册，便于查阅。为预防事故发生，规范项目应急管理和应急响应程序，迅速有效地控制和处置可能发生的事故，降低事故造成人员伤亡和财产损失</w:t>
            </w:r>
            <w:r>
              <w:rPr>
                <w:rFonts w:hint="eastAsia" w:eastAsia="宋体" w:cs="Times New Roman"/>
                <w:bCs/>
                <w:color w:val="000000" w:themeColor="text1"/>
                <w:sz w:val="24"/>
                <w:szCs w:val="24"/>
                <w:lang w:val="en-US" w:eastAsia="zh-CN"/>
                <w14:textFill>
                  <w14:solidFill>
                    <w14:schemeClr w14:val="tx1"/>
                  </w14:solidFill>
                </w14:textFill>
              </w:rPr>
              <w:t>，</w:t>
            </w:r>
            <w:r>
              <w:rPr>
                <w:rFonts w:hint="default" w:eastAsia="宋体" w:cs="Times New Roman"/>
                <w:bCs/>
                <w:color w:val="000000" w:themeColor="text1"/>
                <w:sz w:val="24"/>
                <w:szCs w:val="24"/>
                <w:lang w:val="en-US" w:eastAsia="zh-CN"/>
                <w14:textFill>
                  <w14:solidFill>
                    <w14:schemeClr w14:val="tx1"/>
                  </w14:solidFill>
                </w14:textFill>
              </w:rPr>
              <w:t>同时降低或消除项目风险事故发生时对</w:t>
            </w:r>
            <w:r>
              <w:rPr>
                <w:rFonts w:hint="eastAsia" w:eastAsia="宋体" w:cs="Times New Roman"/>
                <w:bCs/>
                <w:color w:val="000000" w:themeColor="text1"/>
                <w:sz w:val="24"/>
                <w:szCs w:val="24"/>
                <w:lang w:val="en-US" w:eastAsia="zh-CN"/>
                <w14:textFill>
                  <w14:solidFill>
                    <w14:schemeClr w14:val="tx1"/>
                  </w14:solidFill>
                </w14:textFill>
              </w:rPr>
              <w:t>地下水和土壤</w:t>
            </w:r>
            <w:r>
              <w:rPr>
                <w:rFonts w:hint="default" w:eastAsia="宋体" w:cs="Times New Roman"/>
                <w:bCs/>
                <w:color w:val="000000" w:themeColor="text1"/>
                <w:sz w:val="24"/>
                <w:szCs w:val="24"/>
                <w:lang w:val="en-US" w:eastAsia="zh-CN"/>
                <w14:textFill>
                  <w14:solidFill>
                    <w14:schemeClr w14:val="tx1"/>
                  </w14:solidFill>
                </w14:textFill>
              </w:rPr>
              <w:t>的不利影响，依据《突发环境事件应急预案管理暂行办法》</w:t>
            </w:r>
            <w:r>
              <w:rPr>
                <w:rFonts w:hint="eastAsia" w:eastAsia="宋体" w:cs="Times New Roman"/>
                <w:bCs/>
                <w:color w:val="000000" w:themeColor="text1"/>
                <w:sz w:val="24"/>
                <w:szCs w:val="24"/>
                <w:lang w:val="en-US" w:eastAsia="zh-CN"/>
                <w14:textFill>
                  <w14:solidFill>
                    <w14:schemeClr w14:val="tx1"/>
                  </w14:solidFill>
                </w14:textFill>
              </w:rPr>
              <w:t>编制</w:t>
            </w:r>
            <w:r>
              <w:rPr>
                <w:rFonts w:hint="default" w:eastAsia="宋体" w:cs="Times New Roman"/>
                <w:bCs/>
                <w:color w:val="000000" w:themeColor="text1"/>
                <w:sz w:val="24"/>
                <w:szCs w:val="24"/>
                <w:lang w:val="en-US" w:eastAsia="zh-CN"/>
                <w14:textFill>
                  <w14:solidFill>
                    <w14:schemeClr w14:val="tx1"/>
                  </w14:solidFill>
                </w14:textFill>
              </w:rPr>
              <w:t>突发环境事件应急预案并备案。</w:t>
            </w:r>
          </w:p>
          <w:p w14:paraId="32097B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1"/>
                <w:lang w:val="en-US" w:eastAsia="zh-CN"/>
                <w14:textFill>
                  <w14:solidFill>
                    <w14:schemeClr w14:val="tx1"/>
                  </w14:solidFill>
                </w14:textFill>
              </w:rPr>
              <w:t>6.结论</w:t>
            </w:r>
          </w:p>
          <w:p w14:paraId="0504DB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1"/>
                <w:lang w:val="zh-CN" w:eastAsia="zh-CN"/>
                <w14:textFill>
                  <w14:solidFill>
                    <w14:schemeClr w14:val="tx1"/>
                  </w14:solidFill>
                </w14:textFill>
              </w:rPr>
            </w:pPr>
            <w:r>
              <w:rPr>
                <w:bCs/>
                <w:color w:val="000000" w:themeColor="text1"/>
                <w:sz w:val="24"/>
                <w:szCs w:val="24"/>
                <w14:textFill>
                  <w14:solidFill>
                    <w14:schemeClr w14:val="tx1"/>
                  </w14:solidFill>
                </w14:textFill>
              </w:rPr>
              <w:t>综上所述，本项目的运行存在一定的环境风险隐患，在严格落实上述各项措施、严格遵照国家有关规定进行生产、操作的前提下，</w:t>
            </w:r>
            <w:r>
              <w:rPr>
                <w:rFonts w:hint="default" w:ascii="Times New Roman" w:hAnsi="Times New Roman" w:eastAsia="宋体" w:cs="Times New Roman"/>
                <w:color w:val="000000" w:themeColor="text1"/>
                <w:sz w:val="24"/>
                <w:szCs w:val="21"/>
                <w:lang w:val="zh-CN" w:eastAsia="zh-CN"/>
                <w14:textFill>
                  <w14:solidFill>
                    <w14:schemeClr w14:val="tx1"/>
                  </w14:solidFill>
                </w14:textFill>
              </w:rPr>
              <w:t>可以使风险事故对环境的危害得到有效控制，将事故风险控制在可以接受的范围内。</w:t>
            </w:r>
          </w:p>
          <w:p w14:paraId="78ED8A6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000000" w:themeColor="text1"/>
                <w:spacing w:val="-10"/>
                <w:sz w:val="24"/>
                <w:szCs w:val="24"/>
                <w:lang w:val="en-US" w:eastAsia="zh-CN"/>
                <w14:textFill>
                  <w14:solidFill>
                    <w14:schemeClr w14:val="tx1"/>
                  </w14:solidFill>
                </w14:textFill>
              </w:rPr>
            </w:pPr>
            <w:r>
              <w:rPr>
                <w:rFonts w:hint="eastAsia" w:cs="Times New Roman"/>
                <w:b/>
                <w:bCs w:val="0"/>
                <w:color w:val="000000" w:themeColor="text1"/>
                <w:spacing w:val="-10"/>
                <w:sz w:val="24"/>
                <w:szCs w:val="24"/>
                <w:lang w:val="en-US" w:eastAsia="zh-CN"/>
                <w14:textFill>
                  <w14:solidFill>
                    <w14:schemeClr w14:val="tx1"/>
                  </w14:solidFill>
                </w14:textFill>
              </w:rPr>
              <w:t xml:space="preserve">4.2.7 </w:t>
            </w:r>
            <w:r>
              <w:rPr>
                <w:rFonts w:hint="eastAsia" w:ascii="Times New Roman" w:hAnsi="Times New Roman" w:eastAsia="宋体" w:cs="Times New Roman"/>
                <w:b/>
                <w:bCs w:val="0"/>
                <w:color w:val="000000" w:themeColor="text1"/>
                <w:spacing w:val="-10"/>
                <w:sz w:val="24"/>
                <w:szCs w:val="24"/>
                <w:lang w:val="en-US" w:eastAsia="zh-CN"/>
                <w14:textFill>
                  <w14:solidFill>
                    <w14:schemeClr w14:val="tx1"/>
                  </w14:solidFill>
                </w14:textFill>
              </w:rPr>
              <w:t>环保投资</w:t>
            </w:r>
            <w:r>
              <w:rPr>
                <w:rFonts w:hint="eastAsia" w:cs="Times New Roman"/>
                <w:b/>
                <w:bCs w:val="0"/>
                <w:color w:val="000000" w:themeColor="text1"/>
                <w:spacing w:val="-10"/>
                <w:sz w:val="24"/>
                <w:szCs w:val="24"/>
                <w:lang w:val="en-US" w:eastAsia="zh-CN"/>
                <w14:textFill>
                  <w14:solidFill>
                    <w14:schemeClr w14:val="tx1"/>
                  </w14:solidFill>
                </w14:textFill>
              </w:rPr>
              <w:t>及验收</w:t>
            </w:r>
          </w:p>
          <w:p w14:paraId="6DA0B41C">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14:textFill>
                  <w14:solidFill>
                    <w14:schemeClr w14:val="tx1"/>
                  </w14:solidFill>
                </w14:textFill>
              </w:rPr>
              <w:t>本项目总投资</w:t>
            </w:r>
            <w:r>
              <w:rPr>
                <w:rFonts w:hint="eastAsia" w:cs="Times New Roman"/>
                <w:color w:val="000000" w:themeColor="text1"/>
                <w:sz w:val="24"/>
                <w:szCs w:val="24"/>
                <w:lang w:val="en-US" w:eastAsia="zh-CN"/>
                <w14:textFill>
                  <w14:solidFill>
                    <w14:schemeClr w14:val="tx1"/>
                  </w14:solidFill>
                </w14:textFill>
              </w:rPr>
              <w:t>915.21</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万元，其中环保投资</w:t>
            </w:r>
            <w:r>
              <w:rPr>
                <w:rFonts w:hint="eastAsia" w:cs="Times New Roman"/>
                <w:snapToGrid w:val="0"/>
                <w:color w:val="000000" w:themeColor="text1"/>
                <w:kern w:val="0"/>
                <w:sz w:val="24"/>
                <w:szCs w:val="24"/>
                <w:lang w:val="en-US" w:eastAsia="zh-CN"/>
                <w14:textFill>
                  <w14:solidFill>
                    <w14:schemeClr w14:val="tx1"/>
                  </w14:solidFill>
                </w14:textFill>
              </w:rPr>
              <w:t>66</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万元，占总投资的</w:t>
            </w:r>
            <w:r>
              <w:rPr>
                <w:rFonts w:hint="eastAsia" w:cs="Times New Roman"/>
                <w:snapToGrid w:val="0"/>
                <w:color w:val="000000" w:themeColor="text1"/>
                <w:kern w:val="0"/>
                <w:sz w:val="24"/>
                <w:szCs w:val="24"/>
                <w:lang w:val="en-US" w:eastAsia="zh-CN"/>
                <w14:textFill>
                  <w14:solidFill>
                    <w14:schemeClr w14:val="tx1"/>
                  </w14:solidFill>
                </w14:textFill>
              </w:rPr>
              <w:t>7.21</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lang w:eastAsia="zh-CN"/>
                <w14:textFill>
                  <w14:solidFill>
                    <w14:schemeClr w14:val="tx1"/>
                  </w14:solidFill>
                </w14:textFill>
              </w:rPr>
              <w:t>具体</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环保投资</w:t>
            </w:r>
            <w:r>
              <w:rPr>
                <w:rFonts w:hint="eastAsia" w:ascii="Times New Roman" w:hAnsi="Times New Roman" w:eastAsia="宋体" w:cs="Times New Roman"/>
                <w:snapToGrid w:val="0"/>
                <w:color w:val="000000" w:themeColor="text1"/>
                <w:kern w:val="0"/>
                <w:sz w:val="24"/>
                <w:szCs w:val="24"/>
                <w:lang w:eastAsia="zh-CN"/>
                <w14:textFill>
                  <w14:solidFill>
                    <w14:schemeClr w14:val="tx1"/>
                  </w14:solidFill>
                </w14:textFill>
              </w:rPr>
              <w:t>见</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表</w:t>
            </w:r>
            <w:r>
              <w:rPr>
                <w:rFonts w:hint="eastAsia" w:ascii="Times New Roman" w:hAnsi="Times New Roman" w:eastAsia="宋体" w:cs="Times New Roman"/>
                <w:snapToGrid w:val="0"/>
                <w:color w:val="000000" w:themeColor="text1"/>
                <w:kern w:val="0"/>
                <w:sz w:val="24"/>
                <w:szCs w:val="24"/>
                <w:lang w:val="en-US" w:eastAsia="zh-CN"/>
                <w14:textFill>
                  <w14:solidFill>
                    <w14:schemeClr w14:val="tx1"/>
                  </w14:solidFill>
                </w14:textFill>
              </w:rPr>
              <w:t>4-1</w:t>
            </w:r>
            <w:r>
              <w:rPr>
                <w:rFonts w:hint="eastAsia" w:cs="Times New Roman"/>
                <w:snapToGrid w:val="0"/>
                <w:color w:val="000000" w:themeColor="text1"/>
                <w:kern w:val="0"/>
                <w:sz w:val="24"/>
                <w:szCs w:val="24"/>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w:t>
            </w:r>
          </w:p>
          <w:p w14:paraId="54C2470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baseline"/>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4-1</w:t>
            </w:r>
            <w:r>
              <w:rPr>
                <w:rFonts w:hint="eastAsia" w:cs="Times New Roman"/>
                <w:b/>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color w:val="000000" w:themeColor="text1"/>
                <w:sz w:val="21"/>
                <w:szCs w:val="21"/>
                <w14:textFill>
                  <w14:solidFill>
                    <w14:schemeClr w14:val="tx1"/>
                  </w14:solidFill>
                </w14:textFill>
              </w:rPr>
              <w:t xml:space="preserve">  项目环保投资一览表</w:t>
            </w:r>
          </w:p>
          <w:tbl>
            <w:tblPr>
              <w:tblStyle w:val="3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878"/>
              <w:gridCol w:w="1210"/>
              <w:gridCol w:w="4893"/>
              <w:gridCol w:w="840"/>
            </w:tblGrid>
            <w:tr w14:paraId="75BF5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2" w:type="pct"/>
                  <w:gridSpan w:val="2"/>
                  <w:tcBorders>
                    <w:tl2br w:val="nil"/>
                    <w:tr2bl w:val="nil"/>
                  </w:tcBorders>
                  <w:noWrap w:val="0"/>
                  <w:vAlign w:val="center"/>
                </w:tcPr>
                <w:p w14:paraId="052590E6">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污染类别</w:t>
                  </w:r>
                </w:p>
              </w:tc>
              <w:tc>
                <w:tcPr>
                  <w:tcW w:w="733" w:type="pct"/>
                  <w:tcBorders>
                    <w:tl2br w:val="nil"/>
                    <w:tr2bl w:val="nil"/>
                  </w:tcBorders>
                  <w:noWrap w:val="0"/>
                  <w:vAlign w:val="center"/>
                </w:tcPr>
                <w:p w14:paraId="2D31F9A1">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2964" w:type="pct"/>
                  <w:tcBorders>
                    <w:tl2br w:val="nil"/>
                    <w:tr2bl w:val="nil"/>
                  </w:tcBorders>
                  <w:noWrap w:val="0"/>
                  <w:vAlign w:val="center"/>
                </w:tcPr>
                <w:p w14:paraId="14F4AB7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环保措施</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/验收内容</w:t>
                  </w:r>
                </w:p>
              </w:tc>
              <w:tc>
                <w:tcPr>
                  <w:tcW w:w="509" w:type="pct"/>
                  <w:tcBorders>
                    <w:tl2br w:val="nil"/>
                    <w:tr2bl w:val="nil"/>
                  </w:tcBorders>
                  <w:noWrap w:val="0"/>
                  <w:vAlign w:val="center"/>
                </w:tcPr>
                <w:p w14:paraId="2684D6DA">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投资</w:t>
                  </w:r>
                </w:p>
                <w:p w14:paraId="6137D3CF">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(万元)</w:t>
                  </w:r>
                </w:p>
              </w:tc>
            </w:tr>
            <w:tr w14:paraId="7B7F3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restart"/>
                  <w:tcBorders>
                    <w:tl2br w:val="nil"/>
                    <w:tr2bl w:val="nil"/>
                  </w:tcBorders>
                  <w:noWrap w:val="0"/>
                  <w:vAlign w:val="center"/>
                </w:tcPr>
                <w:p w14:paraId="175CA8E3">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施工期</w:t>
                  </w:r>
                </w:p>
              </w:tc>
              <w:tc>
                <w:tcPr>
                  <w:tcW w:w="532" w:type="pct"/>
                  <w:tcBorders>
                    <w:tl2br w:val="nil"/>
                    <w:tr2bl w:val="nil"/>
                  </w:tcBorders>
                  <w:noWrap w:val="0"/>
                  <w:vAlign w:val="center"/>
                </w:tcPr>
                <w:p w14:paraId="3061B25A">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废气</w:t>
                  </w:r>
                </w:p>
              </w:tc>
              <w:tc>
                <w:tcPr>
                  <w:tcW w:w="733" w:type="pct"/>
                  <w:tcBorders>
                    <w:tl2br w:val="nil"/>
                    <w:tr2bl w:val="nil"/>
                  </w:tcBorders>
                  <w:noWrap w:val="0"/>
                  <w:vAlign w:val="center"/>
                </w:tcPr>
                <w:p w14:paraId="5CACEBC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扬尘</w:t>
                  </w:r>
                </w:p>
              </w:tc>
              <w:tc>
                <w:tcPr>
                  <w:tcW w:w="2964" w:type="pct"/>
                  <w:tcBorders>
                    <w:tl2br w:val="nil"/>
                    <w:tr2bl w:val="nil"/>
                  </w:tcBorders>
                  <w:noWrap w:val="0"/>
                  <w:vAlign w:val="center"/>
                </w:tcPr>
                <w:p w14:paraId="4C5B43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洒水降尘、围挡、</w:t>
                  </w:r>
                  <w:r>
                    <w:rPr>
                      <w:color w:val="000000" w:themeColor="text1"/>
                      <w:sz w:val="21"/>
                      <w:szCs w:val="21"/>
                      <w14:textFill>
                        <w14:solidFill>
                          <w14:schemeClr w14:val="tx1"/>
                        </w14:solidFill>
                      </w14:textFill>
                    </w:rPr>
                    <w:t>防尘网覆盖、固化、硬化等</w:t>
                  </w:r>
                </w:p>
              </w:tc>
              <w:tc>
                <w:tcPr>
                  <w:tcW w:w="509" w:type="pct"/>
                  <w:tcBorders>
                    <w:tl2br w:val="nil"/>
                    <w:tr2bl w:val="nil"/>
                  </w:tcBorders>
                  <w:noWrap w:val="0"/>
                  <w:vAlign w:val="center"/>
                </w:tcPr>
                <w:p w14:paraId="61CC10AE">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r>
            <w:tr w14:paraId="42A4B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tcBorders>
                    <w:tl2br w:val="nil"/>
                    <w:tr2bl w:val="nil"/>
                  </w:tcBorders>
                  <w:noWrap w:val="0"/>
                  <w:vAlign w:val="center"/>
                </w:tcPr>
                <w:p w14:paraId="0ACEF8C3">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32" w:type="pct"/>
                  <w:tcBorders>
                    <w:tl2br w:val="nil"/>
                    <w:tr2bl w:val="nil"/>
                  </w:tcBorders>
                  <w:noWrap w:val="0"/>
                  <w:vAlign w:val="center"/>
                </w:tcPr>
                <w:p w14:paraId="77095021">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废水</w:t>
                  </w:r>
                </w:p>
              </w:tc>
              <w:tc>
                <w:tcPr>
                  <w:tcW w:w="733" w:type="pct"/>
                  <w:tcBorders>
                    <w:tl2br w:val="nil"/>
                    <w:tr2bl w:val="nil"/>
                  </w:tcBorders>
                  <w:noWrap w:val="0"/>
                  <w:vAlign w:val="center"/>
                </w:tcPr>
                <w:p w14:paraId="67C141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施工废水</w:t>
                  </w:r>
                </w:p>
              </w:tc>
              <w:tc>
                <w:tcPr>
                  <w:tcW w:w="2964" w:type="pct"/>
                  <w:tcBorders>
                    <w:tl2br w:val="nil"/>
                    <w:tr2bl w:val="nil"/>
                  </w:tcBorders>
                  <w:noWrap w:val="0"/>
                  <w:vAlign w:val="center"/>
                </w:tcPr>
                <w:p w14:paraId="0AACA0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防渗沉淀池</w:t>
                  </w:r>
                  <w:r>
                    <w:rPr>
                      <w:rFonts w:hint="eastAsia"/>
                      <w:color w:val="000000" w:themeColor="text1"/>
                      <w:kern w:val="0"/>
                      <w:sz w:val="21"/>
                      <w:szCs w:val="21"/>
                      <w:lang w:eastAsia="zh-CN"/>
                      <w14:textFill>
                        <w14:solidFill>
                          <w14:schemeClr w14:val="tx1"/>
                        </w14:solidFill>
                      </w14:textFill>
                    </w:rPr>
                    <w:t>沉淀</w:t>
                  </w:r>
                </w:p>
              </w:tc>
              <w:tc>
                <w:tcPr>
                  <w:tcW w:w="509" w:type="pct"/>
                  <w:tcBorders>
                    <w:tl2br w:val="nil"/>
                    <w:tr2bl w:val="nil"/>
                  </w:tcBorders>
                  <w:noWrap w:val="0"/>
                  <w:vAlign w:val="center"/>
                </w:tcPr>
                <w:p w14:paraId="4CFF1E06">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1.0</w:t>
                  </w:r>
                </w:p>
              </w:tc>
            </w:tr>
            <w:tr w14:paraId="1BA15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tcBorders>
                    <w:tl2br w:val="nil"/>
                    <w:tr2bl w:val="nil"/>
                  </w:tcBorders>
                  <w:noWrap w:val="0"/>
                  <w:vAlign w:val="center"/>
                </w:tcPr>
                <w:p w14:paraId="56278E75">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32" w:type="pct"/>
                  <w:tcBorders>
                    <w:tl2br w:val="nil"/>
                    <w:tr2bl w:val="nil"/>
                  </w:tcBorders>
                  <w:noWrap w:val="0"/>
                  <w:vAlign w:val="center"/>
                </w:tcPr>
                <w:p w14:paraId="2AB648C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噪声</w:t>
                  </w:r>
                </w:p>
              </w:tc>
              <w:tc>
                <w:tcPr>
                  <w:tcW w:w="733" w:type="pct"/>
                  <w:tcBorders>
                    <w:tl2br w:val="nil"/>
                    <w:tr2bl w:val="nil"/>
                  </w:tcBorders>
                  <w:noWrap w:val="0"/>
                  <w:vAlign w:val="center"/>
                </w:tcPr>
                <w:p w14:paraId="4ACD584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机械噪声</w:t>
                  </w:r>
                </w:p>
              </w:tc>
              <w:tc>
                <w:tcPr>
                  <w:tcW w:w="2964" w:type="pct"/>
                  <w:tcBorders>
                    <w:tl2br w:val="nil"/>
                    <w:tr2bl w:val="nil"/>
                  </w:tcBorders>
                  <w:noWrap w:val="0"/>
                  <w:vAlign w:val="center"/>
                </w:tcPr>
                <w:p w14:paraId="58A4B4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color w:val="000000" w:themeColor="text1"/>
                      <w:kern w:val="0"/>
                      <w:sz w:val="21"/>
                      <w:szCs w:val="21"/>
                      <w14:textFill>
                        <w14:solidFill>
                          <w14:schemeClr w14:val="tx1"/>
                        </w14:solidFill>
                      </w14:textFill>
                    </w:rPr>
                    <w:t>运输、机械设备的隔声、减振</w:t>
                  </w:r>
                </w:p>
              </w:tc>
              <w:tc>
                <w:tcPr>
                  <w:tcW w:w="509" w:type="pct"/>
                  <w:tcBorders>
                    <w:tl2br w:val="nil"/>
                    <w:tr2bl w:val="nil"/>
                  </w:tcBorders>
                  <w:noWrap w:val="0"/>
                  <w:vAlign w:val="center"/>
                </w:tcPr>
                <w:p w14:paraId="7319A61E">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0.5</w:t>
                  </w:r>
                </w:p>
              </w:tc>
            </w:tr>
            <w:tr w14:paraId="0E13A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60" w:type="pct"/>
                  <w:vMerge w:val="continue"/>
                  <w:tcBorders>
                    <w:tl2br w:val="nil"/>
                    <w:tr2bl w:val="nil"/>
                  </w:tcBorders>
                  <w:noWrap w:val="0"/>
                  <w:vAlign w:val="center"/>
                </w:tcPr>
                <w:p w14:paraId="271B8481">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32" w:type="pct"/>
                  <w:vMerge w:val="restart"/>
                  <w:tcBorders>
                    <w:tl2br w:val="nil"/>
                    <w:tr2bl w:val="nil"/>
                  </w:tcBorders>
                  <w:noWrap w:val="0"/>
                  <w:vAlign w:val="center"/>
                </w:tcPr>
                <w:p w14:paraId="21ED297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固体</w:t>
                  </w:r>
                </w:p>
                <w:p w14:paraId="6A52E5C6">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废物</w:t>
                  </w:r>
                </w:p>
              </w:tc>
              <w:tc>
                <w:tcPr>
                  <w:tcW w:w="733" w:type="pct"/>
                  <w:tcBorders>
                    <w:tl2br w:val="nil"/>
                    <w:tr2bl w:val="nil"/>
                  </w:tcBorders>
                  <w:noWrap w:val="0"/>
                  <w:vAlign w:val="center"/>
                </w:tcPr>
                <w:p w14:paraId="01F445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建筑垃圾</w:t>
                  </w:r>
                </w:p>
              </w:tc>
              <w:tc>
                <w:tcPr>
                  <w:tcW w:w="2964" w:type="pct"/>
                  <w:tcBorders>
                    <w:tl2br w:val="nil"/>
                    <w:tr2bl w:val="nil"/>
                  </w:tcBorders>
                  <w:noWrap w:val="0"/>
                  <w:vAlign w:val="center"/>
                </w:tcPr>
                <w:p w14:paraId="591FB4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color w:val="000000" w:themeColor="text1"/>
                      <w:kern w:val="0"/>
                      <w:sz w:val="21"/>
                      <w:szCs w:val="21"/>
                      <w14:textFill>
                        <w14:solidFill>
                          <w14:schemeClr w14:val="tx1"/>
                        </w14:solidFill>
                      </w14:textFill>
                    </w:rPr>
                    <w:t>分类收集，可回收利用的部分定期送废品回收站处理，其余送垃圾填埋场处置；土石方表土主要用作绿化用土，其余场内压实填平</w:t>
                  </w:r>
                  <w:r>
                    <w:rPr>
                      <w:rFonts w:hint="eastAsia"/>
                      <w:color w:val="000000" w:themeColor="text1"/>
                      <w:kern w:val="0"/>
                      <w:sz w:val="21"/>
                      <w:szCs w:val="21"/>
                      <w14:textFill>
                        <w14:solidFill>
                          <w14:schemeClr w14:val="tx1"/>
                        </w14:solidFill>
                      </w14:textFill>
                    </w:rPr>
                    <w:t>。</w:t>
                  </w:r>
                </w:p>
              </w:tc>
              <w:tc>
                <w:tcPr>
                  <w:tcW w:w="509" w:type="pct"/>
                  <w:vMerge w:val="restart"/>
                  <w:tcBorders>
                    <w:tl2br w:val="nil"/>
                    <w:tr2bl w:val="nil"/>
                  </w:tcBorders>
                  <w:noWrap w:val="0"/>
                  <w:vAlign w:val="center"/>
                </w:tcPr>
                <w:p w14:paraId="22BF9F38">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2.5</w:t>
                  </w:r>
                </w:p>
              </w:tc>
            </w:tr>
            <w:tr w14:paraId="4A97A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tcBorders>
                    <w:tl2br w:val="nil"/>
                    <w:tr2bl w:val="nil"/>
                  </w:tcBorders>
                  <w:noWrap w:val="0"/>
                  <w:vAlign w:val="center"/>
                </w:tcPr>
                <w:p w14:paraId="602FB20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32" w:type="pct"/>
                  <w:vMerge w:val="continue"/>
                  <w:tcBorders>
                    <w:tl2br w:val="nil"/>
                    <w:tr2bl w:val="nil"/>
                  </w:tcBorders>
                  <w:noWrap w:val="0"/>
                  <w:vAlign w:val="center"/>
                </w:tcPr>
                <w:p w14:paraId="79364A1F">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3" w:type="pct"/>
                  <w:tcBorders>
                    <w:tl2br w:val="nil"/>
                    <w:tr2bl w:val="nil"/>
                  </w:tcBorders>
                  <w:noWrap w:val="0"/>
                  <w:vAlign w:val="center"/>
                </w:tcPr>
                <w:p w14:paraId="425F3D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生活垃圾</w:t>
                  </w:r>
                </w:p>
              </w:tc>
              <w:tc>
                <w:tcPr>
                  <w:tcW w:w="2964" w:type="pct"/>
                  <w:tcBorders>
                    <w:tl2br w:val="nil"/>
                    <w:tr2bl w:val="nil"/>
                  </w:tcBorders>
                  <w:noWrap w:val="0"/>
                  <w:vAlign w:val="center"/>
                </w:tcPr>
                <w:p w14:paraId="356BCE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color w:val="000000" w:themeColor="text1"/>
                      <w:kern w:val="0"/>
                      <w:sz w:val="21"/>
                      <w:szCs w:val="21"/>
                      <w14:textFill>
                        <w14:solidFill>
                          <w14:schemeClr w14:val="tx1"/>
                        </w14:solidFill>
                      </w14:textFill>
                    </w:rPr>
                    <w:t>集中收集，由环卫部门统一清运处理。</w:t>
                  </w:r>
                </w:p>
              </w:tc>
              <w:tc>
                <w:tcPr>
                  <w:tcW w:w="509" w:type="pct"/>
                  <w:vMerge w:val="continue"/>
                  <w:tcBorders>
                    <w:tl2br w:val="nil"/>
                    <w:tr2bl w:val="nil"/>
                  </w:tcBorders>
                  <w:noWrap w:val="0"/>
                  <w:vAlign w:val="center"/>
                </w:tcPr>
                <w:p w14:paraId="258D1BB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2C823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restart"/>
                  <w:tcBorders>
                    <w:tl2br w:val="nil"/>
                    <w:tr2bl w:val="nil"/>
                  </w:tcBorders>
                  <w:noWrap w:val="0"/>
                  <w:vAlign w:val="center"/>
                </w:tcPr>
                <w:p w14:paraId="02CC34F3">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营运期</w:t>
                  </w:r>
                </w:p>
              </w:tc>
              <w:tc>
                <w:tcPr>
                  <w:tcW w:w="532" w:type="pct"/>
                  <w:tcBorders>
                    <w:tl2br w:val="nil"/>
                    <w:tr2bl w:val="nil"/>
                  </w:tcBorders>
                  <w:noWrap w:val="0"/>
                  <w:vAlign w:val="center"/>
                </w:tcPr>
                <w:p w14:paraId="569D826D">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废气</w:t>
                  </w:r>
                </w:p>
              </w:tc>
              <w:tc>
                <w:tcPr>
                  <w:tcW w:w="733" w:type="pct"/>
                  <w:tcBorders>
                    <w:tl2br w:val="nil"/>
                    <w:tr2bl w:val="nil"/>
                  </w:tcBorders>
                  <w:noWrap w:val="0"/>
                  <w:vAlign w:val="center"/>
                </w:tcPr>
                <w:p w14:paraId="7B91C0CE">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kern w:val="0"/>
                      <w:sz w:val="21"/>
                      <w:szCs w:val="21"/>
                      <w:lang w:val="en-US" w:eastAsia="zh-CN"/>
                      <w14:textFill>
                        <w14:solidFill>
                          <w14:schemeClr w14:val="tx1"/>
                        </w14:solidFill>
                      </w14:textFill>
                    </w:rPr>
                    <w:t>非甲烷总烃</w:t>
                  </w:r>
                </w:p>
              </w:tc>
              <w:tc>
                <w:tcPr>
                  <w:tcW w:w="2964" w:type="pct"/>
                  <w:tcBorders>
                    <w:tl2br w:val="nil"/>
                    <w:tr2bl w:val="nil"/>
                  </w:tcBorders>
                  <w:noWrap w:val="0"/>
                  <w:vAlign w:val="center"/>
                </w:tcPr>
                <w:p w14:paraId="7A34E70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snapToGrid w:val="0"/>
                      <w:color w:val="000000" w:themeColor="text1"/>
                      <w:kern w:val="0"/>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三次</w:t>
                  </w:r>
                  <w:r>
                    <w:rPr>
                      <w:color w:val="000000" w:themeColor="text1"/>
                      <w:sz w:val="21"/>
                      <w:szCs w:val="21"/>
                      <w14:textFill>
                        <w14:solidFill>
                          <w14:schemeClr w14:val="tx1"/>
                        </w14:solidFill>
                      </w14:textFill>
                    </w:rPr>
                    <w:t>油气回收系统</w:t>
                  </w:r>
                </w:p>
              </w:tc>
              <w:tc>
                <w:tcPr>
                  <w:tcW w:w="509" w:type="pct"/>
                  <w:tcBorders>
                    <w:tl2br w:val="nil"/>
                    <w:tr2bl w:val="nil"/>
                  </w:tcBorders>
                  <w:noWrap w:val="0"/>
                  <w:vAlign w:val="center"/>
                </w:tcPr>
                <w:p w14:paraId="35CEA016">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r>
            <w:tr w14:paraId="69D20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tcBorders>
                    <w:tl2br w:val="nil"/>
                    <w:tr2bl w:val="nil"/>
                  </w:tcBorders>
                  <w:noWrap w:val="0"/>
                  <w:vAlign w:val="center"/>
                </w:tcPr>
                <w:p w14:paraId="3D12F6D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32" w:type="pct"/>
                  <w:vMerge w:val="restart"/>
                  <w:tcBorders>
                    <w:tl2br w:val="nil"/>
                    <w:tr2bl w:val="nil"/>
                  </w:tcBorders>
                  <w:noWrap w:val="0"/>
                  <w:vAlign w:val="center"/>
                </w:tcPr>
                <w:p w14:paraId="23E6D8B8">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废水</w:t>
                  </w:r>
                </w:p>
              </w:tc>
              <w:tc>
                <w:tcPr>
                  <w:tcW w:w="733" w:type="pct"/>
                  <w:tcBorders>
                    <w:tl2br w:val="nil"/>
                    <w:tr2bl w:val="nil"/>
                  </w:tcBorders>
                  <w:noWrap w:val="0"/>
                  <w:vAlign w:val="center"/>
                </w:tcPr>
                <w:p w14:paraId="3642983B">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生活污水</w:t>
                  </w:r>
                </w:p>
              </w:tc>
              <w:tc>
                <w:tcPr>
                  <w:tcW w:w="2964" w:type="pct"/>
                  <w:tcBorders>
                    <w:tl2br w:val="nil"/>
                    <w:tr2bl w:val="nil"/>
                  </w:tcBorders>
                  <w:noWrap w:val="0"/>
                  <w:vAlign w:val="center"/>
                </w:tcPr>
                <w:p w14:paraId="08A1A06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生活污水排入</w:t>
                  </w:r>
                  <w:r>
                    <w:rPr>
                      <w:rFonts w:hint="eastAsia" w:cs="Times New Roman"/>
                      <w:b w:val="0"/>
                      <w:bCs w:val="0"/>
                      <w:color w:val="000000" w:themeColor="text1"/>
                      <w:sz w:val="21"/>
                      <w:szCs w:val="21"/>
                      <w:lang w:val="en-US" w:eastAsia="zh-CN"/>
                      <w14:textFill>
                        <w14:solidFill>
                          <w14:schemeClr w14:val="tx1"/>
                        </w14:solidFill>
                      </w14:textFill>
                    </w:rPr>
                    <w:t>污水管网，纳入玛纳斯县城镇污水处理厂</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处理</w:t>
                  </w:r>
                </w:p>
              </w:tc>
              <w:tc>
                <w:tcPr>
                  <w:tcW w:w="509" w:type="pct"/>
                  <w:tcBorders>
                    <w:tl2br w:val="nil"/>
                    <w:tr2bl w:val="nil"/>
                  </w:tcBorders>
                  <w:noWrap w:val="0"/>
                  <w:vAlign w:val="center"/>
                </w:tcPr>
                <w:p w14:paraId="5C8C330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1.0</w:t>
                  </w:r>
                </w:p>
              </w:tc>
            </w:tr>
            <w:tr w14:paraId="317BA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tcBorders>
                    <w:tl2br w:val="nil"/>
                    <w:tr2bl w:val="nil"/>
                  </w:tcBorders>
                  <w:noWrap w:val="0"/>
                  <w:vAlign w:val="center"/>
                </w:tcPr>
                <w:p w14:paraId="70BF7BAE">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32" w:type="pct"/>
                  <w:vMerge w:val="continue"/>
                  <w:tcBorders>
                    <w:tl2br w:val="nil"/>
                    <w:tr2bl w:val="nil"/>
                  </w:tcBorders>
                  <w:noWrap w:val="0"/>
                  <w:vAlign w:val="center"/>
                </w:tcPr>
                <w:p w14:paraId="2CED51BF">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3" w:type="pct"/>
                  <w:tcBorders>
                    <w:tl2br w:val="nil"/>
                    <w:tr2bl w:val="nil"/>
                  </w:tcBorders>
                  <w:noWrap w:val="0"/>
                  <w:vAlign w:val="center"/>
                </w:tcPr>
                <w:p w14:paraId="5D6534E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洗车废水</w:t>
                  </w:r>
                </w:p>
              </w:tc>
              <w:tc>
                <w:tcPr>
                  <w:tcW w:w="2964" w:type="pct"/>
                  <w:tcBorders>
                    <w:tl2br w:val="nil"/>
                    <w:tr2bl w:val="nil"/>
                  </w:tcBorders>
                  <w:noWrap w:val="0"/>
                  <w:vAlign w:val="center"/>
                </w:tcPr>
                <w:p w14:paraId="431D297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隔油沉淀池</w:t>
                  </w:r>
                </w:p>
              </w:tc>
              <w:tc>
                <w:tcPr>
                  <w:tcW w:w="509" w:type="pct"/>
                  <w:tcBorders>
                    <w:tl2br w:val="nil"/>
                    <w:tr2bl w:val="nil"/>
                  </w:tcBorders>
                  <w:noWrap w:val="0"/>
                  <w:vAlign w:val="center"/>
                </w:tcPr>
                <w:p w14:paraId="16E6278A">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3.0</w:t>
                  </w:r>
                </w:p>
              </w:tc>
            </w:tr>
            <w:tr w14:paraId="016A7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tcBorders>
                    <w:tl2br w:val="nil"/>
                    <w:tr2bl w:val="nil"/>
                  </w:tcBorders>
                  <w:noWrap w:val="0"/>
                  <w:vAlign w:val="center"/>
                </w:tcPr>
                <w:p w14:paraId="1CB7BE8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32" w:type="pct"/>
                  <w:vMerge w:val="continue"/>
                  <w:tcBorders>
                    <w:tl2br w:val="nil"/>
                    <w:tr2bl w:val="nil"/>
                  </w:tcBorders>
                  <w:noWrap w:val="0"/>
                  <w:vAlign w:val="center"/>
                </w:tcPr>
                <w:p w14:paraId="151D9A38">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3" w:type="pct"/>
                  <w:tcBorders>
                    <w:tl2br w:val="nil"/>
                    <w:tr2bl w:val="nil"/>
                  </w:tcBorders>
                  <w:noWrap w:val="0"/>
                  <w:vAlign w:val="center"/>
                </w:tcPr>
                <w:p w14:paraId="42E6D80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地下水防护措施</w:t>
                  </w:r>
                </w:p>
              </w:tc>
              <w:tc>
                <w:tcPr>
                  <w:tcW w:w="2964" w:type="pct"/>
                  <w:tcBorders>
                    <w:tl2br w:val="nil"/>
                    <w:tr2bl w:val="nil"/>
                  </w:tcBorders>
                  <w:noWrap w:val="0"/>
                  <w:vAlign w:val="center"/>
                </w:tcPr>
                <w:p w14:paraId="05857A7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val="0"/>
                      <w:caps w:val="0"/>
                      <w:color w:val="000000" w:themeColor="text1"/>
                      <w:sz w:val="21"/>
                      <w:szCs w:val="21"/>
                      <w:lang w:val="en-US" w:eastAsia="zh-CN"/>
                      <w14:textFill>
                        <w14:solidFill>
                          <w14:schemeClr w14:val="tx1"/>
                        </w14:solidFill>
                      </w14:textFill>
                    </w:rPr>
                    <w:t>地埋式油罐采用双层油罐</w:t>
                  </w:r>
                  <w:r>
                    <w:rPr>
                      <w:rFonts w:hint="default" w:ascii="Times New Roman" w:hAnsi="Times New Roman" w:cs="Times New Roman"/>
                      <w:caps w:val="0"/>
                      <w:color w:val="000000" w:themeColor="text1"/>
                      <w:sz w:val="21"/>
                      <w:szCs w:val="21"/>
                      <w:lang w:val="en-US" w:eastAsia="zh-CN"/>
                      <w14:textFill>
                        <w14:solidFill>
                          <w14:schemeClr w14:val="tx1"/>
                        </w14:solidFill>
                      </w14:textFill>
                    </w:rPr>
                    <w:t>；</w:t>
                  </w:r>
                  <w:r>
                    <w:rPr>
                      <w:rFonts w:hint="default" w:ascii="Times New Roman" w:hAnsi="Times New Roman" w:cs="Times New Roman"/>
                      <w:caps w:val="0"/>
                      <w:color w:val="000000" w:themeColor="text1"/>
                      <w:sz w:val="21"/>
                      <w:szCs w:val="21"/>
                      <w:lang w:eastAsia="zh-CN"/>
                      <w14:textFill>
                        <w14:solidFill>
                          <w14:schemeClr w14:val="tx1"/>
                        </w14:solidFill>
                      </w14:textFill>
                    </w:rPr>
                    <w:t>储油罐表面、输油管线外表做防渗防腐处理</w:t>
                  </w:r>
                  <w:r>
                    <w:rPr>
                      <w:rFonts w:hint="default" w:ascii="Times New Roman" w:hAnsi="Times New Roman" w:cs="Times New Roman"/>
                      <w:caps w:val="0"/>
                      <w:color w:val="000000" w:themeColor="text1"/>
                      <w:sz w:val="21"/>
                      <w:szCs w:val="21"/>
                      <w:lang w:val="en-US" w:eastAsia="zh-CN"/>
                      <w14:textFill>
                        <w14:solidFill>
                          <w14:schemeClr w14:val="tx1"/>
                        </w14:solidFill>
                      </w14:textFill>
                    </w:rPr>
                    <w:t>；</w:t>
                  </w:r>
                  <w:r>
                    <w:rPr>
                      <w:rFonts w:hint="eastAsia" w:ascii="Times New Roman" w:hAnsi="Times New Roman" w:cs="Times New Roman"/>
                      <w:caps w:val="0"/>
                      <w:color w:val="000000" w:themeColor="text1"/>
                      <w:sz w:val="21"/>
                      <w:szCs w:val="21"/>
                      <w:lang w:val="en-US" w:eastAsia="zh-CN"/>
                      <w14:textFill>
                        <w14:solidFill>
                          <w14:schemeClr w14:val="tx1"/>
                        </w14:solidFill>
                      </w14:textFill>
                    </w:rPr>
                    <w:t>地下水监测井；</w:t>
                  </w:r>
                  <w:r>
                    <w:rPr>
                      <w:rFonts w:hint="default" w:ascii="Times New Roman" w:hAnsi="Times New Roman" w:cs="Times New Roman"/>
                      <w:caps w:val="0"/>
                      <w:color w:val="000000" w:themeColor="text1"/>
                      <w:sz w:val="21"/>
                      <w:szCs w:val="21"/>
                      <w:lang w:val="en-US" w:eastAsia="zh-CN"/>
                      <w14:textFill>
                        <w14:solidFill>
                          <w14:schemeClr w14:val="tx1"/>
                        </w14:solidFill>
                      </w14:textFill>
                    </w:rPr>
                    <w:t>防护堤；</w:t>
                  </w:r>
                  <w:r>
                    <w:rPr>
                      <w:rFonts w:hint="default" w:ascii="Times New Roman" w:hAnsi="Times New Roman" w:cs="Times New Roman"/>
                      <w:b w:val="0"/>
                      <w:bCs w:val="0"/>
                      <w:caps w:val="0"/>
                      <w:color w:val="000000" w:themeColor="text1"/>
                      <w:sz w:val="21"/>
                      <w:szCs w:val="21"/>
                      <w:lang w:val="en-US" w:eastAsia="zh-CN"/>
                      <w14:textFill>
                        <w14:solidFill>
                          <w14:schemeClr w14:val="tx1"/>
                        </w14:solidFill>
                      </w14:textFill>
                    </w:rPr>
                    <w:t>分区防渗等</w:t>
                  </w:r>
                </w:p>
              </w:tc>
              <w:tc>
                <w:tcPr>
                  <w:tcW w:w="509" w:type="pct"/>
                  <w:tcBorders>
                    <w:tl2br w:val="nil"/>
                    <w:tr2bl w:val="nil"/>
                  </w:tcBorders>
                  <w:noWrap w:val="0"/>
                  <w:vAlign w:val="center"/>
                </w:tcPr>
                <w:p w14:paraId="635C48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20</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w:t>
                  </w:r>
                </w:p>
              </w:tc>
            </w:tr>
            <w:tr w14:paraId="785B3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tcBorders>
                    <w:tl2br w:val="nil"/>
                    <w:tr2bl w:val="nil"/>
                  </w:tcBorders>
                  <w:noWrap w:val="0"/>
                  <w:vAlign w:val="center"/>
                </w:tcPr>
                <w:p w14:paraId="4AD5A08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32" w:type="pct"/>
                  <w:tcBorders>
                    <w:tl2br w:val="nil"/>
                    <w:tr2bl w:val="nil"/>
                  </w:tcBorders>
                  <w:noWrap w:val="0"/>
                  <w:vAlign w:val="center"/>
                </w:tcPr>
                <w:p w14:paraId="6CFD839F">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噪声</w:t>
                  </w:r>
                </w:p>
              </w:tc>
              <w:tc>
                <w:tcPr>
                  <w:tcW w:w="733" w:type="pct"/>
                  <w:tcBorders>
                    <w:tl2br w:val="nil"/>
                    <w:tr2bl w:val="nil"/>
                  </w:tcBorders>
                  <w:noWrap w:val="0"/>
                  <w:vAlign w:val="center"/>
                </w:tcPr>
                <w:p w14:paraId="73596918">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设备</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及交通</w:t>
                  </w:r>
                  <w:r>
                    <w:rPr>
                      <w:rFonts w:hint="default" w:ascii="Times New Roman" w:hAnsi="Times New Roman" w:eastAsia="宋体" w:cs="Times New Roman"/>
                      <w:b w:val="0"/>
                      <w:bCs w:val="0"/>
                      <w:color w:val="000000" w:themeColor="text1"/>
                      <w:sz w:val="21"/>
                      <w:szCs w:val="21"/>
                      <w14:textFill>
                        <w14:solidFill>
                          <w14:schemeClr w14:val="tx1"/>
                        </w14:solidFill>
                      </w14:textFill>
                    </w:rPr>
                    <w:t>噪声</w:t>
                  </w:r>
                </w:p>
              </w:tc>
              <w:tc>
                <w:tcPr>
                  <w:tcW w:w="2964" w:type="pct"/>
                  <w:tcBorders>
                    <w:tl2br w:val="nil"/>
                    <w:tr2bl w:val="nil"/>
                  </w:tcBorders>
                  <w:noWrap w:val="0"/>
                  <w:vAlign w:val="center"/>
                </w:tcPr>
                <w:p w14:paraId="2DB214D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减</w:t>
                  </w:r>
                  <w:r>
                    <w:rPr>
                      <w:rFonts w:hint="default" w:ascii="Times New Roman" w:hAnsi="Times New Roman" w:eastAsia="宋体" w:cs="Times New Roman"/>
                      <w:color w:val="000000" w:themeColor="text1"/>
                      <w:sz w:val="21"/>
                      <w:szCs w:val="21"/>
                      <w:lang w:eastAsia="zh-CN"/>
                      <w14:textFill>
                        <w14:solidFill>
                          <w14:schemeClr w14:val="tx1"/>
                        </w14:solidFill>
                      </w14:textFill>
                    </w:rPr>
                    <w:t>震</w:t>
                  </w:r>
                  <w:r>
                    <w:rPr>
                      <w:rFonts w:hint="default" w:ascii="Times New Roman" w:hAnsi="Times New Roman" w:eastAsia="宋体" w:cs="Times New Roman"/>
                      <w:color w:val="000000" w:themeColor="text1"/>
                      <w:sz w:val="21"/>
                      <w:szCs w:val="21"/>
                      <w14:textFill>
                        <w14:solidFill>
                          <w14:schemeClr w14:val="tx1"/>
                        </w14:solidFill>
                      </w14:textFill>
                    </w:rPr>
                    <w:t>装置，</w:t>
                  </w:r>
                  <w:r>
                    <w:rPr>
                      <w:rFonts w:hint="default" w:ascii="Times New Roman" w:hAnsi="Times New Roman" w:eastAsia="宋体" w:cs="Times New Roman"/>
                      <w:color w:val="000000" w:themeColor="text1"/>
                      <w:sz w:val="21"/>
                      <w:szCs w:val="21"/>
                      <w:lang w:eastAsia="zh-CN"/>
                      <w14:textFill>
                        <w14:solidFill>
                          <w14:schemeClr w14:val="tx1"/>
                        </w14:solidFill>
                      </w14:textFill>
                    </w:rPr>
                    <w:t>进出车辆加强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管理，设置停车场指示牌</w:t>
                  </w:r>
                </w:p>
              </w:tc>
              <w:tc>
                <w:tcPr>
                  <w:tcW w:w="509" w:type="pct"/>
                  <w:tcBorders>
                    <w:tl2br w:val="nil"/>
                    <w:tr2bl w:val="nil"/>
                  </w:tcBorders>
                  <w:noWrap w:val="0"/>
                  <w:vAlign w:val="center"/>
                </w:tcPr>
                <w:p w14:paraId="5D6991A6">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r>
            <w:tr w14:paraId="06E36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tcBorders>
                    <w:tl2br w:val="nil"/>
                    <w:tr2bl w:val="nil"/>
                  </w:tcBorders>
                  <w:noWrap w:val="0"/>
                  <w:vAlign w:val="center"/>
                </w:tcPr>
                <w:p w14:paraId="7E978A61">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32" w:type="pct"/>
                  <w:vMerge w:val="restart"/>
                  <w:tcBorders>
                    <w:tl2br w:val="nil"/>
                    <w:tr2bl w:val="nil"/>
                  </w:tcBorders>
                  <w:noWrap w:val="0"/>
                  <w:vAlign w:val="center"/>
                </w:tcPr>
                <w:p w14:paraId="2662FF1C">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固废</w:t>
                  </w:r>
                </w:p>
              </w:tc>
              <w:tc>
                <w:tcPr>
                  <w:tcW w:w="733" w:type="pct"/>
                  <w:tcBorders>
                    <w:tl2br w:val="nil"/>
                    <w:tr2bl w:val="nil"/>
                  </w:tcBorders>
                  <w:noWrap w:val="0"/>
                  <w:vAlign w:val="center"/>
                </w:tcPr>
                <w:p w14:paraId="31A1505C">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生活垃圾</w:t>
                  </w:r>
                </w:p>
              </w:tc>
              <w:tc>
                <w:tcPr>
                  <w:tcW w:w="2964" w:type="pct"/>
                  <w:tcBorders>
                    <w:tl2br w:val="nil"/>
                    <w:tr2bl w:val="nil"/>
                  </w:tcBorders>
                  <w:noWrap w:val="0"/>
                  <w:vAlign w:val="center"/>
                </w:tcPr>
                <w:p w14:paraId="102978BE">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封闭式垃圾桶，交由环卫部门统一处置</w:t>
                  </w:r>
                </w:p>
              </w:tc>
              <w:tc>
                <w:tcPr>
                  <w:tcW w:w="509" w:type="pct"/>
                  <w:tcBorders>
                    <w:tl2br w:val="nil"/>
                    <w:tr2bl w:val="nil"/>
                  </w:tcBorders>
                  <w:noWrap w:val="0"/>
                  <w:vAlign w:val="center"/>
                </w:tcPr>
                <w:p w14:paraId="42032854">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r>
            <w:tr w14:paraId="2508B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tcBorders>
                    <w:tl2br w:val="nil"/>
                    <w:tr2bl w:val="nil"/>
                  </w:tcBorders>
                  <w:noWrap w:val="0"/>
                  <w:vAlign w:val="center"/>
                </w:tcPr>
                <w:p w14:paraId="56D4F83C">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32" w:type="pct"/>
                  <w:vMerge w:val="continue"/>
                  <w:tcBorders>
                    <w:tl2br w:val="nil"/>
                    <w:tr2bl w:val="nil"/>
                  </w:tcBorders>
                  <w:noWrap w:val="0"/>
                  <w:vAlign w:val="center"/>
                </w:tcPr>
                <w:p w14:paraId="6458279D">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33" w:type="pct"/>
                  <w:tcBorders>
                    <w:tl2br w:val="nil"/>
                    <w:tr2bl w:val="nil"/>
                  </w:tcBorders>
                  <w:noWrap w:val="0"/>
                  <w:vAlign w:val="center"/>
                </w:tcPr>
                <w:p w14:paraId="2F7B63A1">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含油手套和废抹布、</w:t>
                  </w:r>
                  <w:r>
                    <w:rPr>
                      <w:rFonts w:hint="eastAsia" w:cs="Times New Roman"/>
                      <w:b w:val="0"/>
                      <w:bCs w:val="0"/>
                      <w:color w:val="000000" w:themeColor="text1"/>
                      <w:sz w:val="21"/>
                      <w:szCs w:val="21"/>
                      <w:lang w:val="en-US" w:eastAsia="zh-CN"/>
                      <w14:textFill>
                        <w14:solidFill>
                          <w14:schemeClr w14:val="tx1"/>
                        </w14:solidFill>
                      </w14:textFill>
                    </w:rPr>
                    <w:t>清罐废物、隔油池废油</w:t>
                  </w:r>
                </w:p>
              </w:tc>
              <w:tc>
                <w:tcPr>
                  <w:tcW w:w="2964" w:type="pct"/>
                  <w:tcBorders>
                    <w:tl2br w:val="nil"/>
                    <w:tr2bl w:val="nil"/>
                  </w:tcBorders>
                  <w:noWrap w:val="0"/>
                  <w:vAlign w:val="center"/>
                </w:tcPr>
                <w:p w14:paraId="6E5BFFA4">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含油手套和废抹布</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随生活垃圾交由环卫部门统一处置；清罐废物和</w:t>
                  </w:r>
                  <w:r>
                    <w:rPr>
                      <w:rFonts w:hint="eastAsia" w:cs="Times New Roman"/>
                      <w:b w:val="0"/>
                      <w:bCs w:val="0"/>
                      <w:color w:val="000000" w:themeColor="text1"/>
                      <w:sz w:val="21"/>
                      <w:szCs w:val="21"/>
                      <w:lang w:val="en-US" w:eastAsia="zh-CN"/>
                      <w14:textFill>
                        <w14:solidFill>
                          <w14:schemeClr w14:val="tx1"/>
                        </w14:solidFill>
                      </w14:textFill>
                    </w:rPr>
                    <w:t>隔油池废油</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cs="Times New Roman"/>
                      <w:b w:val="0"/>
                      <w:bCs w:val="0"/>
                      <w:color w:val="000000" w:themeColor="text1"/>
                      <w:sz w:val="21"/>
                      <w:szCs w:val="21"/>
                      <w:lang w:val="en-US" w:eastAsia="zh-CN"/>
                      <w14:textFill>
                        <w14:solidFill>
                          <w14:schemeClr w14:val="tx1"/>
                        </w14:solidFill>
                      </w14:textFill>
                    </w:rPr>
                    <w:t>清理后用油桶盛装直接交由</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有资质单位定期清运处理</w:t>
                  </w:r>
                  <w:r>
                    <w:rPr>
                      <w:rFonts w:hint="eastAsia" w:cs="Times New Roman"/>
                      <w:b w:val="0"/>
                      <w:bCs w:val="0"/>
                      <w:color w:val="000000" w:themeColor="text1"/>
                      <w:sz w:val="21"/>
                      <w:szCs w:val="21"/>
                      <w:lang w:val="en-US" w:eastAsia="zh-CN"/>
                      <w14:textFill>
                        <w14:solidFill>
                          <w14:schemeClr w14:val="tx1"/>
                        </w14:solidFill>
                      </w14:textFill>
                    </w:rPr>
                    <w:t>，随清随运</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，不在站内贮存</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509" w:type="pct"/>
                  <w:tcBorders>
                    <w:tl2br w:val="nil"/>
                    <w:tr2bl w:val="nil"/>
                  </w:tcBorders>
                  <w:noWrap w:val="0"/>
                  <w:vAlign w:val="center"/>
                </w:tcPr>
                <w:p w14:paraId="0681BB9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10.0</w:t>
                  </w:r>
                </w:p>
              </w:tc>
            </w:tr>
            <w:tr w14:paraId="40027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260" w:type="pct"/>
                  <w:vMerge w:val="continue"/>
                  <w:tcBorders>
                    <w:tl2br w:val="nil"/>
                    <w:tr2bl w:val="nil"/>
                  </w:tcBorders>
                  <w:noWrap w:val="0"/>
                  <w:vAlign w:val="center"/>
                </w:tcPr>
                <w:p w14:paraId="6DCFA9E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32" w:type="pct"/>
                  <w:tcBorders>
                    <w:tl2br w:val="nil"/>
                    <w:tr2bl w:val="nil"/>
                  </w:tcBorders>
                  <w:noWrap w:val="0"/>
                  <w:vAlign w:val="center"/>
                </w:tcPr>
                <w:p w14:paraId="5EB87A72">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风险</w:t>
                  </w:r>
                </w:p>
              </w:tc>
              <w:tc>
                <w:tcPr>
                  <w:tcW w:w="3698" w:type="pct"/>
                  <w:gridSpan w:val="2"/>
                  <w:tcBorders>
                    <w:tl2br w:val="nil"/>
                    <w:tr2bl w:val="nil"/>
                  </w:tcBorders>
                  <w:noWrap w:val="0"/>
                  <w:vAlign w:val="center"/>
                </w:tcPr>
                <w:p w14:paraId="6F5B9637">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eastAsia="宋体" w:cs="Times New Roman"/>
                      <w:bCs/>
                      <w:color w:val="000000" w:themeColor="text1"/>
                      <w:sz w:val="21"/>
                      <w:szCs w:val="21"/>
                      <w:highlight w:val="none"/>
                      <w:lang w:val="en-US" w:eastAsia="zh-CN"/>
                      <w14:textFill>
                        <w14:solidFill>
                          <w14:schemeClr w14:val="tx1"/>
                        </w14:solidFill>
                      </w14:textFill>
                    </w:rPr>
                    <w:t>设置防雷防静电设施、</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设置警示标志</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标识牌；</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员工进行</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风险管理培训；</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配置</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灭火器材；</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设置事故池</w:t>
                  </w:r>
                  <w:r>
                    <w:rPr>
                      <w:rFonts w:hint="eastAsia" w:eastAsia="宋体" w:cs="Times New Roman"/>
                      <w:bCs/>
                      <w:color w:val="000000" w:themeColor="text1"/>
                      <w:sz w:val="21"/>
                      <w:szCs w:val="21"/>
                      <w:highlight w:val="none"/>
                      <w:lang w:val="en-US" w:eastAsia="zh-CN"/>
                      <w14:textFill>
                        <w14:solidFill>
                          <w14:schemeClr w14:val="tx1"/>
                        </w14:solidFill>
                      </w14:textFill>
                    </w:rPr>
                    <w:t>、截流沟渠</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编制应急预案等</w:t>
                  </w:r>
                </w:p>
              </w:tc>
              <w:tc>
                <w:tcPr>
                  <w:tcW w:w="509" w:type="pct"/>
                  <w:tcBorders>
                    <w:tl2br w:val="nil"/>
                    <w:tr2bl w:val="nil"/>
                  </w:tcBorders>
                  <w:noWrap w:val="0"/>
                  <w:vAlign w:val="center"/>
                </w:tcPr>
                <w:p w14:paraId="095946B1">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r>
            <w:tr w14:paraId="1F84A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0" w:type="pct"/>
                  <w:gridSpan w:val="4"/>
                  <w:tcBorders>
                    <w:tl2br w:val="nil"/>
                    <w:tr2bl w:val="nil"/>
                  </w:tcBorders>
                  <w:noWrap w:val="0"/>
                  <w:vAlign w:val="center"/>
                </w:tcPr>
                <w:p w14:paraId="4BF1C030">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b w:val="0"/>
                      <w:bCs w:val="0"/>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合计</w:t>
                  </w:r>
                </w:p>
              </w:tc>
              <w:tc>
                <w:tcPr>
                  <w:tcW w:w="509" w:type="pct"/>
                  <w:tcBorders>
                    <w:tl2br w:val="nil"/>
                    <w:tr2bl w:val="nil"/>
                  </w:tcBorders>
                  <w:noWrap w:val="0"/>
                  <w:vAlign w:val="center"/>
                </w:tcPr>
                <w:p w14:paraId="4D3C9FCE">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66.0</w:t>
                  </w:r>
                </w:p>
              </w:tc>
            </w:tr>
            <w:tr w14:paraId="0C24D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0" w:type="pct"/>
                  <w:gridSpan w:val="4"/>
                  <w:tcBorders>
                    <w:tl2br w:val="nil"/>
                    <w:tr2bl w:val="nil"/>
                  </w:tcBorders>
                  <w:noWrap w:val="0"/>
                  <w:vAlign w:val="center"/>
                </w:tcPr>
                <w:p w14:paraId="09B98EDC">
                  <w:pPr>
                    <w:keepNext w:val="0"/>
                    <w:keepLines w:val="0"/>
                    <w:pageBreakBefore w:val="0"/>
                    <w:widowControl w:val="0"/>
                    <w:kinsoku/>
                    <w:wordWrap/>
                    <w:overflowPunct/>
                    <w:topLinePunct w:val="0"/>
                    <w:autoSpaceDE/>
                    <w:autoSpaceDN/>
                    <w:bidi w:val="0"/>
                    <w:adjustRightInd w:val="0"/>
                    <w:snapToGrid w:val="0"/>
                    <w:ind w:left="0" w:leftChars="0" w:right="0" w:rightChars="0"/>
                    <w:jc w:val="center"/>
                    <w:rPr>
                      <w:rFonts w:hint="eastAsia" w:ascii="Times New Roman" w:hAnsi="Times New Roman" w:eastAsia="宋体" w:cs="Times New Roman"/>
                      <w:b w:val="0"/>
                      <w:bCs w:val="0"/>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0"/>
                      <w:sz w:val="21"/>
                      <w:szCs w:val="21"/>
                      <w14:textFill>
                        <w14:solidFill>
                          <w14:schemeClr w14:val="tx1"/>
                        </w14:solidFill>
                      </w14:textFill>
                    </w:rPr>
                    <w:t>占总投资比例</w:t>
                  </w:r>
                  <w:r>
                    <w:rPr>
                      <w:rFonts w:hint="eastAsia" w:ascii="Times New Roman" w:hAnsi="Times New Roman" w:eastAsia="宋体" w:cs="Times New Roman"/>
                      <w:b w:val="0"/>
                      <w:bCs w:val="0"/>
                      <w:snapToGrid w:val="0"/>
                      <w:color w:val="000000" w:themeColor="text1"/>
                      <w:kern w:val="0"/>
                      <w:sz w:val="21"/>
                      <w:szCs w:val="21"/>
                      <w:lang w:eastAsia="zh-CN"/>
                      <w14:textFill>
                        <w14:solidFill>
                          <w14:schemeClr w14:val="tx1"/>
                        </w14:solidFill>
                      </w14:textFill>
                    </w:rPr>
                    <w:t>（</w:t>
                  </w:r>
                  <w:r>
                    <w:rPr>
                      <w:rFonts w:hint="eastAsia" w:ascii="Times New Roman" w:hAnsi="Times New Roman" w:eastAsia="宋体" w:cs="Times New Roman"/>
                      <w:b w:val="0"/>
                      <w:bCs w:val="0"/>
                      <w:snapToGrid w:val="0"/>
                      <w:color w:val="000000" w:themeColor="text1"/>
                      <w:kern w:val="0"/>
                      <w:sz w:val="21"/>
                      <w:szCs w:val="21"/>
                      <w:lang w:val="en-US" w:eastAsia="zh-CN"/>
                      <w14:textFill>
                        <w14:solidFill>
                          <w14:schemeClr w14:val="tx1"/>
                        </w14:solidFill>
                      </w14:textFill>
                    </w:rPr>
                    <w:t>%</w:t>
                  </w:r>
                  <w:r>
                    <w:rPr>
                      <w:rFonts w:hint="eastAsia" w:ascii="Times New Roman" w:hAnsi="Times New Roman" w:eastAsia="宋体" w:cs="Times New Roman"/>
                      <w:b w:val="0"/>
                      <w:bCs w:val="0"/>
                      <w:snapToGrid w:val="0"/>
                      <w:color w:val="000000" w:themeColor="text1"/>
                      <w:kern w:val="0"/>
                      <w:sz w:val="21"/>
                      <w:szCs w:val="21"/>
                      <w:lang w:eastAsia="zh-CN"/>
                      <w14:textFill>
                        <w14:solidFill>
                          <w14:schemeClr w14:val="tx1"/>
                        </w14:solidFill>
                      </w14:textFill>
                    </w:rPr>
                    <w:t>）</w:t>
                  </w:r>
                </w:p>
              </w:tc>
              <w:tc>
                <w:tcPr>
                  <w:tcW w:w="509" w:type="pct"/>
                  <w:tcBorders>
                    <w:tl2br w:val="nil"/>
                    <w:tr2bl w:val="nil"/>
                  </w:tcBorders>
                  <w:noWrap w:val="0"/>
                  <w:vAlign w:val="center"/>
                </w:tcPr>
                <w:p w14:paraId="1D79D79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snapToGrid w:val="0"/>
                      <w:color w:val="000000" w:themeColor="text1"/>
                      <w:kern w:val="0"/>
                      <w:sz w:val="21"/>
                      <w:szCs w:val="21"/>
                      <w:lang w:val="en-US" w:eastAsia="zh-CN"/>
                      <w14:textFill>
                        <w14:solidFill>
                          <w14:schemeClr w14:val="tx1"/>
                        </w14:solidFill>
                      </w14:textFill>
                    </w:rPr>
                  </w:pPr>
                  <w:r>
                    <w:rPr>
                      <w:rFonts w:hint="eastAsia" w:cs="Times New Roman"/>
                      <w:b w:val="0"/>
                      <w:bCs w:val="0"/>
                      <w:snapToGrid w:val="0"/>
                      <w:color w:val="000000" w:themeColor="text1"/>
                      <w:kern w:val="0"/>
                      <w:sz w:val="21"/>
                      <w:szCs w:val="21"/>
                      <w:lang w:val="en-US" w:eastAsia="zh-CN"/>
                      <w14:textFill>
                        <w14:solidFill>
                          <w14:schemeClr w14:val="tx1"/>
                        </w14:solidFill>
                      </w14:textFill>
                    </w:rPr>
                    <w:t>7.21</w:t>
                  </w:r>
                </w:p>
              </w:tc>
            </w:tr>
          </w:tbl>
          <w:p w14:paraId="282B03B6">
            <w:pPr>
              <w:keepNext w:val="0"/>
              <w:keepLines w:val="0"/>
              <w:pageBreakBefore w:val="0"/>
              <w:widowControl w:val="0"/>
              <w:kinsoku/>
              <w:wordWrap/>
              <w:overflowPunct/>
              <w:topLinePunct w:val="0"/>
              <w:autoSpaceDE/>
              <w:autoSpaceDN/>
              <w:bidi w:val="0"/>
              <w:adjustRightInd w:val="0"/>
              <w:snapToGrid w:val="0"/>
              <w:spacing w:before="157" w:beforeLines="50" w:beforeAutospacing="0" w:afterAutospacing="0" w:line="360" w:lineRule="auto"/>
              <w:ind w:left="0" w:leftChars="0" w:right="0" w:rightChars="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4.</w:t>
            </w:r>
            <w:r>
              <w:rPr>
                <w:rFonts w:hint="eastAsia" w:eastAsia="宋体" w:cs="Times New Roman"/>
                <w:b/>
                <w:color w:val="000000" w:themeColor="text1"/>
                <w:sz w:val="24"/>
                <w:szCs w:val="24"/>
                <w:lang w:val="en-US" w:eastAsia="zh-CN"/>
                <w14:textFill>
                  <w14:solidFill>
                    <w14:schemeClr w14:val="tx1"/>
                  </w14:solidFill>
                </w14:textFill>
              </w:rPr>
              <w:t>2.10</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14:textFill>
                  <w14:solidFill>
                    <w14:schemeClr w14:val="tx1"/>
                  </w14:solidFill>
                </w14:textFill>
              </w:rPr>
              <w:t>排污许可分析</w:t>
            </w:r>
          </w:p>
          <w:p w14:paraId="2524556A">
            <w:pPr>
              <w:keepNext w:val="0"/>
              <w:keepLines w:val="0"/>
              <w:pageBreakBefore w:val="0"/>
              <w:widowControl w:val="0"/>
              <w:kinsoku/>
              <w:wordWrap/>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控制污染物排放许可制实施方案》（国办发〔2016〕81号，2016年11月11日），环境影响评价制度是建设项目的环境准入门槛，排污许可制是企事业单位生产运营期排污的法律依据，必须做好充分衔接，实现从污染预防到污染治理和排放控制的全过程监管。</w:t>
            </w:r>
          </w:p>
          <w:p w14:paraId="23B8BE1C">
            <w:pPr>
              <w:pStyle w:val="38"/>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olor w:val="0000FF"/>
                <w:kern w:val="24"/>
                <w:sz w:val="24"/>
                <w:szCs w:val="24"/>
                <w:highlight w:val="none"/>
              </w:rPr>
              <w:t>依据《固定污染源排污许可分类管理名录（2019年版）》</w:t>
            </w:r>
            <w:r>
              <w:rPr>
                <w:rFonts w:hint="eastAsia" w:eastAsia="宋体"/>
                <w:color w:val="0000FF"/>
                <w:kern w:val="24"/>
                <w:sz w:val="24"/>
                <w:szCs w:val="24"/>
                <w:highlight w:val="none"/>
                <w:lang w:eastAsia="zh-CN"/>
              </w:rPr>
              <w:t>，本项目属于“四十二、零售业 52</w:t>
            </w:r>
            <w:r>
              <w:rPr>
                <w:rFonts w:hint="eastAsia" w:eastAsia="宋体"/>
                <w:color w:val="0000FF"/>
                <w:kern w:val="24"/>
                <w:sz w:val="24"/>
                <w:szCs w:val="24"/>
                <w:highlight w:val="none"/>
                <w:lang w:val="en-US" w:eastAsia="zh-CN"/>
              </w:rPr>
              <w:t>--100、汽车、摩托车、零配件和燃料及其他动力销售 526--位于城市建成区的加油站</w:t>
            </w:r>
            <w:r>
              <w:rPr>
                <w:rFonts w:hint="eastAsia" w:eastAsia="宋体"/>
                <w:color w:val="0000FF"/>
                <w:kern w:val="24"/>
                <w:sz w:val="24"/>
                <w:szCs w:val="24"/>
                <w:highlight w:val="none"/>
                <w:lang w:eastAsia="zh-CN"/>
              </w:rPr>
              <w:t>”，为简化管理，</w:t>
            </w:r>
            <w:r>
              <w:rPr>
                <w:rFonts w:hint="eastAsia" w:eastAsia="宋体"/>
                <w:color w:val="000000" w:themeColor="text1"/>
                <w:kern w:val="24"/>
                <w:sz w:val="24"/>
                <w:szCs w:val="24"/>
                <w:highlight w:val="none"/>
                <w:lang w:eastAsia="zh-CN"/>
                <w14:textFill>
                  <w14:solidFill>
                    <w14:schemeClr w14:val="tx1"/>
                  </w14:solidFill>
                </w14:textFill>
              </w:rPr>
              <w:t>应申办排污许可证，</w:t>
            </w:r>
            <w:r>
              <w:rPr>
                <w:rFonts w:hint="default" w:ascii="Times New Roman" w:hAnsi="Times New Roman" w:eastAsia="宋体" w:cs="Times New Roman"/>
                <w:color w:val="000000" w:themeColor="text1"/>
                <w:sz w:val="24"/>
                <w:szCs w:val="24"/>
                <w14:textFill>
                  <w14:solidFill>
                    <w14:schemeClr w14:val="tx1"/>
                  </w14:solidFill>
                </w14:textFill>
              </w:rPr>
              <w:t>因此，建设单位应在项目建设完成投入运行之前向当地生态环境局申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报</w:t>
            </w:r>
            <w:r>
              <w:rPr>
                <w:rFonts w:hint="default" w:ascii="Times New Roman" w:hAnsi="Times New Roman" w:eastAsia="宋体" w:cs="Times New Roman"/>
                <w:color w:val="000000" w:themeColor="text1"/>
                <w:sz w:val="24"/>
                <w:szCs w:val="24"/>
                <w14:textFill>
                  <w14:solidFill>
                    <w14:schemeClr w14:val="tx1"/>
                  </w14:solidFill>
                </w14:textFill>
              </w:rPr>
              <w:t>排污许可证，并严格按照排污许可证规定的污染物排放种类、浓度、总量等排污。</w:t>
            </w:r>
          </w:p>
          <w:p w14:paraId="023142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建设单位申办排污许可证，需首先在排污许可证管理信息平台申报系统填报排污许可证申请表中的相应信息，主要包括排污单位基本信息，主要产品及产能，主要原辅料及燃料</w:t>
            </w:r>
            <w:r>
              <w:rPr>
                <w:rFonts w:hint="default" w:ascii="Times New Roman" w:hAnsi="Times New Roman" w:eastAsia="宋体" w:cs="Times New Roman"/>
                <w:color w:val="000000" w:themeColor="text1"/>
                <w:sz w:val="24"/>
                <w:szCs w:val="24"/>
                <w:lang w:eastAsia="zh-CN"/>
                <w14:textFill>
                  <w14:solidFill>
                    <w14:schemeClr w14:val="tx1"/>
                  </w14:solidFill>
                </w14:textFill>
              </w:rPr>
              <w:t>，生</w:t>
            </w:r>
            <w:r>
              <w:rPr>
                <w:rFonts w:hint="default" w:ascii="Times New Roman" w:hAnsi="Times New Roman" w:eastAsia="宋体" w:cs="Times New Roman"/>
                <w:color w:val="000000" w:themeColor="text1"/>
                <w:sz w:val="24"/>
                <w:szCs w:val="24"/>
                <w14:textFill>
                  <w14:solidFill>
                    <w14:schemeClr w14:val="tx1"/>
                  </w14:solidFill>
                </w14:textFill>
              </w:rPr>
              <w:t>产排污环节、污染物及污染治理设施等。</w:t>
            </w:r>
          </w:p>
          <w:p w14:paraId="7E289B4F">
            <w:pPr>
              <w:pStyle w:val="20"/>
              <w:keepNext w:val="0"/>
              <w:keepLines w:val="0"/>
              <w:pageBreakBefore w:val="0"/>
              <w:widowControl w:val="0"/>
              <w:wordWrap/>
              <w:bidi w:val="0"/>
              <w:adjustRightInd w:val="0"/>
              <w:snapToGrid w:val="0"/>
              <w:rPr>
                <w:rFonts w:hint="eastAsia" w:ascii="Times New Roman" w:hAnsi="Times New Roman" w:eastAsia="宋体" w:cs="Times New Roman"/>
                <w:bCs/>
                <w:color w:val="000000" w:themeColor="text1"/>
                <w:spacing w:val="-10"/>
                <w:sz w:val="24"/>
                <w:szCs w:val="24"/>
                <w:lang w:val="en-US" w:eastAsia="zh-CN"/>
                <w14:textFill>
                  <w14:solidFill>
                    <w14:schemeClr w14:val="tx1"/>
                  </w14:solidFill>
                </w14:textFill>
              </w:rPr>
            </w:pPr>
          </w:p>
          <w:p w14:paraId="0EFE6B42">
            <w:pPr>
              <w:pStyle w:val="20"/>
              <w:keepNext w:val="0"/>
              <w:keepLines w:val="0"/>
              <w:pageBreakBefore w:val="0"/>
              <w:widowControl w:val="0"/>
              <w:wordWrap/>
              <w:bidi w:val="0"/>
              <w:adjustRightInd w:val="0"/>
              <w:snapToGrid w:val="0"/>
              <w:rPr>
                <w:rFonts w:hint="eastAsia" w:ascii="Times New Roman" w:hAnsi="Times New Roman" w:eastAsia="宋体" w:cs="Times New Roman"/>
                <w:bCs/>
                <w:color w:val="000000" w:themeColor="text1"/>
                <w:spacing w:val="-10"/>
                <w:sz w:val="24"/>
                <w:szCs w:val="24"/>
                <w:lang w:val="en-US" w:eastAsia="zh-CN"/>
                <w14:textFill>
                  <w14:solidFill>
                    <w14:schemeClr w14:val="tx1"/>
                  </w14:solidFill>
                </w14:textFill>
              </w:rPr>
            </w:pPr>
          </w:p>
          <w:p w14:paraId="0FBCA824">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pPr>
          </w:p>
        </w:tc>
      </w:tr>
    </w:tbl>
    <w:p w14:paraId="60455CF1">
      <w:pPr>
        <w:keepNext w:val="0"/>
        <w:keepLines w:val="0"/>
        <w:pageBreakBefore w:val="0"/>
        <w:widowControl w:val="0"/>
        <w:wordWrap/>
        <w:bidi w:val="0"/>
        <w:adjustRightInd w:val="0"/>
        <w:snapToGrid w:val="0"/>
        <w:spacing w:line="360" w:lineRule="auto"/>
        <w:rPr>
          <w:rFonts w:hint="eastAsia" w:ascii="宋体" w:cs="宋体"/>
          <w:b/>
          <w:color w:val="000000" w:themeColor="text1"/>
          <w:kern w:val="0"/>
          <w:sz w:val="28"/>
          <w:szCs w:val="28"/>
          <w14:textFill>
            <w14:solidFill>
              <w14:schemeClr w14:val="tx1"/>
            </w14:solidFill>
          </w14:textFill>
        </w:rPr>
        <w:sectPr>
          <w:pgSz w:w="11907" w:h="16840"/>
          <w:pgMar w:top="1531" w:right="1531" w:bottom="153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1EC2C060">
      <w:pPr>
        <w:pStyle w:val="26"/>
        <w:keepNext w:val="0"/>
        <w:keepLines w:val="0"/>
        <w:pageBreakBefore w:val="0"/>
        <w:widowControl w:val="0"/>
        <w:wordWrap/>
        <w:bidi w:val="0"/>
        <w:adjustRightInd w:val="0"/>
        <w:snapToGrid w:val="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五、</w:t>
      </w:r>
      <w:bookmarkStart w:id="10"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10"/>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501"/>
        <w:gridCol w:w="1237"/>
        <w:gridCol w:w="1688"/>
        <w:gridCol w:w="2954"/>
      </w:tblGrid>
      <w:tr w14:paraId="29982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tcBorders>
              <w:tl2br w:val="single" w:color="auto" w:sz="4" w:space="0"/>
            </w:tcBorders>
            <w:noWrap w:val="0"/>
            <w:vAlign w:val="top"/>
          </w:tcPr>
          <w:p w14:paraId="4C080A99">
            <w:pPr>
              <w:keepNext w:val="0"/>
              <w:keepLines w:val="0"/>
              <w:pageBreakBefore w:val="0"/>
              <w:widowControl w:val="0"/>
              <w:wordWrap/>
              <w:bidi w:val="0"/>
              <w:adjustRightInd w:val="0"/>
              <w:snapToGrid w:val="0"/>
              <w:ind w:firstLine="240" w:firstLineChars="100"/>
              <w:jc w:val="righ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内容</w:t>
            </w:r>
          </w:p>
          <w:p w14:paraId="2B729110">
            <w:pPr>
              <w:keepNext w:val="0"/>
              <w:keepLines w:val="0"/>
              <w:pageBreakBefore w:val="0"/>
              <w:widowControl w:val="0"/>
              <w:wordWrap/>
              <w:bidi w:val="0"/>
              <w:adjustRightInd w:val="0"/>
              <w:snapToGrid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要素</w:t>
            </w:r>
          </w:p>
        </w:tc>
        <w:tc>
          <w:tcPr>
            <w:tcW w:w="1501" w:type="dxa"/>
            <w:noWrap w:val="0"/>
            <w:vAlign w:val="center"/>
          </w:tcPr>
          <w:p w14:paraId="2B34487E">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排放口(编号、名称)/污染源</w:t>
            </w:r>
          </w:p>
        </w:tc>
        <w:tc>
          <w:tcPr>
            <w:tcW w:w="1237" w:type="dxa"/>
            <w:noWrap w:val="0"/>
            <w:vAlign w:val="center"/>
          </w:tcPr>
          <w:p w14:paraId="243D97D2">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污染物项目</w:t>
            </w:r>
          </w:p>
        </w:tc>
        <w:tc>
          <w:tcPr>
            <w:tcW w:w="1688" w:type="dxa"/>
            <w:noWrap w:val="0"/>
            <w:vAlign w:val="center"/>
          </w:tcPr>
          <w:p w14:paraId="44A346B4">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环境保护措施</w:t>
            </w:r>
          </w:p>
        </w:tc>
        <w:tc>
          <w:tcPr>
            <w:tcW w:w="2954" w:type="dxa"/>
            <w:noWrap w:val="0"/>
            <w:vAlign w:val="center"/>
          </w:tcPr>
          <w:p w14:paraId="17F55C7B">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执行标准</w:t>
            </w:r>
          </w:p>
        </w:tc>
      </w:tr>
      <w:tr w14:paraId="35314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noWrap w:val="0"/>
            <w:vAlign w:val="center"/>
          </w:tcPr>
          <w:p w14:paraId="649DD413">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大气环境</w:t>
            </w:r>
          </w:p>
        </w:tc>
        <w:tc>
          <w:tcPr>
            <w:tcW w:w="1501" w:type="dxa"/>
            <w:noWrap w:val="0"/>
            <w:vAlign w:val="center"/>
          </w:tcPr>
          <w:p w14:paraId="1C26675D">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卸油、加油、油罐</w:t>
            </w:r>
            <w:r>
              <w:rPr>
                <w:rFonts w:hint="eastAsia" w:ascii="Times New Roman" w:hAnsi="Times New Roman" w:cs="Times New Roman"/>
                <w:color w:val="000000" w:themeColor="text1"/>
                <w:sz w:val="24"/>
                <w:szCs w:val="24"/>
                <w:lang w:eastAsia="zh-CN"/>
                <w14:textFill>
                  <w14:solidFill>
                    <w14:schemeClr w14:val="tx1"/>
                  </w14:solidFill>
                </w14:textFill>
              </w:rPr>
              <w:t>存储（</w:t>
            </w:r>
            <w:r>
              <w:rPr>
                <w:rFonts w:hint="default" w:ascii="Times New Roman" w:hAnsi="Times New Roman" w:cs="Times New Roman"/>
                <w:color w:val="000000" w:themeColor="text1"/>
                <w:sz w:val="24"/>
                <w:szCs w:val="24"/>
                <w:lang w:eastAsia="zh-CN"/>
                <w14:textFill>
                  <w14:solidFill>
                    <w14:schemeClr w14:val="tx1"/>
                  </w14:solidFill>
                </w14:textFill>
              </w:rPr>
              <w:t>呼吸</w:t>
            </w:r>
            <w:r>
              <w:rPr>
                <w:rFonts w:hint="eastAsia" w:ascii="Times New Roman" w:hAnsi="Times New Roman" w:cs="Times New Roman"/>
                <w:color w:val="000000" w:themeColor="text1"/>
                <w:sz w:val="24"/>
                <w:szCs w:val="24"/>
                <w:lang w:eastAsia="zh-CN"/>
                <w14:textFill>
                  <w14:solidFill>
                    <w14:schemeClr w14:val="tx1"/>
                  </w14:solidFill>
                </w14:textFill>
              </w:rPr>
              <w:t>）</w:t>
            </w:r>
          </w:p>
        </w:tc>
        <w:tc>
          <w:tcPr>
            <w:tcW w:w="1237" w:type="dxa"/>
            <w:noWrap w:val="0"/>
            <w:vAlign w:val="center"/>
          </w:tcPr>
          <w:p w14:paraId="036BC5BA">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非甲烷总烃</w:t>
            </w:r>
          </w:p>
        </w:tc>
        <w:tc>
          <w:tcPr>
            <w:tcW w:w="1688" w:type="dxa"/>
            <w:noWrap w:val="0"/>
            <w:vAlign w:val="center"/>
          </w:tcPr>
          <w:p w14:paraId="005ABDE4">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三次</w:t>
            </w:r>
            <w:r>
              <w:rPr>
                <w:rFonts w:hint="default" w:ascii="Times New Roman" w:hAnsi="Times New Roman" w:cs="Times New Roman"/>
                <w:color w:val="000000" w:themeColor="text1"/>
                <w:sz w:val="24"/>
                <w:szCs w:val="24"/>
                <w14:textFill>
                  <w14:solidFill>
                    <w14:schemeClr w14:val="tx1"/>
                  </w14:solidFill>
                </w14:textFill>
              </w:rPr>
              <w:t>油气回收系统</w:t>
            </w:r>
          </w:p>
        </w:tc>
        <w:tc>
          <w:tcPr>
            <w:tcW w:w="2954" w:type="dxa"/>
            <w:noWrap w:val="0"/>
            <w:vAlign w:val="center"/>
          </w:tcPr>
          <w:p w14:paraId="014477F9">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站区边界《加油站大气污染物排放标准》（GB20952-20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lang w:eastAsia="zh-CN"/>
                <w14:textFill>
                  <w14:solidFill>
                    <w14:schemeClr w14:val="tx1"/>
                  </w14:solidFill>
                </w14:textFill>
              </w:rPr>
              <w:t>）GB20952-20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lang w:eastAsia="zh-CN"/>
                <w14:textFill>
                  <w14:solidFill>
                    <w14:schemeClr w14:val="tx1"/>
                  </w14:solidFill>
                </w14:textFill>
              </w:rPr>
              <w:t>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3中标准限值要求</w:t>
            </w:r>
            <w:r>
              <w:rPr>
                <w:rFonts w:hint="eastAsia" w:ascii="Times New Roman" w:hAnsi="Times New Roman" w:eastAsia="宋体" w:cs="Times New Roman"/>
                <w:color w:val="000000" w:themeColor="text1"/>
                <w:sz w:val="24"/>
                <w:szCs w:val="24"/>
                <w:lang w:eastAsia="zh-CN"/>
                <w14:textFill>
                  <w14:solidFill>
                    <w14:schemeClr w14:val="tx1"/>
                  </w14:solidFill>
                </w14:textFill>
              </w:rPr>
              <w:t>，站区内《挥发性有机物无组织排放控制标准》（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GB37822-2019</w:t>
            </w:r>
            <w:r>
              <w:rPr>
                <w:rFonts w:hint="eastAsia" w:ascii="Times New Roman" w:hAnsi="Times New Roman" w:eastAsia="宋体" w:cs="Times New Roman"/>
                <w:color w:val="000000" w:themeColor="text1"/>
                <w:sz w:val="24"/>
                <w:szCs w:val="24"/>
                <w:lang w:eastAsia="zh-CN"/>
                <w14:textFill>
                  <w14:solidFill>
                    <w14:schemeClr w14:val="tx1"/>
                  </w14:solidFill>
                </w14:textFill>
              </w:rPr>
              <w:t>）GB37822-2019表A.1</w:t>
            </w:r>
            <w:r>
              <w:rPr>
                <w:rFonts w:hint="eastAsia" w:cs="Times New Roman"/>
                <w:color w:val="000000" w:themeColor="text1"/>
                <w:sz w:val="24"/>
                <w:szCs w:val="24"/>
                <w:lang w:val="en-US" w:eastAsia="zh-CN"/>
                <w14:textFill>
                  <w14:solidFill>
                    <w14:schemeClr w14:val="tx1"/>
                  </w14:solidFill>
                </w14:textFill>
              </w:rPr>
              <w:t>特别</w:t>
            </w:r>
            <w:r>
              <w:rPr>
                <w:rFonts w:hint="eastAsia" w:ascii="Times New Roman" w:hAnsi="Times New Roman" w:eastAsia="宋体" w:cs="Times New Roman"/>
                <w:color w:val="000000" w:themeColor="text1"/>
                <w:sz w:val="24"/>
                <w:szCs w:val="24"/>
                <w:lang w:eastAsia="zh-CN"/>
                <w14:textFill>
                  <w14:solidFill>
                    <w14:schemeClr w14:val="tx1"/>
                  </w14:solidFill>
                </w14:textFill>
              </w:rPr>
              <w:t>排放限值</w:t>
            </w:r>
          </w:p>
        </w:tc>
      </w:tr>
      <w:tr w14:paraId="48F4D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vMerge w:val="restart"/>
            <w:noWrap w:val="0"/>
            <w:vAlign w:val="center"/>
          </w:tcPr>
          <w:p w14:paraId="37A937EC">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地表水环境</w:t>
            </w:r>
          </w:p>
        </w:tc>
        <w:tc>
          <w:tcPr>
            <w:tcW w:w="1501" w:type="dxa"/>
            <w:noWrap w:val="0"/>
            <w:vAlign w:val="center"/>
          </w:tcPr>
          <w:p w14:paraId="5D682B67">
            <w:pPr>
              <w:keepNext w:val="0"/>
              <w:keepLines w:val="0"/>
              <w:pageBreakBefore w:val="0"/>
              <w:widowControl w:val="0"/>
              <w:kinsoku/>
              <w:wordWrap/>
              <w:overflowPunct/>
              <w:topLinePunct w:val="0"/>
              <w:autoSpaceDE/>
              <w:autoSpaceDN/>
              <w:bidi w:val="0"/>
              <w:adjustRightInd w:val="0"/>
              <w:snapToGrid w:val="0"/>
              <w:ind w:left="-63" w:leftChars="-30" w:right="-63" w:rightChars="-30" w:firstLine="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生</w:t>
            </w:r>
            <w:r>
              <w:rPr>
                <w:rFonts w:hint="default" w:ascii="Times New Roman" w:hAnsi="Times New Roman" w:eastAsia="宋体" w:cs="Times New Roman"/>
                <w:color w:val="000000" w:themeColor="text1"/>
                <w:sz w:val="24"/>
                <w:szCs w:val="24"/>
                <w:lang w:eastAsia="zh-CN"/>
                <w14:textFill>
                  <w14:solidFill>
                    <w14:schemeClr w14:val="tx1"/>
                  </w14:solidFill>
                </w14:textFill>
              </w:rPr>
              <w:t>活</w:t>
            </w:r>
            <w:r>
              <w:rPr>
                <w:rFonts w:hint="default" w:ascii="Times New Roman" w:hAnsi="Times New Roman" w:eastAsia="宋体" w:cs="Times New Roman"/>
                <w:color w:val="000000" w:themeColor="text1"/>
                <w:sz w:val="24"/>
                <w:szCs w:val="24"/>
                <w14:textFill>
                  <w14:solidFill>
                    <w14:schemeClr w14:val="tx1"/>
                  </w14:solidFill>
                </w14:textFill>
              </w:rPr>
              <w:t>废水</w:t>
            </w:r>
          </w:p>
        </w:tc>
        <w:tc>
          <w:tcPr>
            <w:tcW w:w="1237" w:type="dxa"/>
            <w:noWrap w:val="0"/>
            <w:vAlign w:val="center"/>
          </w:tcPr>
          <w:p w14:paraId="45B6933B">
            <w:pPr>
              <w:keepNext w:val="0"/>
              <w:keepLines w:val="0"/>
              <w:pageBreakBefore w:val="0"/>
              <w:widowControl w:val="0"/>
              <w:kinsoku/>
              <w:wordWrap/>
              <w:overflowPunct/>
              <w:topLinePunct w:val="0"/>
              <w:autoSpaceDE/>
              <w:autoSpaceDN/>
              <w:bidi w:val="0"/>
              <w:adjustRightInd w:val="0"/>
              <w:snapToGrid w:val="0"/>
              <w:ind w:left="-63" w:leftChars="-30" w:right="-63" w:rightChars="-30" w:firstLine="0" w:firstLineChars="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、NH</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-N、SS</w:t>
            </w:r>
          </w:p>
        </w:tc>
        <w:tc>
          <w:tcPr>
            <w:tcW w:w="1688" w:type="dxa"/>
            <w:noWrap w:val="0"/>
            <w:vAlign w:val="center"/>
          </w:tcPr>
          <w:p w14:paraId="032EEC59">
            <w:pPr>
              <w:keepNext w:val="0"/>
              <w:keepLines w:val="0"/>
              <w:pageBreakBefore w:val="0"/>
              <w:widowControl w:val="0"/>
              <w:kinsoku/>
              <w:wordWrap/>
              <w:overflowPunct/>
              <w:topLinePunct w:val="0"/>
              <w:autoSpaceDE/>
              <w:autoSpaceDN/>
              <w:bidi w:val="0"/>
              <w:adjustRightInd w:val="0"/>
              <w:snapToGrid w:val="0"/>
              <w:ind w:left="-63" w:leftChars="-30" w:right="-63" w:rightChars="-30" w:firstLine="0" w:firstLineChars="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sz w:val="24"/>
                <w14:textFill>
                  <w14:solidFill>
                    <w14:schemeClr w14:val="tx1"/>
                  </w14:solidFill>
                </w14:textFill>
              </w:rPr>
              <w:t>生活污水</w:t>
            </w:r>
            <w:r>
              <w:rPr>
                <w:rFonts w:hint="eastAsia" w:cs="Times New Roman"/>
                <w:snapToGrid w:val="0"/>
                <w:color w:val="000000" w:themeColor="text1"/>
                <w:sz w:val="24"/>
                <w:lang w:val="en-US" w:eastAsia="zh-CN"/>
                <w14:textFill>
                  <w14:solidFill>
                    <w14:schemeClr w14:val="tx1"/>
                  </w14:solidFill>
                </w14:textFill>
              </w:rPr>
              <w:t>排入污水管网，纳入</w:t>
            </w:r>
            <w:r>
              <w:rPr>
                <w:rFonts w:hint="default" w:ascii="Times New Roman" w:hAnsi="Times New Roman" w:eastAsia="宋体" w:cs="Times New Roman"/>
                <w:snapToGrid w:val="0"/>
                <w:color w:val="000000" w:themeColor="text1"/>
                <w:sz w:val="24"/>
                <w14:textFill>
                  <w14:solidFill>
                    <w14:schemeClr w14:val="tx1"/>
                  </w14:solidFill>
                </w14:textFill>
              </w:rPr>
              <w:t>处理厂处理</w:t>
            </w:r>
          </w:p>
        </w:tc>
        <w:tc>
          <w:tcPr>
            <w:tcW w:w="2954" w:type="dxa"/>
            <w:vMerge w:val="restart"/>
            <w:noWrap w:val="0"/>
            <w:vAlign w:val="center"/>
          </w:tcPr>
          <w:p w14:paraId="74E2FE50">
            <w:pPr>
              <w:keepNext w:val="0"/>
              <w:keepLines w:val="0"/>
              <w:pageBreakBefore w:val="0"/>
              <w:widowControl w:val="0"/>
              <w:kinsoku/>
              <w:wordWrap/>
              <w:overflowPunct/>
              <w:topLinePunct w:val="0"/>
              <w:autoSpaceDE/>
              <w:autoSpaceDN/>
              <w:bidi w:val="0"/>
              <w:adjustRightInd w:val="0"/>
              <w:snapToGrid w:val="0"/>
              <w:ind w:left="-63" w:leftChars="-30" w:right="-63" w:rightChars="-30" w:firstLine="0" w:firstLineChars="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《污水综合排放标准》（GB8978-1996）表4中的</w:t>
            </w:r>
            <w:r>
              <w:rPr>
                <w:rFonts w:hint="eastAsia" w:ascii="Times New Roman" w:hAnsi="Times New Roman" w:cs="Times New Roman"/>
                <w:color w:val="000000" w:themeColor="text1"/>
                <w:sz w:val="24"/>
                <w:szCs w:val="24"/>
                <w:lang w:val="en-US" w:eastAsia="zh-CN"/>
                <w14:textFill>
                  <w14:solidFill>
                    <w14:schemeClr w14:val="tx1"/>
                  </w14:solidFill>
                </w14:textFill>
              </w:rPr>
              <w:t>三</w:t>
            </w:r>
            <w:r>
              <w:rPr>
                <w:rFonts w:hint="default" w:ascii="Times New Roman" w:hAnsi="Times New Roman" w:cs="Times New Roman"/>
                <w:color w:val="000000" w:themeColor="text1"/>
                <w:sz w:val="24"/>
                <w:szCs w:val="24"/>
                <w:lang w:val="en-US"/>
                <w14:textFill>
                  <w14:solidFill>
                    <w14:schemeClr w14:val="tx1"/>
                  </w14:solidFill>
                </w14:textFill>
              </w:rPr>
              <w:t>级标准</w:t>
            </w:r>
          </w:p>
        </w:tc>
      </w:tr>
      <w:tr w14:paraId="2B28E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vMerge w:val="continue"/>
            <w:noWrap w:val="0"/>
            <w:vAlign w:val="center"/>
          </w:tcPr>
          <w:p w14:paraId="6EB706A0">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p>
        </w:tc>
        <w:tc>
          <w:tcPr>
            <w:tcW w:w="1501" w:type="dxa"/>
            <w:noWrap w:val="0"/>
            <w:vAlign w:val="center"/>
          </w:tcPr>
          <w:p w14:paraId="432AC91D">
            <w:pPr>
              <w:keepNext w:val="0"/>
              <w:keepLines w:val="0"/>
              <w:pageBreakBefore w:val="0"/>
              <w:widowControl w:val="0"/>
              <w:kinsoku/>
              <w:wordWrap/>
              <w:overflowPunct/>
              <w:topLinePunct w:val="0"/>
              <w:autoSpaceDE/>
              <w:autoSpaceDN/>
              <w:bidi w:val="0"/>
              <w:adjustRightInd w:val="0"/>
              <w:snapToGrid w:val="0"/>
              <w:ind w:left="-63" w:leftChars="-30" w:right="-63" w:rightChars="-30" w:firstLine="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洗车废水</w:t>
            </w:r>
          </w:p>
        </w:tc>
        <w:tc>
          <w:tcPr>
            <w:tcW w:w="1237" w:type="dxa"/>
            <w:noWrap w:val="0"/>
            <w:vAlign w:val="center"/>
          </w:tcPr>
          <w:p w14:paraId="03FD5808">
            <w:pPr>
              <w:keepNext w:val="0"/>
              <w:keepLines w:val="0"/>
              <w:pageBreakBefore w:val="0"/>
              <w:widowControl w:val="0"/>
              <w:kinsoku/>
              <w:wordWrap/>
              <w:overflowPunct/>
              <w:topLinePunct w:val="0"/>
              <w:autoSpaceDE/>
              <w:autoSpaceDN/>
              <w:bidi w:val="0"/>
              <w:adjustRightInd w:val="0"/>
              <w:snapToGrid w:val="0"/>
              <w:ind w:left="-63" w:leftChars="-30" w:right="-63" w:rightChars="-30"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SS、石油类</w:t>
            </w:r>
          </w:p>
        </w:tc>
        <w:tc>
          <w:tcPr>
            <w:tcW w:w="1688" w:type="dxa"/>
            <w:noWrap w:val="0"/>
            <w:vAlign w:val="center"/>
          </w:tcPr>
          <w:p w14:paraId="301D282F">
            <w:pPr>
              <w:keepNext w:val="0"/>
              <w:keepLines w:val="0"/>
              <w:pageBreakBefore w:val="0"/>
              <w:widowControl w:val="0"/>
              <w:kinsoku/>
              <w:wordWrap/>
              <w:overflowPunct/>
              <w:topLinePunct w:val="0"/>
              <w:autoSpaceDE/>
              <w:autoSpaceDN/>
              <w:bidi w:val="0"/>
              <w:adjustRightInd w:val="0"/>
              <w:snapToGrid w:val="0"/>
              <w:ind w:left="-63" w:leftChars="-30" w:right="-63" w:rightChars="-30" w:firstLine="0" w:firstLineChars="0"/>
              <w:jc w:val="center"/>
              <w:textAlignment w:val="auto"/>
              <w:rPr>
                <w:rFonts w:hint="default" w:ascii="Times New Roman" w:hAnsi="Times New Roman" w:eastAsia="宋体" w:cs="Times New Roman"/>
                <w:snapToGrid w:val="0"/>
                <w:color w:val="000000" w:themeColor="text1"/>
                <w:sz w:val="24"/>
                <w:lang w:val="en-US" w:eastAsia="zh-CN"/>
                <w14:textFill>
                  <w14:solidFill>
                    <w14:schemeClr w14:val="tx1"/>
                  </w14:solidFill>
                </w14:textFill>
              </w:rPr>
            </w:pPr>
            <w:r>
              <w:rPr>
                <w:rFonts w:hint="eastAsia" w:cs="Times New Roman"/>
                <w:snapToGrid w:val="0"/>
                <w:color w:val="000000" w:themeColor="text1"/>
                <w:sz w:val="24"/>
                <w:lang w:val="en-US" w:eastAsia="zh-CN"/>
                <w14:textFill>
                  <w14:solidFill>
                    <w14:schemeClr w14:val="tx1"/>
                  </w14:solidFill>
                </w14:textFill>
              </w:rPr>
              <w:t>隔油沉淀池处理后排入污水管网，纳入</w:t>
            </w:r>
            <w:r>
              <w:rPr>
                <w:rFonts w:hint="default" w:ascii="Times New Roman" w:hAnsi="Times New Roman" w:eastAsia="宋体" w:cs="Times New Roman"/>
                <w:snapToGrid w:val="0"/>
                <w:color w:val="000000" w:themeColor="text1"/>
                <w:sz w:val="24"/>
                <w14:textFill>
                  <w14:solidFill>
                    <w14:schemeClr w14:val="tx1"/>
                  </w14:solidFill>
                </w14:textFill>
              </w:rPr>
              <w:t>处理厂处理</w:t>
            </w:r>
          </w:p>
        </w:tc>
        <w:tc>
          <w:tcPr>
            <w:tcW w:w="2954" w:type="dxa"/>
            <w:vMerge w:val="continue"/>
            <w:noWrap w:val="0"/>
            <w:vAlign w:val="center"/>
          </w:tcPr>
          <w:p w14:paraId="3FFDD299">
            <w:pPr>
              <w:keepNext w:val="0"/>
              <w:keepLines w:val="0"/>
              <w:pageBreakBefore w:val="0"/>
              <w:widowControl w:val="0"/>
              <w:kinsoku/>
              <w:wordWrap/>
              <w:overflowPunct/>
              <w:topLinePunct w:val="0"/>
              <w:autoSpaceDE/>
              <w:autoSpaceDN/>
              <w:bidi w:val="0"/>
              <w:adjustRightInd w:val="0"/>
              <w:snapToGrid w:val="0"/>
              <w:ind w:left="-63" w:leftChars="-30" w:right="-63" w:rightChars="-30" w:firstLine="0" w:firstLineChars="0"/>
              <w:jc w:val="center"/>
              <w:textAlignment w:val="auto"/>
              <w:rPr>
                <w:rFonts w:hint="default" w:ascii="Times New Roman" w:hAnsi="Times New Roman" w:cs="Times New Roman"/>
                <w:color w:val="000000" w:themeColor="text1"/>
                <w:sz w:val="24"/>
                <w:szCs w:val="24"/>
                <w:lang w:val="en-US"/>
                <w14:textFill>
                  <w14:solidFill>
                    <w14:schemeClr w14:val="tx1"/>
                  </w14:solidFill>
                </w14:textFill>
              </w:rPr>
            </w:pPr>
          </w:p>
        </w:tc>
      </w:tr>
      <w:tr w14:paraId="00611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noWrap w:val="0"/>
            <w:vAlign w:val="center"/>
          </w:tcPr>
          <w:p w14:paraId="784B85C3">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声环境</w:t>
            </w:r>
          </w:p>
        </w:tc>
        <w:tc>
          <w:tcPr>
            <w:tcW w:w="1501" w:type="dxa"/>
            <w:noWrap w:val="0"/>
            <w:vAlign w:val="center"/>
          </w:tcPr>
          <w:p w14:paraId="379A8BB6">
            <w:pPr>
              <w:keepNext w:val="0"/>
              <w:keepLines w:val="0"/>
              <w:pageBreakBefore w:val="0"/>
              <w:widowControl w:val="0"/>
              <w:kinsoku/>
              <w:wordWrap/>
              <w:bidi w:val="0"/>
              <w:adjustRightInd w:val="0"/>
              <w:snapToGrid w:val="0"/>
              <w:ind w:left="-105" w:leftChars="-50" w:right="-105" w:rightChars="-50"/>
              <w:jc w:val="cente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站内</w:t>
            </w:r>
            <w:r>
              <w:rPr>
                <w:rFonts w:hint="default" w:ascii="Times New Roman" w:hAnsi="Times New Roman" w:eastAsia="宋体" w:cs="Times New Roman"/>
                <w:b w:val="0"/>
                <w:bCs w:val="0"/>
                <w:color w:val="000000" w:themeColor="text1"/>
                <w:sz w:val="24"/>
                <w:szCs w:val="24"/>
                <w14:textFill>
                  <w14:solidFill>
                    <w14:schemeClr w14:val="tx1"/>
                  </w14:solidFill>
                </w14:textFill>
              </w:rPr>
              <w:t>设备</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及进出车辆</w:t>
            </w:r>
          </w:p>
        </w:tc>
        <w:tc>
          <w:tcPr>
            <w:tcW w:w="1237" w:type="dxa"/>
            <w:noWrap w:val="0"/>
            <w:vAlign w:val="center"/>
          </w:tcPr>
          <w:p w14:paraId="05F7B531">
            <w:pPr>
              <w:keepNext w:val="0"/>
              <w:keepLines w:val="0"/>
              <w:pageBreakBefore w:val="0"/>
              <w:widowControl w:val="0"/>
              <w:kinsoku/>
              <w:wordWrap/>
              <w:bidi w:val="0"/>
              <w:adjustRightInd w:val="0"/>
              <w:snapToGrid w:val="0"/>
              <w:ind w:right="-105" w:rightChars="-50"/>
              <w:jc w:val="cente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设备及交通噪声</w:t>
            </w:r>
          </w:p>
        </w:tc>
        <w:tc>
          <w:tcPr>
            <w:tcW w:w="1688" w:type="dxa"/>
            <w:noWrap w:val="0"/>
            <w:vAlign w:val="center"/>
          </w:tcPr>
          <w:p w14:paraId="3E5A97EF">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减震</w:t>
            </w:r>
            <w:r>
              <w:rPr>
                <w:rFonts w:hint="default" w:ascii="Times New Roman" w:hAnsi="Times New Roman" w:eastAsia="宋体" w:cs="Times New Roman"/>
                <w:color w:val="000000" w:themeColor="text1"/>
                <w:sz w:val="24"/>
                <w:szCs w:val="24"/>
                <w14:textFill>
                  <w14:solidFill>
                    <w14:schemeClr w14:val="tx1"/>
                  </w14:solidFill>
                </w14:textFill>
              </w:rPr>
              <w:t>装置，</w:t>
            </w:r>
            <w:r>
              <w:rPr>
                <w:rFonts w:hint="default" w:ascii="Times New Roman" w:hAnsi="Times New Roman" w:eastAsia="宋体" w:cs="Times New Roman"/>
                <w:color w:val="000000" w:themeColor="text1"/>
                <w:sz w:val="24"/>
                <w:szCs w:val="24"/>
                <w:lang w:eastAsia="zh-CN"/>
                <w14:textFill>
                  <w14:solidFill>
                    <w14:schemeClr w14:val="tx1"/>
                  </w14:solidFill>
                </w14:textFill>
              </w:rPr>
              <w:t>进出车辆加强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管理，设置停车场指示牌</w:t>
            </w:r>
          </w:p>
        </w:tc>
        <w:tc>
          <w:tcPr>
            <w:tcW w:w="2954" w:type="dxa"/>
            <w:noWrap w:val="0"/>
            <w:vAlign w:val="center"/>
          </w:tcPr>
          <w:p w14:paraId="511DC103">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《工业企业厂界环境噪声排放标准》（GB12348-2008）中</w:t>
            </w:r>
            <w:r>
              <w:rPr>
                <w:rFonts w:hint="eastAsia"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类标准限值</w:t>
            </w:r>
          </w:p>
        </w:tc>
      </w:tr>
      <w:tr w14:paraId="24B7E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noWrap w:val="0"/>
            <w:vAlign w:val="center"/>
          </w:tcPr>
          <w:p w14:paraId="73E70DD7">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电磁辐射</w:t>
            </w:r>
          </w:p>
        </w:tc>
        <w:tc>
          <w:tcPr>
            <w:tcW w:w="1501" w:type="dxa"/>
            <w:noWrap w:val="0"/>
            <w:vAlign w:val="center"/>
          </w:tcPr>
          <w:p w14:paraId="7A37A554">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w:t>
            </w:r>
          </w:p>
        </w:tc>
        <w:tc>
          <w:tcPr>
            <w:tcW w:w="1237" w:type="dxa"/>
            <w:noWrap w:val="0"/>
            <w:vAlign w:val="center"/>
          </w:tcPr>
          <w:p w14:paraId="6E970031">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w:t>
            </w:r>
          </w:p>
        </w:tc>
        <w:tc>
          <w:tcPr>
            <w:tcW w:w="1688" w:type="dxa"/>
            <w:noWrap w:val="0"/>
            <w:vAlign w:val="center"/>
          </w:tcPr>
          <w:p w14:paraId="29B2C778">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w:t>
            </w:r>
          </w:p>
        </w:tc>
        <w:tc>
          <w:tcPr>
            <w:tcW w:w="2954" w:type="dxa"/>
            <w:noWrap w:val="0"/>
            <w:vAlign w:val="center"/>
          </w:tcPr>
          <w:p w14:paraId="6FC68F32">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w:t>
            </w:r>
          </w:p>
        </w:tc>
      </w:tr>
      <w:tr w14:paraId="0AD8F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noWrap w:val="0"/>
            <w:vAlign w:val="center"/>
          </w:tcPr>
          <w:p w14:paraId="6FAF96B5">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固体废物</w:t>
            </w:r>
          </w:p>
        </w:tc>
        <w:tc>
          <w:tcPr>
            <w:tcW w:w="7380" w:type="dxa"/>
            <w:gridSpan w:val="4"/>
            <w:noWrap w:val="0"/>
            <w:vAlign w:val="center"/>
          </w:tcPr>
          <w:p w14:paraId="372413E5">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项目区生活垃圾</w:t>
            </w:r>
            <w:r>
              <w:rPr>
                <w:rFonts w:hint="eastAsia" w:cs="Times New Roman"/>
                <w:color w:val="000000" w:themeColor="text1"/>
                <w:sz w:val="24"/>
                <w:szCs w:val="24"/>
                <w:lang w:val="en-US" w:eastAsia="zh-CN"/>
                <w14:textFill>
                  <w14:solidFill>
                    <w14:schemeClr w14:val="tx1"/>
                  </w14:solidFill>
                </w14:textFill>
              </w:rPr>
              <w:t>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含油手套和废抹布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站区内封闭式垃圾桶分类集中收集后，由环卫部门统一清运至垃圾填埋场填埋处理；</w:t>
            </w:r>
            <w:r>
              <w:rPr>
                <w:rFonts w:hint="eastAsia" w:cs="Times New Roman"/>
                <w:color w:val="000000" w:themeColor="text1"/>
                <w:sz w:val="24"/>
                <w:szCs w:val="24"/>
                <w:lang w:val="en-US" w:eastAsia="zh-CN"/>
                <w14:textFill>
                  <w14:solidFill>
                    <w14:schemeClr w14:val="tx1"/>
                  </w14:solidFill>
                </w14:textFill>
              </w:rPr>
              <w:t>清罐油泥和隔油池废油，随清随运，不储存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，交有资质单位定期清运处理。</w:t>
            </w:r>
          </w:p>
        </w:tc>
      </w:tr>
      <w:tr w14:paraId="6011F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noWrap w:val="0"/>
            <w:vAlign w:val="center"/>
          </w:tcPr>
          <w:p w14:paraId="609B2A6F">
            <w:pPr>
              <w:keepNext w:val="0"/>
              <w:keepLines w:val="0"/>
              <w:pageBreakBefore w:val="0"/>
              <w:widowControl w:val="0"/>
              <w:wordWrap/>
              <w:bidi w:val="0"/>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土壤及地下水污染防治措施</w:t>
            </w:r>
          </w:p>
        </w:tc>
        <w:tc>
          <w:tcPr>
            <w:tcW w:w="7380" w:type="dxa"/>
            <w:gridSpan w:val="4"/>
            <w:noWrap w:val="0"/>
            <w:vAlign w:val="center"/>
          </w:tcPr>
          <w:p w14:paraId="572DA9CB">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采取源头控制措施</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：加强巡检，加强对防渗工程的检查，及时维修更换老化或损坏的防渗密封材料，对工艺、设备等采取控制措施，防止污染物的跑、冒、滴、漏；②采取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防渗漏措施</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：采用</w:t>
            </w:r>
            <w:r>
              <w:rPr>
                <w:rFonts w:hint="eastAsia" w:cs="Times New Roman"/>
                <w:color w:val="000000" w:themeColor="text1"/>
                <w:sz w:val="24"/>
                <w:szCs w:val="24"/>
                <w:lang w:val="en-US" w:eastAsia="zh-CN"/>
                <w14:textFill>
                  <w14:solidFill>
                    <w14:schemeClr w14:val="tx1"/>
                  </w14:solidFill>
                </w14:textFill>
              </w:rPr>
              <w:t>F</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F双层油罐，设置防腐、防渗处理罐池，形成防油堤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。严格按照</w:t>
            </w:r>
            <w:r>
              <w:rPr>
                <w:rFonts w:hint="eastAsia" w:cs="Times New Roman"/>
                <w:color w:val="000000" w:themeColor="text1"/>
                <w:sz w:val="24"/>
                <w:szCs w:val="24"/>
                <w:lang w:val="en-US" w:eastAsia="zh-CN"/>
                <w14:textFill>
                  <w14:solidFill>
                    <w14:schemeClr w14:val="tx1"/>
                  </w14:solidFill>
                </w14:textFill>
              </w:rPr>
              <w:t>《汽车加油加气加氢站技术标准》（GB50156-2021）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《加油站地下水污染防治技术指南（试行）的通知》（环办水体函〔2017〕323号）及《石油化工工程防渗技术规范》（GB/T50943-2013）要求对站区各处设施进行分区防渗处理</w:t>
            </w:r>
            <w:r>
              <w:rPr>
                <w:rFonts w:hint="eastAsia" w:cs="Times New Roman"/>
                <w:color w:val="000000" w:themeColor="text1"/>
                <w:sz w:val="24"/>
                <w:szCs w:val="24"/>
                <w:lang w:val="en-US" w:eastAsia="zh-CN"/>
                <w14:textFill>
                  <w14:solidFill>
                    <w14:schemeClr w14:val="tx1"/>
                  </w14:solidFill>
                </w14:textFill>
              </w:rPr>
              <w:t>，符合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《储油库、加油站大气污染治理项目验收检测技术规范》（HJ/T431-2008）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的有关规定。</w:t>
            </w:r>
          </w:p>
        </w:tc>
      </w:tr>
      <w:tr w14:paraId="19C022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0" w:type="dxa"/>
            <w:noWrap w:val="0"/>
            <w:vAlign w:val="center"/>
          </w:tcPr>
          <w:p w14:paraId="126E3E9A">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生态保护措施</w:t>
            </w:r>
          </w:p>
        </w:tc>
        <w:tc>
          <w:tcPr>
            <w:tcW w:w="7380" w:type="dxa"/>
            <w:gridSpan w:val="4"/>
            <w:noWrap w:val="0"/>
            <w:vAlign w:val="center"/>
          </w:tcPr>
          <w:p w14:paraId="422EE53B">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项目区绿化，绿化面积</w:t>
            </w:r>
            <w:r>
              <w:rPr>
                <w:rFonts w:hint="eastAsia" w:cs="Times New Roman"/>
                <w:color w:val="000000" w:themeColor="text1"/>
                <w:sz w:val="24"/>
                <w:szCs w:val="24"/>
                <w:lang w:val="en-US" w:eastAsia="zh-CN"/>
                <w14:textFill>
                  <w14:solidFill>
                    <w14:schemeClr w14:val="tx1"/>
                  </w14:solidFill>
                </w14:textFill>
              </w:rPr>
              <w:t>1500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。站内植物不得采用油性植物，加油作业区内不得种植植物。</w:t>
            </w:r>
          </w:p>
        </w:tc>
      </w:tr>
      <w:tr w14:paraId="5B289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noWrap w:val="0"/>
            <w:vAlign w:val="center"/>
          </w:tcPr>
          <w:p w14:paraId="34377B10">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pacing w:val="-8"/>
                <w:sz w:val="24"/>
                <w:szCs w:val="24"/>
                <w14:textFill>
                  <w14:solidFill>
                    <w14:schemeClr w14:val="tx1"/>
                  </w14:solidFill>
                </w14:textFill>
              </w:rPr>
            </w:pPr>
            <w:r>
              <w:rPr>
                <w:rFonts w:hint="default" w:ascii="Times New Roman" w:hAnsi="Times New Roman" w:cs="Times New Roman"/>
                <w:color w:val="000000" w:themeColor="text1"/>
                <w:spacing w:val="-8"/>
                <w:sz w:val="24"/>
                <w:szCs w:val="24"/>
                <w14:textFill>
                  <w14:solidFill>
                    <w14:schemeClr w14:val="tx1"/>
                  </w14:solidFill>
                </w14:textFill>
              </w:rPr>
              <w:t>环境风险</w:t>
            </w:r>
          </w:p>
          <w:p w14:paraId="068F36CC">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pacing w:val="-8"/>
                <w:sz w:val="24"/>
                <w:szCs w:val="24"/>
                <w14:textFill>
                  <w14:solidFill>
                    <w14:schemeClr w14:val="tx1"/>
                  </w14:solidFill>
                </w14:textFill>
              </w:rPr>
            </w:pPr>
            <w:r>
              <w:rPr>
                <w:rFonts w:hint="default" w:ascii="Times New Roman" w:hAnsi="Times New Roman" w:cs="Times New Roman"/>
                <w:color w:val="000000" w:themeColor="text1"/>
                <w:spacing w:val="-8"/>
                <w:sz w:val="24"/>
                <w:szCs w:val="24"/>
                <w14:textFill>
                  <w14:solidFill>
                    <w14:schemeClr w14:val="tx1"/>
                  </w14:solidFill>
                </w14:textFill>
              </w:rPr>
              <w:t>防范措施</w:t>
            </w:r>
          </w:p>
        </w:tc>
        <w:tc>
          <w:tcPr>
            <w:tcW w:w="7380" w:type="dxa"/>
            <w:gridSpan w:val="4"/>
            <w:noWrap w:val="0"/>
            <w:vAlign w:val="center"/>
          </w:tcPr>
          <w:p w14:paraId="12A05598">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①严格按照</w:t>
            </w:r>
            <w:r>
              <w:rPr>
                <w:rFonts w:hint="eastAsia" w:cs="Times New Roman"/>
                <w:color w:val="000000" w:themeColor="text1"/>
                <w:kern w:val="0"/>
                <w:sz w:val="24"/>
                <w:szCs w:val="24"/>
                <w:lang w:val="en-US" w:eastAsia="zh-CN" w:bidi="ar"/>
                <w14:textFill>
                  <w14:solidFill>
                    <w14:schemeClr w14:val="tx1"/>
                  </w14:solidFill>
                </w14:textFill>
              </w:rPr>
              <w:t>《汽车加油加气加氢站技术标准》（GB50156-2021）</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进行设计与施工，主要包括：总布置、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工艺技术设计</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自动控制设计</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严格按照规范的要求进行设计，严格控制各建、构筑物安全防护距离，工艺设备、运输设施及工艺系统选用高质、高效可靠的产品。②按照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消防规范中的防火防爆要求，</w:t>
            </w:r>
            <w:r>
              <w:rPr>
                <w:rFonts w:hint="eastAsia" w:cs="Times New Roman"/>
                <w:color w:val="000000" w:themeColor="text1"/>
                <w:kern w:val="0"/>
                <w:sz w:val="24"/>
                <w:szCs w:val="24"/>
                <w:lang w:val="en-US" w:eastAsia="zh-CN" w:bidi="ar"/>
                <w14:textFill>
                  <w14:solidFill>
                    <w14:schemeClr w14:val="tx1"/>
                  </w14:solidFill>
                </w14:textFill>
              </w:rPr>
              <w:t>《汽车加油加气加氢站技术标准》（GB50156-2021）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及《建筑设计</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防火规范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规范》（GB50140-20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）的有关规定</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设置有效的消防系统，配备消防器材，做到以防为主，安全可靠；③油罐采用防渗漏双层地埋卧式储油罐，并采取源头控制措施、防渗漏措施和分区防治措施；</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在站内可能聚集油品储存的位置，设置性能可靠的可燃气体检测报警装置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；④</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项目区应设置防渗截流沟渠</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等截流措施</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和应急事故池，防止事故状态下，油品或事故废水漫流或下渗对地下水、土壤及周边环境造成影响。</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⑤</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严禁站内吸烟，使用明火；严禁在站内进行车辆检修等产生火花的作业；严禁机动车辆在站内不熄火加油；严禁在站内穿脱、拍打能产生静电的服装；严禁在站内就地排放易燃、易爆物料及化学危险品；严禁在站内使用汽油、易挥发溶剂擦洗设备、衣物、工具及地面等；严禁行人、自行车在站内穿行；严禁非本岗位操作人员操作加油机作业。</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⑥站内员工</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经考核合格后上岗</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加强职工的安全教育，提高安全防范风险的意识</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对易发生泄漏的部位实行定期的巡检制度，及时发现问题，尽快解决</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；闪电或雷击频繁时，应禁止加油作业；停止营业时，应关闭加油机，切断电源，锁好机门；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严格执行防火、防爆、防雷击、防毒害等各项要求</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建立健全安全、环境管理体系，制定严格的安全管理制度。编制应急救援预案，建立应急救援组织，定期进行预案演练。</w:t>
            </w:r>
          </w:p>
        </w:tc>
      </w:tr>
      <w:tr w14:paraId="32C45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1420" w:type="dxa"/>
            <w:noWrap w:val="0"/>
            <w:vAlign w:val="center"/>
          </w:tcPr>
          <w:p w14:paraId="729DBABC">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pacing w:val="-8"/>
                <w:sz w:val="24"/>
                <w:szCs w:val="24"/>
                <w14:textFill>
                  <w14:solidFill>
                    <w14:schemeClr w14:val="tx1"/>
                  </w14:solidFill>
                </w14:textFill>
              </w:rPr>
            </w:pPr>
            <w:r>
              <w:rPr>
                <w:rFonts w:hint="default" w:ascii="Times New Roman" w:hAnsi="Times New Roman" w:cs="Times New Roman"/>
                <w:color w:val="000000" w:themeColor="text1"/>
                <w:spacing w:val="-8"/>
                <w:sz w:val="24"/>
                <w:szCs w:val="24"/>
                <w14:textFill>
                  <w14:solidFill>
                    <w14:schemeClr w14:val="tx1"/>
                  </w14:solidFill>
                </w14:textFill>
              </w:rPr>
              <w:t>其他环境</w:t>
            </w:r>
          </w:p>
          <w:p w14:paraId="70CE7572">
            <w:pPr>
              <w:keepNext w:val="0"/>
              <w:keepLines w:val="0"/>
              <w:pageBreakBefore w:val="0"/>
              <w:widowControl w:val="0"/>
              <w:wordWrap/>
              <w:bidi w:val="0"/>
              <w:adjustRightInd w:val="0"/>
              <w:snapToGrid w:val="0"/>
              <w:jc w:val="center"/>
              <w:rPr>
                <w:rFonts w:hint="default" w:ascii="Times New Roman" w:hAnsi="Times New Roman" w:cs="Times New Roman"/>
                <w:color w:val="000000" w:themeColor="text1"/>
                <w:spacing w:val="-8"/>
                <w:sz w:val="24"/>
                <w:szCs w:val="24"/>
                <w14:textFill>
                  <w14:solidFill>
                    <w14:schemeClr w14:val="tx1"/>
                  </w14:solidFill>
                </w14:textFill>
              </w:rPr>
            </w:pPr>
            <w:r>
              <w:rPr>
                <w:rFonts w:hint="default" w:ascii="Times New Roman" w:hAnsi="Times New Roman" w:cs="Times New Roman"/>
                <w:color w:val="000000" w:themeColor="text1"/>
                <w:spacing w:val="-8"/>
                <w:sz w:val="24"/>
                <w:szCs w:val="24"/>
                <w14:textFill>
                  <w14:solidFill>
                    <w14:schemeClr w14:val="tx1"/>
                  </w14:solidFill>
                </w14:textFill>
              </w:rPr>
              <w:t>管理要求</w:t>
            </w:r>
          </w:p>
        </w:tc>
        <w:tc>
          <w:tcPr>
            <w:tcW w:w="7380" w:type="dxa"/>
            <w:gridSpan w:val="4"/>
            <w:noWrap w:val="0"/>
            <w:vAlign w:val="top"/>
          </w:tcPr>
          <w:p w14:paraId="2E790598">
            <w:pPr>
              <w:keepNext w:val="0"/>
              <w:keepLines w:val="0"/>
              <w:pageBreakBefore w:val="0"/>
              <w:widowControl w:val="0"/>
              <w:kinsoku/>
              <w:wordWrap/>
              <w:overflowPunct w:val="0"/>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000000" w:themeColor="text1"/>
                <w:kern w:val="24"/>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4"/>
                <w:sz w:val="24"/>
                <w:szCs w:val="24"/>
                <w:highlight w:val="none"/>
                <w14:textFill>
                  <w14:solidFill>
                    <w14:schemeClr w14:val="tx1"/>
                  </w14:solidFill>
                </w14:textFill>
              </w:rPr>
              <w:t>5.1</w:t>
            </w:r>
            <w:r>
              <w:rPr>
                <w:rFonts w:hint="default" w:ascii="Times New Roman" w:hAnsi="Times New Roman" w:eastAsia="宋体" w:cs="Times New Roman"/>
                <w:b/>
                <w:bCs/>
                <w:color w:val="000000" w:themeColor="text1"/>
                <w:kern w:val="24"/>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24"/>
                <w:sz w:val="24"/>
                <w:szCs w:val="24"/>
                <w:highlight w:val="none"/>
                <w14:textFill>
                  <w14:solidFill>
                    <w14:schemeClr w14:val="tx1"/>
                  </w14:solidFill>
                </w14:textFill>
              </w:rPr>
              <w:t>排污口规范化</w:t>
            </w:r>
          </w:p>
          <w:p w14:paraId="3767556C">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（1）按照国家相关的规定，应如实向环境管理部门申报排污口数量、位置及所排放的主要污染物或产生公害的种类、数量、浓度、排放去向等情况。</w:t>
            </w:r>
          </w:p>
          <w:p w14:paraId="7BBB0881">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（2）本项目的废水排放口处设立明显的排口标志；</w:t>
            </w:r>
          </w:p>
          <w:p w14:paraId="3B860465">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（3）对于固体废弃物，应当设置暂时贮存或堆放场所，堆放场地或贮存设施必须有防雨水淋洗冲刷、防流失、防渗漏等措施，贮存（堆放）处进路口应设置标志牌。</w:t>
            </w:r>
          </w:p>
          <w:p w14:paraId="79350C1C">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（4）本项目的工程设计在污染物排放口</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源</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设置监测用的采样口，采样口的设计应符合《污染源监测技术规范》要求并便于采样</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检测</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。同时必须按</w:t>
            </w:r>
            <w:r>
              <w:rPr>
                <w:rFonts w:hint="default" w:ascii="Times New Roman" w:hAnsi="Times New Roman" w:eastAsia="宋体" w:cs="Times New Roman"/>
                <w:bCs/>
                <w:color w:val="000000" w:themeColor="text1"/>
                <w:kern w:val="24"/>
                <w:sz w:val="24"/>
                <w:szCs w:val="24"/>
                <w:highlight w:val="none"/>
                <w:lang w:bidi="ar"/>
                <w14:textFill>
                  <w14:solidFill>
                    <w14:schemeClr w14:val="tx1"/>
                  </w14:solidFill>
                </w14:textFill>
              </w:rPr>
              <w:t>环境保护图形标志—固体废物贮存（处置）场》（GB15562.2-1995）</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含2023年修改单</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规定的图形，在各气、水、声排污口（源）挂牌标识，做到各排污口（源）的环保标志明显，便于企业管理和公众监督。</w:t>
            </w:r>
          </w:p>
          <w:p w14:paraId="54EC823F">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kern w:val="24"/>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按照</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24"/>
                <w:sz w:val="24"/>
                <w:szCs w:val="24"/>
                <w:highlight w:val="none"/>
                <w:lang w:bidi="ar"/>
                <w14:textFill>
                  <w14:solidFill>
                    <w14:schemeClr w14:val="tx1"/>
                  </w14:solidFill>
                </w14:textFill>
              </w:rPr>
              <w:t>环境保护图形标志—固体废物贮存（处置）场》（GB15562.2-1995）</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含2023年修改单</w:t>
            </w:r>
            <w:r>
              <w:rPr>
                <w:rFonts w:hint="default" w:ascii="Times New Roman" w:hAnsi="Times New Roman" w:eastAsia="宋体" w:cs="Times New Roman"/>
                <w:color w:val="000000" w:themeColor="text1"/>
                <w:kern w:val="2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中有关规定，在本工程的“三废”及噪声等污染排放点设置明显标志，规范排污口的标志，排放口图形标志见表5-1。</w:t>
            </w:r>
          </w:p>
          <w:p w14:paraId="606654C8">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表5-1  排放口图形标志一览表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2202"/>
              <w:gridCol w:w="2202"/>
              <w:gridCol w:w="2139"/>
            </w:tblGrid>
            <w:tr w14:paraId="77C96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1" w:type="pct"/>
                  <w:tcBorders>
                    <w:tl2br w:val="nil"/>
                    <w:tr2bl w:val="nil"/>
                  </w:tcBorders>
                  <w:noWrap w:val="0"/>
                  <w:vAlign w:val="center"/>
                </w:tcPr>
                <w:p w14:paraId="70BC1BD7">
                  <w:pPr>
                    <w:keepNext w:val="0"/>
                    <w:keepLines w:val="0"/>
                    <w:pageBreakBefore w:val="0"/>
                    <w:widowControl w:val="0"/>
                    <w:kinsoku/>
                    <w:wordWrap/>
                    <w:overflowPunct w:val="0"/>
                    <w:topLinePunct w:val="0"/>
                    <w:autoSpaceDE/>
                    <w:autoSpaceDN/>
                    <w:bidi w:val="0"/>
                    <w:adjustRightInd w:val="0"/>
                    <w:snapToGrid w:val="0"/>
                    <w:jc w:val="cente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排污口</w:t>
                  </w:r>
                </w:p>
              </w:tc>
              <w:tc>
                <w:tcPr>
                  <w:tcW w:w="1537" w:type="pct"/>
                  <w:tcBorders>
                    <w:tl2br w:val="nil"/>
                    <w:tr2bl w:val="nil"/>
                  </w:tcBorders>
                  <w:noWrap w:val="0"/>
                  <w:vAlign w:val="center"/>
                </w:tcPr>
                <w:p w14:paraId="124BD64E">
                  <w:pPr>
                    <w:keepNext w:val="0"/>
                    <w:keepLines w:val="0"/>
                    <w:pageBreakBefore w:val="0"/>
                    <w:widowControl w:val="0"/>
                    <w:kinsoku/>
                    <w:wordWrap/>
                    <w:overflowPunct w:val="0"/>
                    <w:topLinePunct w:val="0"/>
                    <w:autoSpaceDE/>
                    <w:autoSpaceDN/>
                    <w:bidi w:val="0"/>
                    <w:adjustRightInd w:val="0"/>
                    <w:snapToGrid w:val="0"/>
                    <w:jc w:val="cente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废水排放口</w:t>
                  </w:r>
                </w:p>
              </w:tc>
              <w:tc>
                <w:tcPr>
                  <w:tcW w:w="1537" w:type="pct"/>
                  <w:tcBorders>
                    <w:tl2br w:val="nil"/>
                    <w:tr2bl w:val="nil"/>
                  </w:tcBorders>
                  <w:noWrap w:val="0"/>
                  <w:vAlign w:val="center"/>
                </w:tcPr>
                <w:p w14:paraId="335E564A">
                  <w:pPr>
                    <w:keepNext w:val="0"/>
                    <w:keepLines w:val="0"/>
                    <w:pageBreakBefore w:val="0"/>
                    <w:widowControl w:val="0"/>
                    <w:kinsoku/>
                    <w:wordWrap/>
                    <w:overflowPunct w:val="0"/>
                    <w:topLinePunct w:val="0"/>
                    <w:autoSpaceDE/>
                    <w:autoSpaceDN/>
                    <w:bidi w:val="0"/>
                    <w:adjustRightInd w:val="0"/>
                    <w:snapToGrid w:val="0"/>
                    <w:jc w:val="cente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废气排放口</w:t>
                  </w:r>
                </w:p>
              </w:tc>
              <w:tc>
                <w:tcPr>
                  <w:tcW w:w="1493" w:type="pct"/>
                  <w:tcBorders>
                    <w:tl2br w:val="nil"/>
                    <w:tr2bl w:val="nil"/>
                  </w:tcBorders>
                  <w:noWrap w:val="0"/>
                  <w:vAlign w:val="center"/>
                </w:tcPr>
                <w:p w14:paraId="068B2DAA">
                  <w:pPr>
                    <w:keepNext w:val="0"/>
                    <w:keepLines w:val="0"/>
                    <w:pageBreakBefore w:val="0"/>
                    <w:widowControl w:val="0"/>
                    <w:kinsoku/>
                    <w:wordWrap/>
                    <w:overflowPunct w:val="0"/>
                    <w:topLinePunct w:val="0"/>
                    <w:autoSpaceDE/>
                    <w:autoSpaceDN/>
                    <w:bidi w:val="0"/>
                    <w:adjustRightInd w:val="0"/>
                    <w:snapToGrid w:val="0"/>
                    <w:jc w:val="cente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4"/>
                      <w:sz w:val="21"/>
                      <w:szCs w:val="21"/>
                      <w:highlight w:val="none"/>
                      <w14:textFill>
                        <w14:solidFill>
                          <w14:schemeClr w14:val="tx1"/>
                        </w14:solidFill>
                      </w14:textFill>
                    </w:rPr>
                    <w:t>噪声源</w:t>
                  </w:r>
                </w:p>
              </w:tc>
            </w:tr>
            <w:tr w14:paraId="25CA8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431" w:type="pct"/>
                  <w:tcBorders>
                    <w:tl2br w:val="nil"/>
                    <w:tr2bl w:val="nil"/>
                  </w:tcBorders>
                  <w:noWrap w:val="0"/>
                  <w:vAlign w:val="center"/>
                </w:tcPr>
                <w:p w14:paraId="724BA015">
                  <w:pPr>
                    <w:keepNext w:val="0"/>
                    <w:keepLines w:val="0"/>
                    <w:pageBreakBefore w:val="0"/>
                    <w:widowControl w:val="0"/>
                    <w:kinsoku/>
                    <w:wordWrap/>
                    <w:overflowPunct w:val="0"/>
                    <w:topLinePunct w:val="0"/>
                    <w:autoSpaceDE/>
                    <w:autoSpaceDN/>
                    <w:bidi w:val="0"/>
                    <w:adjustRightInd w:val="0"/>
                    <w:snapToGrid w:val="0"/>
                    <w:jc w:val="center"/>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图形</w:t>
                  </w:r>
                </w:p>
                <w:p w14:paraId="1E558B67">
                  <w:pPr>
                    <w:keepNext w:val="0"/>
                    <w:keepLines w:val="0"/>
                    <w:pageBreakBefore w:val="0"/>
                    <w:widowControl w:val="0"/>
                    <w:kinsoku/>
                    <w:wordWrap/>
                    <w:overflowPunct w:val="0"/>
                    <w:topLinePunct w:val="0"/>
                    <w:autoSpaceDE/>
                    <w:autoSpaceDN/>
                    <w:bidi w:val="0"/>
                    <w:adjustRightInd w:val="0"/>
                    <w:snapToGrid w:val="0"/>
                    <w:jc w:val="center"/>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符号</w:t>
                  </w:r>
                </w:p>
              </w:tc>
              <w:tc>
                <w:tcPr>
                  <w:tcW w:w="1537" w:type="pct"/>
                  <w:tcBorders>
                    <w:tl2br w:val="nil"/>
                    <w:tr2bl w:val="nil"/>
                  </w:tcBorders>
                  <w:noWrap w:val="0"/>
                  <w:vAlign w:val="center"/>
                </w:tcPr>
                <w:p w14:paraId="739B3ABC">
                  <w:pPr>
                    <w:keepNext w:val="0"/>
                    <w:keepLines w:val="0"/>
                    <w:pageBreakBefore w:val="0"/>
                    <w:widowControl w:val="0"/>
                    <w:kinsoku/>
                    <w:wordWrap/>
                    <w:overflowPunct w:val="0"/>
                    <w:topLinePunct w:val="0"/>
                    <w:autoSpaceDE/>
                    <w:autoSpaceDN/>
                    <w:bidi w:val="0"/>
                    <w:adjustRightInd w:val="0"/>
                    <w:snapToGrid w:val="0"/>
                    <w:jc w:val="center"/>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drawing>
                      <wp:inline distT="0" distB="0" distL="114300" distR="114300">
                        <wp:extent cx="830580" cy="830580"/>
                        <wp:effectExtent l="0" t="0" r="7620" b="7620"/>
                        <wp:docPr id="2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7"/>
                                <pic:cNvPicPr>
                                  <a:picLocks noChangeAspect="1"/>
                                </pic:cNvPicPr>
                              </pic:nvPicPr>
                              <pic:blipFill>
                                <a:blip r:embed="rId23"/>
                                <a:stretch>
                                  <a:fillRect/>
                                </a:stretch>
                              </pic:blipFill>
                              <pic:spPr>
                                <a:xfrm>
                                  <a:off x="0" y="0"/>
                                  <a:ext cx="830580" cy="830580"/>
                                </a:xfrm>
                                <a:prstGeom prst="rect">
                                  <a:avLst/>
                                </a:prstGeom>
                                <a:noFill/>
                                <a:ln>
                                  <a:noFill/>
                                </a:ln>
                              </pic:spPr>
                            </pic:pic>
                          </a:graphicData>
                        </a:graphic>
                      </wp:inline>
                    </w:drawing>
                  </w:r>
                </w:p>
              </w:tc>
              <w:tc>
                <w:tcPr>
                  <w:tcW w:w="1537" w:type="pct"/>
                  <w:tcBorders>
                    <w:tl2br w:val="nil"/>
                    <w:tr2bl w:val="nil"/>
                  </w:tcBorders>
                  <w:noWrap w:val="0"/>
                  <w:vAlign w:val="center"/>
                </w:tcPr>
                <w:p w14:paraId="496ECCB0">
                  <w:pPr>
                    <w:keepNext w:val="0"/>
                    <w:keepLines w:val="0"/>
                    <w:pageBreakBefore w:val="0"/>
                    <w:widowControl w:val="0"/>
                    <w:kinsoku/>
                    <w:wordWrap/>
                    <w:overflowPunct w:val="0"/>
                    <w:topLinePunct w:val="0"/>
                    <w:autoSpaceDE/>
                    <w:autoSpaceDN/>
                    <w:bidi w:val="0"/>
                    <w:adjustRightInd w:val="0"/>
                    <w:snapToGrid w:val="0"/>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drawing>
                      <wp:inline distT="0" distB="0" distL="114300" distR="114300">
                        <wp:extent cx="830580" cy="830580"/>
                        <wp:effectExtent l="0" t="0" r="7620" b="7620"/>
                        <wp:docPr id="2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8"/>
                                <pic:cNvPicPr>
                                  <a:picLocks noChangeAspect="1"/>
                                </pic:cNvPicPr>
                              </pic:nvPicPr>
                              <pic:blipFill>
                                <a:blip r:embed="rId24"/>
                                <a:stretch>
                                  <a:fillRect/>
                                </a:stretch>
                              </pic:blipFill>
                              <pic:spPr>
                                <a:xfrm>
                                  <a:off x="0" y="0"/>
                                  <a:ext cx="830580" cy="830580"/>
                                </a:xfrm>
                                <a:prstGeom prst="rect">
                                  <a:avLst/>
                                </a:prstGeom>
                                <a:noFill/>
                                <a:ln>
                                  <a:noFill/>
                                </a:ln>
                              </pic:spPr>
                            </pic:pic>
                          </a:graphicData>
                        </a:graphic>
                      </wp:inline>
                    </w:drawing>
                  </w:r>
                </w:p>
              </w:tc>
              <w:tc>
                <w:tcPr>
                  <w:tcW w:w="1493" w:type="pct"/>
                  <w:tcBorders>
                    <w:tl2br w:val="nil"/>
                    <w:tr2bl w:val="nil"/>
                  </w:tcBorders>
                  <w:noWrap w:val="0"/>
                  <w:vAlign w:val="center"/>
                </w:tcPr>
                <w:p w14:paraId="1910BC22">
                  <w:pPr>
                    <w:keepNext w:val="0"/>
                    <w:keepLines w:val="0"/>
                    <w:pageBreakBefore w:val="0"/>
                    <w:widowControl w:val="0"/>
                    <w:kinsoku/>
                    <w:wordWrap/>
                    <w:overflowPunct w:val="0"/>
                    <w:topLinePunct w:val="0"/>
                    <w:autoSpaceDE/>
                    <w:autoSpaceDN/>
                    <w:bidi w:val="0"/>
                    <w:adjustRightInd w:val="0"/>
                    <w:snapToGrid w:val="0"/>
                    <w:jc w:val="center"/>
                    <w:rPr>
                      <w:rFonts w:hint="default" w:ascii="Times New Roman" w:hAnsi="Times New Roman" w:eastAsia="宋体" w:cs="Times New Roman"/>
                      <w:color w:val="000000" w:themeColor="text1"/>
                      <w:kern w:val="24"/>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drawing>
                      <wp:inline distT="0" distB="0" distL="114300" distR="114300">
                        <wp:extent cx="803275" cy="803275"/>
                        <wp:effectExtent l="0" t="0" r="15875" b="15875"/>
                        <wp:docPr id="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9"/>
                                <pic:cNvPicPr>
                                  <a:picLocks noChangeAspect="1"/>
                                </pic:cNvPicPr>
                              </pic:nvPicPr>
                              <pic:blipFill>
                                <a:blip r:embed="rId25"/>
                                <a:stretch>
                                  <a:fillRect/>
                                </a:stretch>
                              </pic:blipFill>
                              <pic:spPr>
                                <a:xfrm>
                                  <a:off x="0" y="0"/>
                                  <a:ext cx="803275" cy="803275"/>
                                </a:xfrm>
                                <a:prstGeom prst="rect">
                                  <a:avLst/>
                                </a:prstGeom>
                                <a:noFill/>
                                <a:ln>
                                  <a:noFill/>
                                </a:ln>
                              </pic:spPr>
                            </pic:pic>
                          </a:graphicData>
                        </a:graphic>
                      </wp:inline>
                    </w:drawing>
                  </w:r>
                </w:p>
              </w:tc>
            </w:tr>
          </w:tbl>
          <w:p w14:paraId="1B55A175">
            <w:pPr>
              <w:keepNext w:val="0"/>
              <w:keepLines w:val="0"/>
              <w:pageBreakBefore w:val="0"/>
              <w:widowControl w:val="0"/>
              <w:suppressLineNumbers w:val="0"/>
              <w:kinsoku/>
              <w:wordWrap/>
              <w:overflowPunct/>
              <w:topLinePunct w:val="0"/>
              <w:autoSpaceDE/>
              <w:autoSpaceDN/>
              <w:bidi w:val="0"/>
              <w:adjustRightInd w:val="0"/>
              <w:snapToGrid w:val="0"/>
              <w:spacing w:line="480" w:lineRule="exact"/>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p>
          <w:p w14:paraId="27E5D4FE">
            <w:pPr>
              <w:pStyle w:val="2"/>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textAlignment w:val="auto"/>
              <w:rPr>
                <w:rFonts w:hint="eastAsia"/>
                <w:color w:val="000000" w:themeColor="text1"/>
                <w:sz w:val="24"/>
                <w:szCs w:val="24"/>
                <w:lang w:val="en-US" w:eastAsia="zh-CN"/>
                <w14:textFill>
                  <w14:solidFill>
                    <w14:schemeClr w14:val="tx1"/>
                  </w14:solidFill>
                </w14:textFill>
              </w:rPr>
            </w:pPr>
          </w:p>
          <w:p w14:paraId="05945D27">
            <w:pPr>
              <w:pStyle w:val="2"/>
              <w:keepNext w:val="0"/>
              <w:keepLines w:val="0"/>
              <w:pageBreakBefore w:val="0"/>
              <w:widowControl w:val="0"/>
              <w:kinsoku/>
              <w:wordWrap/>
              <w:overflowPunct/>
              <w:topLinePunct w:val="0"/>
              <w:autoSpaceDE/>
              <w:autoSpaceDN/>
              <w:bidi w:val="0"/>
              <w:adjustRightInd w:val="0"/>
              <w:snapToGrid w:val="0"/>
              <w:spacing w:line="480" w:lineRule="exact"/>
              <w:ind w:left="0" w:leftChars="0" w:firstLine="0" w:firstLineChars="0"/>
              <w:textAlignment w:val="auto"/>
              <w:rPr>
                <w:rFonts w:hint="default"/>
                <w:color w:val="000000" w:themeColor="text1"/>
                <w:sz w:val="24"/>
                <w:szCs w:val="24"/>
                <w:lang w:val="en-US" w:eastAsia="zh-CN"/>
                <w14:textFill>
                  <w14:solidFill>
                    <w14:schemeClr w14:val="tx1"/>
                  </w14:solidFill>
                </w14:textFill>
              </w:rPr>
            </w:pPr>
          </w:p>
        </w:tc>
      </w:tr>
    </w:tbl>
    <w:p w14:paraId="642FD347">
      <w:pPr>
        <w:pStyle w:val="26"/>
        <w:keepNext w:val="0"/>
        <w:keepLines w:val="0"/>
        <w:pageBreakBefore w:val="0"/>
        <w:widowControl w:val="0"/>
        <w:wordWrap/>
        <w:bidi w:val="0"/>
        <w:adjustRightInd w:val="0"/>
        <w:snapToGrid w:val="0"/>
        <w:jc w:val="center"/>
        <w:outlineLvl w:val="0"/>
        <w:rPr>
          <w:rFonts w:ascii="黑体" w:hAnsi="黑体"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六、结论</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7E78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1873CB6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ascii="宋体" w:cs="宋体"/>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本项目具有较明显的社会经济效益</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所在地环境质量较好，建设单位在严格执行我国建设项目环境保护“三同时制度”、对各项污染防治措施和上述建议切实逐项予以落实、并加强生产和污染治理设施的运行管理、保证各种污染物达标排放的前提下，本项目对周围环境质量影响较小，符合国家、地方的环保标准，因而本项目</w:t>
            </w:r>
            <w:r>
              <w:rPr>
                <w:rFonts w:hint="default" w:ascii="Times New Roman" w:hAnsi="Times New Roman" w:eastAsia="宋体" w:cs="Times New Roman"/>
                <w:snapToGrid w:val="0"/>
                <w:color w:val="000000" w:themeColor="text1"/>
                <w:sz w:val="24"/>
                <w:szCs w:val="24"/>
                <w14:textFill>
                  <w14:solidFill>
                    <w14:schemeClr w14:val="tx1"/>
                  </w14:solidFill>
                </w14:textFill>
              </w:rPr>
              <w:t>从环境保护的角度来看，该项目的建设是合理可行的。</w:t>
            </w:r>
          </w:p>
        </w:tc>
      </w:tr>
    </w:tbl>
    <w:p w14:paraId="26E0892F">
      <w:pPr>
        <w:keepNext w:val="0"/>
        <w:keepLines w:val="0"/>
        <w:pageBreakBefore w:val="0"/>
        <w:widowControl w:val="0"/>
        <w:wordWrap/>
        <w:bidi w:val="0"/>
        <w:adjustRightInd w:val="0"/>
        <w:snapToGrid w:val="0"/>
        <w:rPr>
          <w:rFonts w:ascii="宋体"/>
          <w:color w:val="000000" w:themeColor="text1"/>
          <w14:textFill>
            <w14:solidFill>
              <w14:schemeClr w14:val="tx1"/>
            </w14:solidFill>
          </w14:textFill>
        </w:rPr>
        <w:sectPr>
          <w:pgSz w:w="11906" w:h="16838"/>
          <w:pgMar w:top="1531" w:right="1531" w:bottom="153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46753F7E">
      <w:pPr>
        <w:pStyle w:val="26"/>
        <w:keepNext w:val="0"/>
        <w:keepLines w:val="0"/>
        <w:pageBreakBefore w:val="0"/>
        <w:widowControl w:val="0"/>
        <w:wordWrap/>
        <w:bidi w:val="0"/>
        <w:adjustRightInd w:val="0"/>
        <w:snapToGrid w:val="0"/>
        <w:spacing w:before="0" w:beforeAutospacing="0" w:after="0" w:afterAutospacing="0" w:line="648" w:lineRule="auto"/>
        <w:outlineLvl w:val="0"/>
        <w:rPr>
          <w:rFonts w:ascii="黑体" w:hAnsi="黑体" w:eastAsia="黑体"/>
          <w:snapToGrid w:val="0"/>
          <w:color w:val="000000" w:themeColor="text1"/>
          <w:sz w:val="32"/>
          <w:szCs w:val="32"/>
          <w14:textFill>
            <w14:solidFill>
              <w14:schemeClr w14:val="tx1"/>
            </w14:solidFill>
          </w14:textFill>
        </w:rPr>
      </w:pPr>
      <w:r>
        <w:rPr>
          <w:rFonts w:hint="eastAsia" w:ascii="黑体" w:hAnsi="黑体" w:eastAsia="黑体"/>
          <w:snapToGrid w:val="0"/>
          <w:color w:val="000000" w:themeColor="text1"/>
          <w:sz w:val="32"/>
          <w:szCs w:val="32"/>
          <w14:textFill>
            <w14:solidFill>
              <w14:schemeClr w14:val="tx1"/>
            </w14:solidFill>
          </w14:textFill>
        </w:rPr>
        <w:t>附表</w:t>
      </w:r>
    </w:p>
    <w:p w14:paraId="45D91AF5">
      <w:pPr>
        <w:pStyle w:val="26"/>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Fonts w:hint="eastAsia" w:ascii="方正小标宋_GBK" w:hAnsi="黑体" w:eastAsia="方正小标宋_GBK"/>
          <w:snapToGrid w:val="0"/>
          <w:color w:val="000000" w:themeColor="text1"/>
          <w:sz w:val="38"/>
          <w:szCs w:val="38"/>
          <w14:textFill>
            <w14:solidFill>
              <w14:schemeClr w14:val="tx1"/>
            </w14:solidFill>
          </w14:textFill>
        </w:rPr>
      </w:pPr>
      <w:r>
        <w:rPr>
          <w:rFonts w:hint="eastAsia" w:ascii="方正小标宋_GBK" w:hAnsi="黑体" w:eastAsia="方正小标宋_GBK"/>
          <w:snapToGrid w:val="0"/>
          <w:color w:val="000000" w:themeColor="text1"/>
          <w:sz w:val="38"/>
          <w:szCs w:val="38"/>
          <w14:textFill>
            <w14:solidFill>
              <w14:schemeClr w14:val="tx1"/>
            </w14:solidFill>
          </w14:textFill>
        </w:rPr>
        <w:t>建设项目污染物排放量汇总表</w:t>
      </w:r>
    </w:p>
    <w:tbl>
      <w:tblPr>
        <w:tblStyle w:val="31"/>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708"/>
        <w:gridCol w:w="709"/>
        <w:gridCol w:w="1701"/>
        <w:gridCol w:w="1276"/>
        <w:gridCol w:w="1701"/>
        <w:gridCol w:w="1559"/>
        <w:gridCol w:w="1761"/>
        <w:gridCol w:w="1598"/>
        <w:gridCol w:w="1187"/>
      </w:tblGrid>
      <w:tr w14:paraId="5275B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tcBorders>
              <w:tl2br w:val="single" w:color="auto" w:sz="4" w:space="0"/>
            </w:tcBorders>
            <w:noWrap w:val="0"/>
            <w:tcMar>
              <w:left w:w="28" w:type="dxa"/>
              <w:right w:w="28" w:type="dxa"/>
            </w:tcMar>
            <w:vAlign w:val="center"/>
          </w:tcPr>
          <w:p w14:paraId="316BE164">
            <w:pPr>
              <w:pStyle w:val="62"/>
              <w:keepNext w:val="0"/>
              <w:keepLines w:val="0"/>
              <w:pageBreakBefore w:val="0"/>
              <w:widowControl w:val="0"/>
              <w:wordWrap/>
              <w:bidi w:val="0"/>
              <w:adjustRightInd w:val="0"/>
              <w:snapToGrid w:val="0"/>
              <w:spacing w:beforeLines="0" w:afterLines="0" w:line="240" w:lineRule="auto"/>
              <w:jc w:val="right"/>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项目</w:t>
            </w:r>
          </w:p>
          <w:p w14:paraId="42C82359">
            <w:pPr>
              <w:pStyle w:val="62"/>
              <w:keepNext w:val="0"/>
              <w:keepLines w:val="0"/>
              <w:pageBreakBefore w:val="0"/>
              <w:widowControl w:val="0"/>
              <w:wordWrap/>
              <w:bidi w:val="0"/>
              <w:adjustRightInd w:val="0"/>
              <w:snapToGrid w:val="0"/>
              <w:spacing w:beforeLines="0" w:afterLines="0" w:line="240" w:lineRule="auto"/>
              <w:jc w:val="left"/>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分类</w:t>
            </w:r>
          </w:p>
        </w:tc>
        <w:tc>
          <w:tcPr>
            <w:tcW w:w="1417" w:type="dxa"/>
            <w:gridSpan w:val="2"/>
            <w:noWrap w:val="0"/>
            <w:tcMar>
              <w:left w:w="28" w:type="dxa"/>
              <w:right w:w="28" w:type="dxa"/>
            </w:tcMar>
            <w:vAlign w:val="center"/>
          </w:tcPr>
          <w:p w14:paraId="0FAA3973">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污染物名称</w:t>
            </w:r>
          </w:p>
        </w:tc>
        <w:tc>
          <w:tcPr>
            <w:tcW w:w="1701" w:type="dxa"/>
            <w:noWrap w:val="0"/>
            <w:tcMar>
              <w:left w:w="28" w:type="dxa"/>
              <w:right w:w="28" w:type="dxa"/>
            </w:tcMar>
            <w:vAlign w:val="center"/>
          </w:tcPr>
          <w:p w14:paraId="179026EB">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现有工程排放量（固体废物产生量）</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276" w:type="dxa"/>
            <w:noWrap w:val="0"/>
            <w:tcMar>
              <w:left w:w="28" w:type="dxa"/>
              <w:right w:w="28" w:type="dxa"/>
            </w:tcMar>
            <w:vAlign w:val="center"/>
          </w:tcPr>
          <w:p w14:paraId="411D06FF">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现有工程许可排放量</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701" w:type="dxa"/>
            <w:noWrap w:val="0"/>
            <w:tcMar>
              <w:left w:w="28" w:type="dxa"/>
              <w:right w:w="28" w:type="dxa"/>
            </w:tcMar>
            <w:vAlign w:val="center"/>
          </w:tcPr>
          <w:p w14:paraId="09DD829D">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在建工程排放量（固体废物产生量）</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559" w:type="dxa"/>
            <w:noWrap w:val="0"/>
            <w:tcMar>
              <w:left w:w="28" w:type="dxa"/>
              <w:right w:w="28" w:type="dxa"/>
            </w:tcMar>
            <w:vAlign w:val="center"/>
          </w:tcPr>
          <w:p w14:paraId="524BF68B">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本项目排放量（固体废物产生量）</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761" w:type="dxa"/>
            <w:noWrap w:val="0"/>
            <w:tcMar>
              <w:left w:w="28" w:type="dxa"/>
              <w:right w:w="28" w:type="dxa"/>
            </w:tcMar>
            <w:vAlign w:val="center"/>
          </w:tcPr>
          <w:p w14:paraId="53B872AE">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以新带老削减量（新建项目不填）</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p>
        </w:tc>
        <w:tc>
          <w:tcPr>
            <w:tcW w:w="1598" w:type="dxa"/>
            <w:noWrap w:val="0"/>
            <w:tcMar>
              <w:left w:w="28" w:type="dxa"/>
              <w:right w:w="28" w:type="dxa"/>
            </w:tcMar>
            <w:vAlign w:val="center"/>
          </w:tcPr>
          <w:p w14:paraId="3C9905A8">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本项目建成后全厂排放量（固体废物产生量）</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p>
        </w:tc>
        <w:tc>
          <w:tcPr>
            <w:tcW w:w="1187" w:type="dxa"/>
            <w:noWrap w:val="0"/>
            <w:tcMar>
              <w:left w:w="28" w:type="dxa"/>
              <w:right w:w="28" w:type="dxa"/>
            </w:tcMar>
            <w:vAlign w:val="center"/>
          </w:tcPr>
          <w:p w14:paraId="3C8980E8">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变化量</w:t>
            </w:r>
          </w:p>
          <w:p w14:paraId="4435833A">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r>
      <w:tr w14:paraId="6E4C1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noWrap w:val="0"/>
            <w:vAlign w:val="center"/>
          </w:tcPr>
          <w:p w14:paraId="482B03DC">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废气</w:t>
            </w:r>
          </w:p>
        </w:tc>
        <w:tc>
          <w:tcPr>
            <w:tcW w:w="708" w:type="dxa"/>
            <w:vMerge w:val="restart"/>
            <w:noWrap w:val="0"/>
            <w:vAlign w:val="center"/>
          </w:tcPr>
          <w:p w14:paraId="4BEFC4AA">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t>非甲烷总烃</w:t>
            </w:r>
          </w:p>
        </w:tc>
        <w:tc>
          <w:tcPr>
            <w:tcW w:w="709" w:type="dxa"/>
            <w:noWrap w:val="0"/>
            <w:vAlign w:val="center"/>
          </w:tcPr>
          <w:p w14:paraId="6620ADB2">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有组织</w:t>
            </w:r>
          </w:p>
        </w:tc>
        <w:tc>
          <w:tcPr>
            <w:tcW w:w="1701" w:type="dxa"/>
            <w:noWrap w:val="0"/>
            <w:vAlign w:val="center"/>
          </w:tcPr>
          <w:p w14:paraId="6CF6B440">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69E65B3C">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5D3445D1">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29580AA7">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0.342t/a</w:t>
            </w:r>
          </w:p>
        </w:tc>
        <w:tc>
          <w:tcPr>
            <w:tcW w:w="1761" w:type="dxa"/>
            <w:noWrap w:val="0"/>
            <w:vAlign w:val="center"/>
          </w:tcPr>
          <w:p w14:paraId="5F43CD9F">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98" w:type="dxa"/>
            <w:noWrap w:val="0"/>
            <w:vAlign w:val="center"/>
          </w:tcPr>
          <w:p w14:paraId="680165D2">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0.342t/a</w:t>
            </w:r>
          </w:p>
        </w:tc>
        <w:tc>
          <w:tcPr>
            <w:tcW w:w="1187" w:type="dxa"/>
            <w:noWrap w:val="0"/>
            <w:vAlign w:val="center"/>
          </w:tcPr>
          <w:p w14:paraId="668F6F89">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+0.342/a</w:t>
            </w:r>
          </w:p>
        </w:tc>
      </w:tr>
      <w:tr w14:paraId="6D391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14:paraId="05BE9CDA">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708" w:type="dxa"/>
            <w:vMerge w:val="continue"/>
            <w:noWrap w:val="0"/>
            <w:vAlign w:val="center"/>
          </w:tcPr>
          <w:p w14:paraId="62F65625">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pPr>
          </w:p>
        </w:tc>
        <w:tc>
          <w:tcPr>
            <w:tcW w:w="709" w:type="dxa"/>
            <w:noWrap w:val="0"/>
            <w:vAlign w:val="center"/>
          </w:tcPr>
          <w:p w14:paraId="3D04718F">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无组织</w:t>
            </w:r>
          </w:p>
        </w:tc>
        <w:tc>
          <w:tcPr>
            <w:tcW w:w="1701" w:type="dxa"/>
            <w:noWrap w:val="0"/>
            <w:vAlign w:val="center"/>
          </w:tcPr>
          <w:p w14:paraId="5128DD0E">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4A3FD34A">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5E7771AF">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2747B24E">
            <w:pPr>
              <w:keepNext w:val="0"/>
              <w:keepLines w:val="0"/>
              <w:pageBreakBefore w:val="0"/>
              <w:widowControl w:val="0"/>
              <w:wordWrap/>
              <w:bidi w:val="0"/>
              <w:adjustRightInd w:val="0"/>
              <w:snapToGrid w:val="0"/>
              <w:spacing w:beforeLines="0" w:afterLines="0" w:line="240" w:lineRule="auto"/>
              <w:jc w:val="center"/>
              <w:rPr>
                <w:rFonts w:hint="default"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2.9t/a</w:t>
            </w:r>
          </w:p>
        </w:tc>
        <w:tc>
          <w:tcPr>
            <w:tcW w:w="1761" w:type="dxa"/>
            <w:noWrap w:val="0"/>
            <w:vAlign w:val="center"/>
          </w:tcPr>
          <w:p w14:paraId="54123255">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p>
        </w:tc>
        <w:tc>
          <w:tcPr>
            <w:tcW w:w="1598" w:type="dxa"/>
            <w:noWrap w:val="0"/>
            <w:vAlign w:val="center"/>
          </w:tcPr>
          <w:p w14:paraId="1F07E3FF">
            <w:pPr>
              <w:keepNext w:val="0"/>
              <w:keepLines w:val="0"/>
              <w:pageBreakBefore w:val="0"/>
              <w:widowControl w:val="0"/>
              <w:wordWrap/>
              <w:bidi w:val="0"/>
              <w:adjustRightInd w:val="0"/>
              <w:snapToGrid w:val="0"/>
              <w:spacing w:beforeLines="0" w:afterLines="0" w:line="240" w:lineRule="auto"/>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2.9t/a</w:t>
            </w:r>
          </w:p>
        </w:tc>
        <w:tc>
          <w:tcPr>
            <w:tcW w:w="1187" w:type="dxa"/>
            <w:noWrap w:val="0"/>
            <w:vAlign w:val="center"/>
          </w:tcPr>
          <w:p w14:paraId="2CE60FD7">
            <w:pPr>
              <w:keepNext w:val="0"/>
              <w:keepLines w:val="0"/>
              <w:pageBreakBefore w:val="0"/>
              <w:widowControl w:val="0"/>
              <w:wordWrap/>
              <w:bidi w:val="0"/>
              <w:adjustRightInd w:val="0"/>
              <w:snapToGrid w:val="0"/>
              <w:spacing w:beforeLines="0" w:afterLines="0" w:line="240" w:lineRule="auto"/>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+2.9t/a</w:t>
            </w:r>
          </w:p>
        </w:tc>
      </w:tr>
      <w:tr w14:paraId="1B659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noWrap w:val="0"/>
            <w:vAlign w:val="center"/>
          </w:tcPr>
          <w:p w14:paraId="5AF39596">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废水</w:t>
            </w:r>
          </w:p>
        </w:tc>
        <w:tc>
          <w:tcPr>
            <w:tcW w:w="1417" w:type="dxa"/>
            <w:gridSpan w:val="2"/>
            <w:noWrap w:val="0"/>
            <w:vAlign w:val="center"/>
          </w:tcPr>
          <w:p w14:paraId="09B88081">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COD</w:t>
            </w:r>
          </w:p>
        </w:tc>
        <w:tc>
          <w:tcPr>
            <w:tcW w:w="1701" w:type="dxa"/>
            <w:noWrap w:val="0"/>
            <w:vAlign w:val="center"/>
          </w:tcPr>
          <w:p w14:paraId="53330858">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2D50D0E0">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1BC4BD5E">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560A1452">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0.269t/a</w:t>
            </w:r>
          </w:p>
        </w:tc>
        <w:tc>
          <w:tcPr>
            <w:tcW w:w="1761" w:type="dxa"/>
            <w:noWrap w:val="0"/>
            <w:vAlign w:val="center"/>
          </w:tcPr>
          <w:p w14:paraId="6FF5E0AC">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98" w:type="dxa"/>
            <w:noWrap w:val="0"/>
            <w:vAlign w:val="center"/>
          </w:tcPr>
          <w:p w14:paraId="6EA7F4B7">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0.269t/a</w:t>
            </w:r>
          </w:p>
        </w:tc>
        <w:tc>
          <w:tcPr>
            <w:tcW w:w="1187" w:type="dxa"/>
            <w:noWrap w:val="0"/>
            <w:vAlign w:val="center"/>
          </w:tcPr>
          <w:p w14:paraId="07A2C0DE">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+0.269t/a</w:t>
            </w:r>
          </w:p>
        </w:tc>
      </w:tr>
      <w:tr w14:paraId="67031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14:paraId="597A9FC8">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color w:val="000000" w:themeColor="text1"/>
                <w14:textFill>
                  <w14:solidFill>
                    <w14:schemeClr w14:val="tx1"/>
                  </w14:solidFill>
                </w14:textFill>
              </w:rPr>
            </w:pPr>
          </w:p>
        </w:tc>
        <w:tc>
          <w:tcPr>
            <w:tcW w:w="1417" w:type="dxa"/>
            <w:gridSpan w:val="2"/>
            <w:noWrap w:val="0"/>
            <w:vAlign w:val="center"/>
          </w:tcPr>
          <w:p w14:paraId="49D2DCAF">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BOD</w:t>
            </w:r>
            <w:r>
              <w:rPr>
                <w:rFonts w:hint="default" w:ascii="Times New Roman" w:hAnsi="Times New Roman" w:eastAsia="宋体" w:cs="Times New Roman"/>
                <w:snapToGrid w:val="0"/>
                <w:color w:val="000000" w:themeColor="text1"/>
                <w:kern w:val="21"/>
                <w:szCs w:val="21"/>
                <w:vertAlign w:val="subscript"/>
                <w:lang w:val="en-US" w:eastAsia="zh-CN"/>
                <w14:textFill>
                  <w14:solidFill>
                    <w14:schemeClr w14:val="tx1"/>
                  </w14:solidFill>
                </w14:textFill>
              </w:rPr>
              <w:t>5</w:t>
            </w:r>
          </w:p>
        </w:tc>
        <w:tc>
          <w:tcPr>
            <w:tcW w:w="1701" w:type="dxa"/>
            <w:noWrap w:val="0"/>
            <w:vAlign w:val="center"/>
          </w:tcPr>
          <w:p w14:paraId="3A2956E7">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1F510F9D">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4730F3BC">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1DF34469">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0.175t/a</w:t>
            </w:r>
          </w:p>
        </w:tc>
        <w:tc>
          <w:tcPr>
            <w:tcW w:w="1761" w:type="dxa"/>
            <w:noWrap w:val="0"/>
            <w:vAlign w:val="center"/>
          </w:tcPr>
          <w:p w14:paraId="224DB91D">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98" w:type="dxa"/>
            <w:noWrap w:val="0"/>
            <w:vAlign w:val="center"/>
          </w:tcPr>
          <w:p w14:paraId="519B20CF">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0.175t/a</w:t>
            </w:r>
          </w:p>
        </w:tc>
        <w:tc>
          <w:tcPr>
            <w:tcW w:w="1187" w:type="dxa"/>
            <w:noWrap w:val="0"/>
            <w:vAlign w:val="center"/>
          </w:tcPr>
          <w:p w14:paraId="5B481D0F">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+0.175t/a</w:t>
            </w:r>
          </w:p>
        </w:tc>
      </w:tr>
      <w:tr w14:paraId="79395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14:paraId="5132308B">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417" w:type="dxa"/>
            <w:gridSpan w:val="2"/>
            <w:noWrap w:val="0"/>
            <w:vAlign w:val="center"/>
          </w:tcPr>
          <w:p w14:paraId="34B65BB9">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SS</w:t>
            </w:r>
          </w:p>
        </w:tc>
        <w:tc>
          <w:tcPr>
            <w:tcW w:w="1701" w:type="dxa"/>
            <w:noWrap w:val="0"/>
            <w:vAlign w:val="center"/>
          </w:tcPr>
          <w:p w14:paraId="330AC4C3">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778BC269">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6647543B">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043F77FE">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0.178t/a</w:t>
            </w:r>
          </w:p>
        </w:tc>
        <w:tc>
          <w:tcPr>
            <w:tcW w:w="1761" w:type="dxa"/>
            <w:noWrap w:val="0"/>
            <w:vAlign w:val="center"/>
          </w:tcPr>
          <w:p w14:paraId="0E5DA9A8">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98" w:type="dxa"/>
            <w:noWrap w:val="0"/>
            <w:vAlign w:val="center"/>
          </w:tcPr>
          <w:p w14:paraId="492B1120">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0.178t/a</w:t>
            </w:r>
          </w:p>
        </w:tc>
        <w:tc>
          <w:tcPr>
            <w:tcW w:w="1187" w:type="dxa"/>
            <w:noWrap w:val="0"/>
            <w:vAlign w:val="center"/>
          </w:tcPr>
          <w:p w14:paraId="14A1FA77">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+0.178t/a</w:t>
            </w:r>
          </w:p>
        </w:tc>
      </w:tr>
      <w:tr w14:paraId="13581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14:paraId="3B87EC78">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417" w:type="dxa"/>
            <w:gridSpan w:val="2"/>
            <w:noWrap w:val="0"/>
            <w:vAlign w:val="center"/>
          </w:tcPr>
          <w:p w14:paraId="651B7636">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NH</w:t>
            </w:r>
            <w:r>
              <w:rPr>
                <w:rFonts w:hint="default" w:ascii="Times New Roman" w:hAnsi="Times New Roman" w:eastAsia="宋体" w:cs="Times New Roman"/>
                <w:snapToGrid w:val="0"/>
                <w:color w:val="000000" w:themeColor="text1"/>
                <w:kern w:val="21"/>
                <w:szCs w:val="21"/>
                <w:vertAlign w:val="sub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-N</w:t>
            </w:r>
          </w:p>
        </w:tc>
        <w:tc>
          <w:tcPr>
            <w:tcW w:w="1701" w:type="dxa"/>
            <w:noWrap w:val="0"/>
            <w:vAlign w:val="center"/>
          </w:tcPr>
          <w:p w14:paraId="080BA155">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1651D476">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1E040F0E">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2941F95F">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0.029</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761" w:type="dxa"/>
            <w:noWrap w:val="0"/>
            <w:vAlign w:val="center"/>
          </w:tcPr>
          <w:p w14:paraId="530AF17B">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98" w:type="dxa"/>
            <w:noWrap w:val="0"/>
            <w:vAlign w:val="center"/>
          </w:tcPr>
          <w:p w14:paraId="773B85F3">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0.029</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187" w:type="dxa"/>
            <w:noWrap w:val="0"/>
            <w:vAlign w:val="center"/>
          </w:tcPr>
          <w:p w14:paraId="74E79AD9">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+0.029</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14:paraId="18A9A2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14:paraId="5DE472BA">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417" w:type="dxa"/>
            <w:gridSpan w:val="2"/>
            <w:noWrap w:val="0"/>
            <w:vAlign w:val="center"/>
          </w:tcPr>
          <w:p w14:paraId="373FB6B0">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石油类</w:t>
            </w:r>
          </w:p>
        </w:tc>
        <w:tc>
          <w:tcPr>
            <w:tcW w:w="1701" w:type="dxa"/>
            <w:shd w:val="clear" w:color="auto" w:fill="auto"/>
            <w:noWrap w:val="0"/>
            <w:vAlign w:val="center"/>
          </w:tcPr>
          <w:p w14:paraId="4E856C32">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276" w:type="dxa"/>
            <w:shd w:val="clear" w:color="auto" w:fill="auto"/>
            <w:noWrap w:val="0"/>
            <w:vAlign w:val="center"/>
          </w:tcPr>
          <w:p w14:paraId="180C4442">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701" w:type="dxa"/>
            <w:shd w:val="clear" w:color="auto" w:fill="auto"/>
            <w:noWrap w:val="0"/>
            <w:vAlign w:val="center"/>
          </w:tcPr>
          <w:p w14:paraId="6F26E3E7">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58AB6ABF">
            <w:pPr>
              <w:pStyle w:val="62"/>
              <w:keepNext w:val="0"/>
              <w:keepLines w:val="0"/>
              <w:pageBreakBefore w:val="0"/>
              <w:widowControl w:val="0"/>
              <w:wordWrap/>
              <w:bidi w:val="0"/>
              <w:adjustRightInd w:val="0"/>
              <w:snapToGrid w:val="0"/>
              <w:spacing w:beforeLines="0" w:afterLines="0" w:line="240" w:lineRule="auto"/>
              <w:rPr>
                <w:rFonts w:hint="default" w:asci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0.0002t/a</w:t>
            </w:r>
          </w:p>
        </w:tc>
        <w:tc>
          <w:tcPr>
            <w:tcW w:w="1761" w:type="dxa"/>
            <w:shd w:val="clear" w:color="auto" w:fill="auto"/>
            <w:noWrap w:val="0"/>
            <w:vAlign w:val="center"/>
          </w:tcPr>
          <w:p w14:paraId="7D52298E">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98" w:type="dxa"/>
            <w:shd w:val="clear" w:color="auto" w:fill="auto"/>
            <w:noWrap w:val="0"/>
            <w:vAlign w:val="center"/>
          </w:tcPr>
          <w:p w14:paraId="6284910B">
            <w:pPr>
              <w:keepNext w:val="0"/>
              <w:keepLines w:val="0"/>
              <w:pageBreakBefore w:val="0"/>
              <w:widowControl w:val="0"/>
              <w:wordWrap/>
              <w:bidi w:val="0"/>
              <w:adjustRightInd w:val="0"/>
              <w:snapToGrid w:val="0"/>
              <w:spacing w:beforeLines="0" w:afterLines="0" w:line="240" w:lineRule="auto"/>
              <w:jc w:val="center"/>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0.000</w:t>
            </w:r>
            <w:r>
              <w:rPr>
                <w:rFonts w:hint="eastAsia" w:cs="Times New Roman"/>
                <w:snapToGrid w:val="0"/>
                <w:color w:val="000000" w:themeColor="text1"/>
                <w:kern w:val="21"/>
                <w:szCs w:val="21"/>
                <w:lang w:val="en-US" w:eastAsia="zh-CN"/>
                <w14:textFill>
                  <w14:solidFill>
                    <w14:schemeClr w14:val="tx1"/>
                  </w14:solidFill>
                </w14:textFill>
              </w:rPr>
              <w:t>2</w:t>
            </w:r>
            <w:r>
              <w:rPr>
                <w:rFonts w:hint="eastAsia" w:ascii="Times New Roman" w:cs="Times New Roman"/>
                <w:snapToGrid w:val="0"/>
                <w:color w:val="000000" w:themeColor="text1"/>
                <w:kern w:val="21"/>
                <w:szCs w:val="21"/>
                <w:lang w:val="en-US" w:eastAsia="zh-CN"/>
                <w14:textFill>
                  <w14:solidFill>
                    <w14:schemeClr w14:val="tx1"/>
                  </w14:solidFill>
                </w14:textFill>
              </w:rPr>
              <w:t>t/a</w:t>
            </w:r>
          </w:p>
        </w:tc>
        <w:tc>
          <w:tcPr>
            <w:tcW w:w="1187" w:type="dxa"/>
            <w:shd w:val="clear" w:color="auto" w:fill="auto"/>
            <w:noWrap w:val="0"/>
            <w:vAlign w:val="center"/>
          </w:tcPr>
          <w:p w14:paraId="1D4BC32C">
            <w:pPr>
              <w:keepNext w:val="0"/>
              <w:keepLines w:val="0"/>
              <w:pageBreakBefore w:val="0"/>
              <w:widowControl w:val="0"/>
              <w:wordWrap/>
              <w:bidi w:val="0"/>
              <w:adjustRightInd w:val="0"/>
              <w:snapToGrid w:val="0"/>
              <w:spacing w:beforeLines="0" w:afterLines="0" w:line="240" w:lineRule="auto"/>
              <w:jc w:val="center"/>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+0.000</w:t>
            </w:r>
            <w:r>
              <w:rPr>
                <w:rFonts w:hint="eastAsia" w:cs="Times New Roman"/>
                <w:snapToGrid w:val="0"/>
                <w:color w:val="000000" w:themeColor="text1"/>
                <w:kern w:val="21"/>
                <w:szCs w:val="21"/>
                <w:lang w:val="en-US" w:eastAsia="zh-CN"/>
                <w14:textFill>
                  <w14:solidFill>
                    <w14:schemeClr w14:val="tx1"/>
                  </w14:solidFill>
                </w14:textFill>
              </w:rPr>
              <w:t>2</w:t>
            </w:r>
            <w:r>
              <w:rPr>
                <w:rFonts w:hint="eastAsia" w:ascii="Times New Roman" w:cs="Times New Roman"/>
                <w:snapToGrid w:val="0"/>
                <w:color w:val="000000" w:themeColor="text1"/>
                <w:kern w:val="21"/>
                <w:szCs w:val="21"/>
                <w:lang w:val="en-US" w:eastAsia="zh-CN"/>
                <w14:textFill>
                  <w14:solidFill>
                    <w14:schemeClr w14:val="tx1"/>
                  </w14:solidFill>
                </w14:textFill>
              </w:rPr>
              <w:t>t/a</w:t>
            </w:r>
          </w:p>
        </w:tc>
      </w:tr>
      <w:tr w14:paraId="2A314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noWrap w:val="0"/>
            <w:vAlign w:val="center"/>
          </w:tcPr>
          <w:p w14:paraId="18789ECC">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一般工业</w:t>
            </w:r>
          </w:p>
          <w:p w14:paraId="4FA90516">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固体废物</w:t>
            </w:r>
          </w:p>
        </w:tc>
        <w:tc>
          <w:tcPr>
            <w:tcW w:w="1417" w:type="dxa"/>
            <w:gridSpan w:val="2"/>
            <w:noWrap w:val="0"/>
            <w:vAlign w:val="center"/>
          </w:tcPr>
          <w:p w14:paraId="0D03C058">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t>生活</w:t>
            </w:r>
            <w:r>
              <w:rPr>
                <w:rFonts w:hint="eastAsia" w:ascii="Times New Roman" w:cs="Times New Roman"/>
                <w:snapToGrid w:val="0"/>
                <w:color w:val="000000" w:themeColor="text1"/>
                <w:kern w:val="21"/>
                <w:szCs w:val="21"/>
                <w:lang w:val="en-US" w:eastAsia="zh-CN"/>
                <w14:textFill>
                  <w14:solidFill>
                    <w14:schemeClr w14:val="tx1"/>
                  </w14:solidFill>
                </w14:textFill>
              </w:rPr>
              <w:t>垃圾</w:t>
            </w:r>
          </w:p>
        </w:tc>
        <w:tc>
          <w:tcPr>
            <w:tcW w:w="1701" w:type="dxa"/>
            <w:noWrap w:val="0"/>
            <w:vAlign w:val="center"/>
          </w:tcPr>
          <w:p w14:paraId="47139153">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1F5F78D0">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1A550C73">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6B7C2999">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9.125t/a</w:t>
            </w:r>
          </w:p>
        </w:tc>
        <w:tc>
          <w:tcPr>
            <w:tcW w:w="1761" w:type="dxa"/>
            <w:noWrap w:val="0"/>
            <w:vAlign w:val="center"/>
          </w:tcPr>
          <w:p w14:paraId="2BD6647F">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98" w:type="dxa"/>
            <w:noWrap w:val="0"/>
            <w:vAlign w:val="center"/>
          </w:tcPr>
          <w:p w14:paraId="36C19B63">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9.125t/a</w:t>
            </w:r>
          </w:p>
        </w:tc>
        <w:tc>
          <w:tcPr>
            <w:tcW w:w="1187" w:type="dxa"/>
            <w:noWrap w:val="0"/>
            <w:vAlign w:val="center"/>
          </w:tcPr>
          <w:p w14:paraId="4C08051C">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+9.125t/a</w:t>
            </w:r>
          </w:p>
        </w:tc>
      </w:tr>
      <w:tr w14:paraId="299C3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noWrap w:val="0"/>
            <w:vAlign w:val="center"/>
          </w:tcPr>
          <w:p w14:paraId="14EF2E41">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危险废物</w:t>
            </w:r>
          </w:p>
        </w:tc>
        <w:tc>
          <w:tcPr>
            <w:tcW w:w="1417" w:type="dxa"/>
            <w:gridSpan w:val="2"/>
            <w:noWrap w:val="0"/>
            <w:vAlign w:val="center"/>
          </w:tcPr>
          <w:p w14:paraId="5961F643">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t>含油手套和抹布</w:t>
            </w:r>
          </w:p>
        </w:tc>
        <w:tc>
          <w:tcPr>
            <w:tcW w:w="1701" w:type="dxa"/>
            <w:noWrap w:val="0"/>
            <w:vAlign w:val="center"/>
          </w:tcPr>
          <w:p w14:paraId="1F1AAB98">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7339A22A">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58EFFDBB">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43E938AF">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0.01t/a</w:t>
            </w:r>
          </w:p>
        </w:tc>
        <w:tc>
          <w:tcPr>
            <w:tcW w:w="1761" w:type="dxa"/>
            <w:noWrap w:val="0"/>
            <w:vAlign w:val="center"/>
          </w:tcPr>
          <w:p w14:paraId="05DF16BA">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98" w:type="dxa"/>
            <w:noWrap w:val="0"/>
            <w:vAlign w:val="center"/>
          </w:tcPr>
          <w:p w14:paraId="640DB329">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0.01t/a</w:t>
            </w:r>
          </w:p>
        </w:tc>
        <w:tc>
          <w:tcPr>
            <w:tcW w:w="1187" w:type="dxa"/>
            <w:noWrap w:val="0"/>
            <w:vAlign w:val="center"/>
          </w:tcPr>
          <w:p w14:paraId="38DF6E0F">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+0.01t/a</w:t>
            </w:r>
          </w:p>
        </w:tc>
      </w:tr>
      <w:tr w14:paraId="6DD33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14:paraId="37B7A704">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gridSpan w:val="2"/>
            <w:noWrap w:val="0"/>
            <w:vAlign w:val="center"/>
          </w:tcPr>
          <w:p w14:paraId="645DDE09">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隔油池废油</w:t>
            </w:r>
          </w:p>
        </w:tc>
        <w:tc>
          <w:tcPr>
            <w:tcW w:w="1701" w:type="dxa"/>
            <w:noWrap w:val="0"/>
            <w:vAlign w:val="center"/>
          </w:tcPr>
          <w:p w14:paraId="309F20CE">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1469A6FE">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6386BDB6">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6B3A6C6F">
            <w:pPr>
              <w:pStyle w:val="62"/>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w:t>
            </w:r>
            <w:r>
              <w:rPr>
                <w:rFonts w:hint="eastAsia" w:ascii="Times New Roman" w:cs="Times New Roman"/>
                <w:color w:val="000000" w:themeColor="text1"/>
                <w:lang w:val="en-US" w:eastAsia="zh-CN"/>
                <w14:textFill>
                  <w14:solidFill>
                    <w14:schemeClr w14:val="tx1"/>
                  </w14:solidFill>
                </w14:textFill>
              </w:rPr>
              <w:t>04</w:t>
            </w:r>
            <w:r>
              <w:rPr>
                <w:rFonts w:hint="default" w:ascii="Times New Roman" w:hAnsi="Times New Roman" w:eastAsia="宋体" w:cs="Times New Roman"/>
                <w:color w:val="000000" w:themeColor="text1"/>
                <w:lang w:val="en-US" w:eastAsia="zh-CN"/>
                <w14:textFill>
                  <w14:solidFill>
                    <w14:schemeClr w14:val="tx1"/>
                  </w14:solidFill>
                </w14:textFill>
              </w:rPr>
              <w:t>t/a</w:t>
            </w:r>
          </w:p>
        </w:tc>
        <w:tc>
          <w:tcPr>
            <w:tcW w:w="1761" w:type="dxa"/>
            <w:noWrap w:val="0"/>
            <w:vAlign w:val="center"/>
          </w:tcPr>
          <w:p w14:paraId="742CE245">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98" w:type="dxa"/>
            <w:noWrap w:val="0"/>
            <w:vAlign w:val="center"/>
          </w:tcPr>
          <w:p w14:paraId="6379DD59">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w:t>
            </w:r>
            <w:r>
              <w:rPr>
                <w:rFonts w:hint="eastAsia" w:ascii="Times New Roman" w:cs="Times New Roman"/>
                <w:color w:val="000000" w:themeColor="text1"/>
                <w:lang w:val="en-US" w:eastAsia="zh-CN"/>
                <w14:textFill>
                  <w14:solidFill>
                    <w14:schemeClr w14:val="tx1"/>
                  </w14:solidFill>
                </w14:textFill>
              </w:rPr>
              <w:t>04</w:t>
            </w:r>
            <w:r>
              <w:rPr>
                <w:rFonts w:hint="default" w:ascii="Times New Roman" w:hAnsi="Times New Roman" w:eastAsia="宋体" w:cs="Times New Roman"/>
                <w:color w:val="000000" w:themeColor="text1"/>
                <w:lang w:val="en-US" w:eastAsia="zh-CN"/>
                <w14:textFill>
                  <w14:solidFill>
                    <w14:schemeClr w14:val="tx1"/>
                  </w14:solidFill>
                </w14:textFill>
              </w:rPr>
              <w:t>t/a</w:t>
            </w:r>
          </w:p>
        </w:tc>
        <w:tc>
          <w:tcPr>
            <w:tcW w:w="1187" w:type="dxa"/>
            <w:noWrap w:val="0"/>
            <w:vAlign w:val="center"/>
          </w:tcPr>
          <w:p w14:paraId="41CA94FC">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0.0</w:t>
            </w:r>
            <w:r>
              <w:rPr>
                <w:rFonts w:hint="eastAsia" w:ascii="Times New Roman" w:cs="Times New Roman"/>
                <w:color w:val="000000" w:themeColor="text1"/>
                <w:lang w:val="en-US" w:eastAsia="zh-CN"/>
                <w14:textFill>
                  <w14:solidFill>
                    <w14:schemeClr w14:val="tx1"/>
                  </w14:solidFill>
                </w14:textFill>
              </w:rPr>
              <w:t>04</w:t>
            </w:r>
            <w:r>
              <w:rPr>
                <w:rFonts w:hint="default" w:ascii="Times New Roman" w:hAnsi="Times New Roman" w:eastAsia="宋体" w:cs="Times New Roman"/>
                <w:color w:val="000000" w:themeColor="text1"/>
                <w:lang w:val="en-US" w:eastAsia="zh-CN"/>
                <w14:textFill>
                  <w14:solidFill>
                    <w14:schemeClr w14:val="tx1"/>
                  </w14:solidFill>
                </w14:textFill>
              </w:rPr>
              <w:t>t/a</w:t>
            </w:r>
          </w:p>
        </w:tc>
      </w:tr>
      <w:tr w14:paraId="798F2B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588" w:type="dxa"/>
            <w:vMerge w:val="continue"/>
            <w:noWrap w:val="0"/>
            <w:vAlign w:val="center"/>
          </w:tcPr>
          <w:p w14:paraId="78CEA24A">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gridSpan w:val="2"/>
            <w:noWrap w:val="0"/>
            <w:vAlign w:val="center"/>
          </w:tcPr>
          <w:p w14:paraId="3551772B">
            <w:pPr>
              <w:pStyle w:val="62"/>
              <w:keepNext w:val="0"/>
              <w:keepLines w:val="0"/>
              <w:pageBreakBefore w:val="0"/>
              <w:widowControl w:val="0"/>
              <w:wordWrap/>
              <w:bidi w:val="0"/>
              <w:adjustRightInd w:val="0"/>
              <w:snapToGrid w:val="0"/>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清罐油泥</w:t>
            </w:r>
          </w:p>
        </w:tc>
        <w:tc>
          <w:tcPr>
            <w:tcW w:w="1701" w:type="dxa"/>
            <w:noWrap w:val="0"/>
            <w:vAlign w:val="center"/>
          </w:tcPr>
          <w:p w14:paraId="1D071ED5">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276" w:type="dxa"/>
            <w:noWrap w:val="0"/>
            <w:vAlign w:val="center"/>
          </w:tcPr>
          <w:p w14:paraId="174FF27F">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701" w:type="dxa"/>
            <w:noWrap w:val="0"/>
            <w:vAlign w:val="center"/>
          </w:tcPr>
          <w:p w14:paraId="2E4C5C52">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59" w:type="dxa"/>
            <w:noWrap w:val="0"/>
            <w:vAlign w:val="center"/>
          </w:tcPr>
          <w:p w14:paraId="27A89F19">
            <w:pPr>
              <w:pStyle w:val="62"/>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0.3t/3a</w:t>
            </w:r>
          </w:p>
        </w:tc>
        <w:tc>
          <w:tcPr>
            <w:tcW w:w="1761" w:type="dxa"/>
            <w:noWrap w:val="0"/>
            <w:vAlign w:val="center"/>
          </w:tcPr>
          <w:p w14:paraId="3990B6BC">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598" w:type="dxa"/>
            <w:noWrap w:val="0"/>
            <w:vAlign w:val="center"/>
          </w:tcPr>
          <w:p w14:paraId="284E2160">
            <w:pPr>
              <w:keepNext w:val="0"/>
              <w:keepLines w:val="0"/>
              <w:pageBreakBefore w:val="0"/>
              <w:widowControl w:val="0"/>
              <w:wordWrap/>
              <w:bidi w:val="0"/>
              <w:adjustRightInd w:val="0"/>
              <w:snapToGrid w:val="0"/>
              <w:spacing w:beforeLines="0" w:afterLines="0"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0.3t/3a</w:t>
            </w:r>
          </w:p>
        </w:tc>
        <w:tc>
          <w:tcPr>
            <w:tcW w:w="1187" w:type="dxa"/>
            <w:noWrap w:val="0"/>
            <w:vAlign w:val="center"/>
          </w:tcPr>
          <w:p w14:paraId="44851D4E">
            <w:pPr>
              <w:keepNext w:val="0"/>
              <w:keepLines w:val="0"/>
              <w:pageBreakBefore w:val="0"/>
              <w:widowControl w:val="0"/>
              <w:wordWrap/>
              <w:bidi w:val="0"/>
              <w:adjustRightInd w:val="0"/>
              <w:snapToGrid w:val="0"/>
              <w:spacing w:beforeLines="0" w:afterLines="0"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cs="Times New Roman"/>
                <w:color w:val="000000" w:themeColor="text1"/>
                <w:lang w:val="en-US" w:eastAsia="zh-CN"/>
                <w14:textFill>
                  <w14:solidFill>
                    <w14:schemeClr w14:val="tx1"/>
                  </w14:solidFill>
                </w14:textFill>
              </w:rPr>
              <w:t>+0.3t/3a</w:t>
            </w:r>
          </w:p>
        </w:tc>
      </w:tr>
    </w:tbl>
    <w:p w14:paraId="1C601DA5">
      <w:pPr>
        <w:pStyle w:val="62"/>
        <w:keepNext w:val="0"/>
        <w:keepLines w:val="0"/>
        <w:pageBreakBefore w:val="0"/>
        <w:widowControl w:val="0"/>
        <w:wordWrap/>
        <w:bidi w:val="0"/>
        <w:adjustRightInd w:val="0"/>
        <w:snapToGrid w:val="0"/>
        <w:spacing w:before="192" w:beforeLines="80" w:after="24"/>
        <w:jc w:val="left"/>
        <w:rPr>
          <w:rFonts w:ascii="宋体" w:hAnsi="宋体" w:eastAsia="黑体"/>
          <w:color w:val="000000" w:themeColor="text1"/>
          <w14:textFill>
            <w14:solidFill>
              <w14:schemeClr w14:val="tx1"/>
            </w14:solidFill>
          </w14:textFill>
        </w:rPr>
      </w:pPr>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3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4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5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7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B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7390B2E-8A13-4301-B654-65E635BFF0A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1EEB94F0-CAA7-4C88-A4DE-55323552B1A3}"/>
  </w:font>
  <w:font w:name="仿宋_GB2312">
    <w:panose1 w:val="02010609030101010101"/>
    <w:charset w:val="86"/>
    <w:family w:val="modern"/>
    <w:pitch w:val="default"/>
    <w:sig w:usb0="00000001" w:usb1="080E0000" w:usb2="00000000" w:usb3="00000000" w:csb0="00040000" w:csb1="00000000"/>
    <w:embedRegular r:id="rId3" w:fontKey="{9E738433-813B-44B9-9F68-20AAE86082AA}"/>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embedRegular r:id="rId4" w:fontKey="{4E4DC416-26EA-4E7E-B864-E6E5D47BAD43}"/>
  </w:font>
  <w:font w:name="楷体_GB2312">
    <w:panose1 w:val="02010609030101010101"/>
    <w:charset w:val="86"/>
    <w:family w:val="modern"/>
    <w:pitch w:val="default"/>
    <w:sig w:usb0="00000001" w:usb1="080E0000" w:usb2="00000000" w:usb3="00000000" w:csb0="00040000" w:csb1="00000000"/>
    <w:embedRegular r:id="rId5" w:fontKey="{0AFC43DC-B80E-43B5-8689-6727D8B0DD58}"/>
  </w:font>
  <w:font w:name="方正仿宋_GBK">
    <w:panose1 w:val="02000000000000000000"/>
    <w:charset w:val="86"/>
    <w:family w:val="auto"/>
    <w:pitch w:val="default"/>
    <w:sig w:usb0="A00002BF" w:usb1="38CF7CFA" w:usb2="00082016" w:usb3="00000000" w:csb0="00040001" w:csb1="00000000"/>
    <w:embedRegular r:id="rId6" w:fontKey="{7A9A54A2-61B2-4F2E-BEDF-85237F459E54}"/>
  </w:font>
  <w:font w:name="华文仿宋">
    <w:panose1 w:val="02010600040101010101"/>
    <w:charset w:val="86"/>
    <w:family w:val="auto"/>
    <w:pitch w:val="default"/>
    <w:sig w:usb0="00000287" w:usb1="080F0000" w:usb2="00000000" w:usb3="00000000" w:csb0="0004009F" w:csb1="DFD70000"/>
    <w:embedRegular r:id="rId7" w:fontKey="{62B7BE97-3152-4D57-8375-CED9400B5458}"/>
  </w:font>
  <w:font w:name="仿宋">
    <w:panose1 w:val="02010609060101010101"/>
    <w:charset w:val="86"/>
    <w:family w:val="modern"/>
    <w:pitch w:val="default"/>
    <w:sig w:usb0="800002BF" w:usb1="38CF7CFA" w:usb2="00000016" w:usb3="00000000" w:csb0="00040001" w:csb1="00000000"/>
    <w:embedRegular r:id="rId8" w:fontKey="{A5C642E2-8CED-4C03-A8B7-4D26A92CA9F5}"/>
  </w:font>
  <w:font w:name="方正仿宋_GB2312">
    <w:panose1 w:val="02000000000000000000"/>
    <w:charset w:val="86"/>
    <w:family w:val="auto"/>
    <w:pitch w:val="default"/>
    <w:sig w:usb0="A00002BF" w:usb1="184F6CFA" w:usb2="00000012" w:usb3="00000000" w:csb0="00040001" w:csb1="00000000"/>
    <w:embedRegular r:id="rId9" w:fontKey="{26F0B323-7A13-4E27-A710-F21B270A7188}"/>
  </w:font>
  <w:font w:name="方正小标宋_GBK">
    <w:panose1 w:val="02000000000000000000"/>
    <w:charset w:val="86"/>
    <w:family w:val="script"/>
    <w:pitch w:val="default"/>
    <w:sig w:usb0="A00002BF" w:usb1="38CF7CFA" w:usb2="00082016" w:usb3="00000000" w:csb0="00040001" w:csb1="00000000"/>
    <w:embedRegular r:id="rId10" w:fontKey="{1F233616-949A-4EE1-A0CF-BCE7103A02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CE1E5">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82FEF">
    <w:pPr>
      <w:pStyle w:val="20"/>
      <w:framePr w:wrap="around" w:vAnchor="text" w:hAnchor="margin" w:xAlign="center" w:y="1"/>
      <w:rPr>
        <w:rStyle w:val="35"/>
      </w:rPr>
    </w:pPr>
    <w:r>
      <w:fldChar w:fldCharType="begin"/>
    </w:r>
    <w:r>
      <w:rPr>
        <w:rStyle w:val="35"/>
      </w:rPr>
      <w:instrText xml:space="preserve">PAGE  </w:instrText>
    </w:r>
    <w:r>
      <w:fldChar w:fldCharType="end"/>
    </w:r>
  </w:p>
  <w:p w14:paraId="0471FD99">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A66B1">
    <w:pPr>
      <w:pStyle w:val="20"/>
      <w:ind w:right="360" w:firstLine="360"/>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CD2278">
                          <w:pPr>
                            <w:pStyle w:val="20"/>
                          </w:pPr>
                          <w:r>
                            <w:fldChar w:fldCharType="begin"/>
                          </w:r>
                          <w:r>
                            <w:instrText xml:space="preserve"> PAGE  \* MERGEFORMAT </w:instrText>
                          </w:r>
                          <w:r>
                            <w:fldChar w:fldCharType="separate"/>
                          </w:r>
                          <w:r>
                            <w:t>5</w:t>
                          </w:r>
                          <w:r>
                            <w:fldChar w:fldCharType="end"/>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XSBheuIBAADCAwAADgAA&#10;AAAAAAABACAAAAAeAQAAZHJzL2Uyb0RvYy54bWxQSwUGAAAAAAYABgBZAQAAcgUAAAAA&#10;">
              <v:fill on="f" focussize="0,0"/>
              <v:stroke on="f"/>
              <v:imagedata o:title=""/>
              <o:lock v:ext="edit" aspectratio="f"/>
              <v:textbox inset="0mm,0mm,0mm,0mm" style="mso-fit-shape-to-text:t;">
                <w:txbxContent>
                  <w:p w14:paraId="48CD2278">
                    <w:pPr>
                      <w:pStyle w:val="20"/>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3A43B">
    <w:pPr>
      <w:pStyle w:val="20"/>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8945EC">
                          <w:pPr>
                            <w:pStyle w:val="20"/>
                          </w:pPr>
                          <w:r>
                            <w:fldChar w:fldCharType="begin"/>
                          </w:r>
                          <w:r>
                            <w:instrText xml:space="preserve"> PAGE  \* MERGEFORMAT </w:instrText>
                          </w:r>
                          <w:r>
                            <w:fldChar w:fldCharType="separate"/>
                          </w:r>
                          <w:r>
                            <w:t>53</w:t>
                          </w:r>
                          <w:r>
                            <w:fldChar w:fldCharType="end"/>
                          </w:r>
                        </w:p>
                      </w:txbxContent>
                    </wps:txbx>
                    <wps:bodyPr vert="horz" wrap="none" lIns="0" tIns="0" rIns="0" bIns="0" anchor="t" anchorCtr="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Wd/pE4QEAAMIDAAAOAAAA&#10;AAAAAAEAIAAAAB4BAABkcnMvZTJvRG9jLnhtbFBLBQYAAAAABgAGAFkBAABxBQAAAAA=&#10;">
              <v:fill on="f" focussize="0,0"/>
              <v:stroke on="f"/>
              <v:imagedata o:title=""/>
              <o:lock v:ext="edit" aspectratio="f"/>
              <v:textbox inset="0mm,0mm,0mm,0mm" style="mso-fit-shape-to-text:t;">
                <w:txbxContent>
                  <w:p w14:paraId="218945EC">
                    <w:pPr>
                      <w:pStyle w:val="20"/>
                    </w:pPr>
                    <w:r>
                      <w:fldChar w:fldCharType="begin"/>
                    </w:r>
                    <w:r>
                      <w:instrText xml:space="preserve"> PAGE  \* MERGEFORMAT </w:instrText>
                    </w:r>
                    <w:r>
                      <w:fldChar w:fldCharType="separate"/>
                    </w:r>
                    <w:r>
                      <w:t>53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2ED88"/>
    <w:multiLevelType w:val="singleLevel"/>
    <w:tmpl w:val="80A2ED88"/>
    <w:lvl w:ilvl="0" w:tentative="0">
      <w:start w:val="1"/>
      <w:numFmt w:val="decimal"/>
      <w:pStyle w:val="16"/>
      <w:lvlText w:val="%1."/>
      <w:lvlJc w:val="left"/>
      <w:pPr>
        <w:tabs>
          <w:tab w:val="left" w:pos="2040"/>
        </w:tabs>
        <w:ind w:left="2040" w:hanging="360"/>
      </w:pPr>
    </w:lvl>
  </w:abstractNum>
  <w:abstractNum w:abstractNumId="1">
    <w:nsid w:val="A9C98BBA"/>
    <w:multiLevelType w:val="singleLevel"/>
    <w:tmpl w:val="A9C98BBA"/>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2">
    <w:nsid w:val="764765B4"/>
    <w:multiLevelType w:val="multilevel"/>
    <w:tmpl w:val="764765B4"/>
    <w:lvl w:ilvl="0" w:tentative="0">
      <w:start w:val="1"/>
      <w:numFmt w:val="decimal"/>
      <w:lvlText w:val="%1."/>
      <w:lvlJc w:val="left"/>
      <w:pPr>
        <w:tabs>
          <w:tab w:val="left" w:pos="360"/>
        </w:tabs>
        <w:ind w:left="0" w:firstLine="0"/>
      </w:pPr>
      <w:rPr>
        <w:rFonts w:hint="default" w:ascii="Times New Roman" w:hAnsi="Times New Roman" w:eastAsia="黑体" w:cs="Times New Roman"/>
        <w:b w:val="0"/>
        <w:i w:val="0"/>
        <w:sz w:val="28"/>
        <w:szCs w:val="28"/>
      </w:rPr>
    </w:lvl>
    <w:lvl w:ilvl="1" w:tentative="0">
      <w:start w:val="1"/>
      <w:numFmt w:val="decimal"/>
      <w:lvlText w:val="%1.%2"/>
      <w:lvlJc w:val="left"/>
      <w:pPr>
        <w:tabs>
          <w:tab w:val="left" w:pos="720"/>
        </w:tabs>
        <w:ind w:left="0" w:firstLine="0"/>
      </w:pPr>
      <w:rPr>
        <w:rFonts w:hint="eastAsia" w:ascii="宋体" w:eastAsia="宋体"/>
        <w:b w:val="0"/>
        <w:i w:val="0"/>
        <w:kern w:val="16"/>
        <w:sz w:val="28"/>
      </w:rPr>
    </w:lvl>
    <w:lvl w:ilvl="2" w:tentative="0">
      <w:start w:val="1"/>
      <w:numFmt w:val="decimal"/>
      <w:pStyle w:val="7"/>
      <w:lvlText w:val="%1.%2.%3"/>
      <w:lvlJc w:val="left"/>
      <w:pPr>
        <w:tabs>
          <w:tab w:val="left" w:pos="720"/>
        </w:tabs>
        <w:ind w:left="0" w:firstLine="0"/>
      </w:pPr>
      <w:rPr>
        <w:rFonts w:hint="eastAsia" w:ascii="宋体" w:eastAsia="宋体"/>
        <w:b w:val="0"/>
        <w:i w:val="0"/>
        <w:sz w:val="28"/>
      </w:rPr>
    </w:lvl>
    <w:lvl w:ilvl="3" w:tentative="0">
      <w:start w:val="1"/>
      <w:numFmt w:val="decimal"/>
      <w:lvlText w:val="%1.%2.%3.%4"/>
      <w:lvlJc w:val="left"/>
      <w:pPr>
        <w:tabs>
          <w:tab w:val="left" w:pos="1080"/>
        </w:tabs>
        <w:ind w:left="0" w:firstLine="0"/>
      </w:pPr>
      <w:rPr>
        <w:rFonts w:hint="eastAsia"/>
      </w:rPr>
    </w:lvl>
    <w:lvl w:ilvl="4" w:tentative="0">
      <w:start w:val="1"/>
      <w:numFmt w:val="decimal"/>
      <w:lvlText w:val="(%5) "/>
      <w:lvlJc w:val="left"/>
      <w:pPr>
        <w:tabs>
          <w:tab w:val="left" w:pos="567"/>
        </w:tabs>
        <w:ind w:left="567" w:hanging="567"/>
      </w:pPr>
      <w:rPr>
        <w:rFonts w:hint="eastAsia" w:ascii="宋体" w:eastAsia="宋体"/>
        <w:b w:val="0"/>
        <w:i w:val="0"/>
        <w:sz w:val="28"/>
      </w:rPr>
    </w:lvl>
    <w:lvl w:ilvl="5" w:tentative="0">
      <w:start w:val="1"/>
      <w:numFmt w:val="decimal"/>
      <w:lvlText w:val="%1.%2.%3.%4.%5.%6"/>
      <w:lvlJc w:val="left"/>
      <w:pPr>
        <w:tabs>
          <w:tab w:val="left" w:pos="1800"/>
        </w:tabs>
        <w:ind w:left="1152" w:hanging="1152"/>
      </w:pPr>
      <w:rPr>
        <w:rFonts w:hint="eastAsia"/>
      </w:rPr>
    </w:lvl>
    <w:lvl w:ilvl="6" w:tentative="0">
      <w:start w:val="1"/>
      <w:numFmt w:val="decimal"/>
      <w:lvlText w:val="%1.%2.%3.%4.%5.%6.%7"/>
      <w:lvlJc w:val="left"/>
      <w:pPr>
        <w:tabs>
          <w:tab w:val="left" w:pos="1800"/>
        </w:tabs>
        <w:ind w:left="1296" w:hanging="1296"/>
      </w:pPr>
      <w:rPr>
        <w:rFonts w:hint="eastAsia"/>
      </w:rPr>
    </w:lvl>
    <w:lvl w:ilvl="7" w:tentative="0">
      <w:start w:val="1"/>
      <w:numFmt w:val="decimal"/>
      <w:lvlText w:val="%1.%2.%3.%4.%5.%6.%7.%8"/>
      <w:lvlJc w:val="left"/>
      <w:pPr>
        <w:tabs>
          <w:tab w:val="left" w:pos="2160"/>
        </w:tabs>
        <w:ind w:left="1440" w:hanging="1440"/>
      </w:pPr>
      <w:rPr>
        <w:rFonts w:hint="eastAsia"/>
      </w:rPr>
    </w:lvl>
    <w:lvl w:ilvl="8" w:tentative="0">
      <w:start w:val="1"/>
      <w:numFmt w:val="decimal"/>
      <w:lvlText w:val="表1-%9"/>
      <w:lvlJc w:val="left"/>
      <w:pPr>
        <w:tabs>
          <w:tab w:val="left" w:pos="1534"/>
        </w:tabs>
        <w:ind w:left="284" w:firstLine="17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zOGUwNDFmODhkODJiZDBhZmIwNzc3Y2ZjYmY5M2UifQ=="/>
  </w:docVars>
  <w:rsids>
    <w:rsidRoot w:val="00A14947"/>
    <w:rsid w:val="000060B3"/>
    <w:rsid w:val="0004364B"/>
    <w:rsid w:val="000514A8"/>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1493B"/>
    <w:rsid w:val="00131F42"/>
    <w:rsid w:val="001357F1"/>
    <w:rsid w:val="00140FA8"/>
    <w:rsid w:val="00142FEB"/>
    <w:rsid w:val="00143A2D"/>
    <w:rsid w:val="00145A41"/>
    <w:rsid w:val="00151675"/>
    <w:rsid w:val="00152D17"/>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37DC2"/>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77"/>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5F631C"/>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412AE"/>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8579D"/>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90495"/>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43F"/>
    <w:rsid w:val="00E62C62"/>
    <w:rsid w:val="00E654C1"/>
    <w:rsid w:val="00E65D97"/>
    <w:rsid w:val="00E72A5A"/>
    <w:rsid w:val="00E73354"/>
    <w:rsid w:val="00E9242D"/>
    <w:rsid w:val="00EB5255"/>
    <w:rsid w:val="00EB5C47"/>
    <w:rsid w:val="00ED0639"/>
    <w:rsid w:val="00EF4755"/>
    <w:rsid w:val="00EF7135"/>
    <w:rsid w:val="00F027DB"/>
    <w:rsid w:val="00F04624"/>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376218"/>
    <w:rsid w:val="015D1E09"/>
    <w:rsid w:val="01637E00"/>
    <w:rsid w:val="01696FE5"/>
    <w:rsid w:val="0181302F"/>
    <w:rsid w:val="018F315F"/>
    <w:rsid w:val="01AE5007"/>
    <w:rsid w:val="01B21031"/>
    <w:rsid w:val="01B843AA"/>
    <w:rsid w:val="01C17E3E"/>
    <w:rsid w:val="01D64CE3"/>
    <w:rsid w:val="01E277F2"/>
    <w:rsid w:val="0203533A"/>
    <w:rsid w:val="02266097"/>
    <w:rsid w:val="022E45A8"/>
    <w:rsid w:val="02697903"/>
    <w:rsid w:val="02763687"/>
    <w:rsid w:val="0280232C"/>
    <w:rsid w:val="02806119"/>
    <w:rsid w:val="02C31DBF"/>
    <w:rsid w:val="02CE5846"/>
    <w:rsid w:val="02F96569"/>
    <w:rsid w:val="030D1B00"/>
    <w:rsid w:val="031A19DD"/>
    <w:rsid w:val="031C4557"/>
    <w:rsid w:val="032224B1"/>
    <w:rsid w:val="033B7CE2"/>
    <w:rsid w:val="033F140D"/>
    <w:rsid w:val="034B0D22"/>
    <w:rsid w:val="03546F31"/>
    <w:rsid w:val="0355341C"/>
    <w:rsid w:val="0359092B"/>
    <w:rsid w:val="03640B06"/>
    <w:rsid w:val="038B2573"/>
    <w:rsid w:val="03A06FCC"/>
    <w:rsid w:val="03AB56F5"/>
    <w:rsid w:val="03E04BC9"/>
    <w:rsid w:val="03EA7B21"/>
    <w:rsid w:val="040B76E4"/>
    <w:rsid w:val="04310CCF"/>
    <w:rsid w:val="04531360"/>
    <w:rsid w:val="048763B6"/>
    <w:rsid w:val="04A3694B"/>
    <w:rsid w:val="04BA771A"/>
    <w:rsid w:val="04D11107"/>
    <w:rsid w:val="04F35AC6"/>
    <w:rsid w:val="050C1A5C"/>
    <w:rsid w:val="055A7D34"/>
    <w:rsid w:val="0567387E"/>
    <w:rsid w:val="05726B7E"/>
    <w:rsid w:val="058108ED"/>
    <w:rsid w:val="05852628"/>
    <w:rsid w:val="05BB0913"/>
    <w:rsid w:val="05DE713E"/>
    <w:rsid w:val="05E0414E"/>
    <w:rsid w:val="05EF1149"/>
    <w:rsid w:val="05F83EAE"/>
    <w:rsid w:val="05FA0874"/>
    <w:rsid w:val="06143729"/>
    <w:rsid w:val="06310CD5"/>
    <w:rsid w:val="06314DA5"/>
    <w:rsid w:val="063E7D85"/>
    <w:rsid w:val="065716A3"/>
    <w:rsid w:val="06665EDC"/>
    <w:rsid w:val="068500D6"/>
    <w:rsid w:val="06DB69F8"/>
    <w:rsid w:val="06E205EE"/>
    <w:rsid w:val="06E904A0"/>
    <w:rsid w:val="06F932B6"/>
    <w:rsid w:val="0703452D"/>
    <w:rsid w:val="070B50E4"/>
    <w:rsid w:val="07106CA4"/>
    <w:rsid w:val="071220B1"/>
    <w:rsid w:val="071E1CD7"/>
    <w:rsid w:val="07293586"/>
    <w:rsid w:val="07295285"/>
    <w:rsid w:val="07502883"/>
    <w:rsid w:val="07577C5E"/>
    <w:rsid w:val="07627BB7"/>
    <w:rsid w:val="07636392"/>
    <w:rsid w:val="07675799"/>
    <w:rsid w:val="07770C56"/>
    <w:rsid w:val="07772245"/>
    <w:rsid w:val="077D254E"/>
    <w:rsid w:val="07A16F69"/>
    <w:rsid w:val="07A82F25"/>
    <w:rsid w:val="07AB6334"/>
    <w:rsid w:val="082C2204"/>
    <w:rsid w:val="08681C96"/>
    <w:rsid w:val="08740F4F"/>
    <w:rsid w:val="0886685E"/>
    <w:rsid w:val="08BA0E54"/>
    <w:rsid w:val="08F20976"/>
    <w:rsid w:val="09036F68"/>
    <w:rsid w:val="09057FB5"/>
    <w:rsid w:val="09086954"/>
    <w:rsid w:val="092217DD"/>
    <w:rsid w:val="093A6E0F"/>
    <w:rsid w:val="093A7294"/>
    <w:rsid w:val="09403493"/>
    <w:rsid w:val="0947793F"/>
    <w:rsid w:val="099B5A33"/>
    <w:rsid w:val="099F3703"/>
    <w:rsid w:val="09AF20A5"/>
    <w:rsid w:val="09C946D6"/>
    <w:rsid w:val="09EE47B6"/>
    <w:rsid w:val="0A0C6FD4"/>
    <w:rsid w:val="0A1D1F6C"/>
    <w:rsid w:val="0A263993"/>
    <w:rsid w:val="0A277F90"/>
    <w:rsid w:val="0A2D3AC2"/>
    <w:rsid w:val="0A3760EE"/>
    <w:rsid w:val="0A626FE4"/>
    <w:rsid w:val="0A6A6385"/>
    <w:rsid w:val="0A8733A9"/>
    <w:rsid w:val="0A986E49"/>
    <w:rsid w:val="0AA12E4D"/>
    <w:rsid w:val="0AA755DF"/>
    <w:rsid w:val="0AAD1E72"/>
    <w:rsid w:val="0AC5398A"/>
    <w:rsid w:val="0ACD136A"/>
    <w:rsid w:val="0AD40FA5"/>
    <w:rsid w:val="0AE23B67"/>
    <w:rsid w:val="0AFC557C"/>
    <w:rsid w:val="0B0E7BB1"/>
    <w:rsid w:val="0B0F18A8"/>
    <w:rsid w:val="0B1201A3"/>
    <w:rsid w:val="0B120D44"/>
    <w:rsid w:val="0B140207"/>
    <w:rsid w:val="0B3E2869"/>
    <w:rsid w:val="0B410216"/>
    <w:rsid w:val="0B440570"/>
    <w:rsid w:val="0B596B7A"/>
    <w:rsid w:val="0B955CFC"/>
    <w:rsid w:val="0B9C22EB"/>
    <w:rsid w:val="0BA12ACB"/>
    <w:rsid w:val="0BAB61B9"/>
    <w:rsid w:val="0BC56DD4"/>
    <w:rsid w:val="0BD27BF6"/>
    <w:rsid w:val="0C087CB1"/>
    <w:rsid w:val="0C0C3069"/>
    <w:rsid w:val="0C2659D3"/>
    <w:rsid w:val="0C3B3C7D"/>
    <w:rsid w:val="0C3B5164"/>
    <w:rsid w:val="0C4306B7"/>
    <w:rsid w:val="0C4A14FD"/>
    <w:rsid w:val="0C503DDA"/>
    <w:rsid w:val="0C7D0090"/>
    <w:rsid w:val="0C8225C0"/>
    <w:rsid w:val="0CAB2EAE"/>
    <w:rsid w:val="0CC762D9"/>
    <w:rsid w:val="0CCA4D33"/>
    <w:rsid w:val="0CD21269"/>
    <w:rsid w:val="0CDB0909"/>
    <w:rsid w:val="0D00626F"/>
    <w:rsid w:val="0D1A3E5F"/>
    <w:rsid w:val="0D1F0338"/>
    <w:rsid w:val="0D2E30F3"/>
    <w:rsid w:val="0D45660E"/>
    <w:rsid w:val="0D535A3B"/>
    <w:rsid w:val="0D576ADA"/>
    <w:rsid w:val="0D621C7D"/>
    <w:rsid w:val="0D635740"/>
    <w:rsid w:val="0D6817B8"/>
    <w:rsid w:val="0D77486D"/>
    <w:rsid w:val="0D7D6ADC"/>
    <w:rsid w:val="0D8468EA"/>
    <w:rsid w:val="0DA248C6"/>
    <w:rsid w:val="0DAB6CC5"/>
    <w:rsid w:val="0DB33DA9"/>
    <w:rsid w:val="0DCE3947"/>
    <w:rsid w:val="0E017D89"/>
    <w:rsid w:val="0E0E5924"/>
    <w:rsid w:val="0E1951B4"/>
    <w:rsid w:val="0E262045"/>
    <w:rsid w:val="0E341BBD"/>
    <w:rsid w:val="0E402852"/>
    <w:rsid w:val="0E73034D"/>
    <w:rsid w:val="0E78705E"/>
    <w:rsid w:val="0EAA0AF7"/>
    <w:rsid w:val="0EB936C4"/>
    <w:rsid w:val="0EDD12EE"/>
    <w:rsid w:val="0EF35E07"/>
    <w:rsid w:val="0F0A250F"/>
    <w:rsid w:val="0F13775A"/>
    <w:rsid w:val="0F295CEE"/>
    <w:rsid w:val="0F3A1A9F"/>
    <w:rsid w:val="0F5F45FE"/>
    <w:rsid w:val="0F7719D3"/>
    <w:rsid w:val="0F815DE8"/>
    <w:rsid w:val="0F83307C"/>
    <w:rsid w:val="0F9A112B"/>
    <w:rsid w:val="0FBF687C"/>
    <w:rsid w:val="0FCB3DC4"/>
    <w:rsid w:val="0FD22A7F"/>
    <w:rsid w:val="0FDE1110"/>
    <w:rsid w:val="0FE356CE"/>
    <w:rsid w:val="10011E65"/>
    <w:rsid w:val="10022773"/>
    <w:rsid w:val="10224C2E"/>
    <w:rsid w:val="10233B96"/>
    <w:rsid w:val="10474103"/>
    <w:rsid w:val="10487036"/>
    <w:rsid w:val="1055475B"/>
    <w:rsid w:val="105B6B93"/>
    <w:rsid w:val="105C33BC"/>
    <w:rsid w:val="106849D7"/>
    <w:rsid w:val="10691B7B"/>
    <w:rsid w:val="106D2F64"/>
    <w:rsid w:val="107E47A7"/>
    <w:rsid w:val="108239F2"/>
    <w:rsid w:val="10860379"/>
    <w:rsid w:val="108D34B3"/>
    <w:rsid w:val="10A56BA1"/>
    <w:rsid w:val="10B15D71"/>
    <w:rsid w:val="10B63710"/>
    <w:rsid w:val="10B876A1"/>
    <w:rsid w:val="10C066A6"/>
    <w:rsid w:val="10E47B1F"/>
    <w:rsid w:val="10E87EC6"/>
    <w:rsid w:val="10F10820"/>
    <w:rsid w:val="10F826A3"/>
    <w:rsid w:val="10FA6C9E"/>
    <w:rsid w:val="111655CB"/>
    <w:rsid w:val="111C2F7A"/>
    <w:rsid w:val="1160416B"/>
    <w:rsid w:val="11665CA1"/>
    <w:rsid w:val="11A412E5"/>
    <w:rsid w:val="11AF3BF1"/>
    <w:rsid w:val="11BC7A21"/>
    <w:rsid w:val="11C5143B"/>
    <w:rsid w:val="11D93642"/>
    <w:rsid w:val="11DC4A49"/>
    <w:rsid w:val="11E86967"/>
    <w:rsid w:val="11EC5CC5"/>
    <w:rsid w:val="121241B0"/>
    <w:rsid w:val="122834A0"/>
    <w:rsid w:val="12451531"/>
    <w:rsid w:val="12461913"/>
    <w:rsid w:val="126268D3"/>
    <w:rsid w:val="126B3945"/>
    <w:rsid w:val="12712F2A"/>
    <w:rsid w:val="127A6509"/>
    <w:rsid w:val="12B069C9"/>
    <w:rsid w:val="12C057DB"/>
    <w:rsid w:val="12C85F57"/>
    <w:rsid w:val="12CC5318"/>
    <w:rsid w:val="12EA44AE"/>
    <w:rsid w:val="12F808FB"/>
    <w:rsid w:val="132F182D"/>
    <w:rsid w:val="13484246"/>
    <w:rsid w:val="13951726"/>
    <w:rsid w:val="13A00A46"/>
    <w:rsid w:val="13AC72EB"/>
    <w:rsid w:val="13AD5B4D"/>
    <w:rsid w:val="13BE23B9"/>
    <w:rsid w:val="13C55C3D"/>
    <w:rsid w:val="13C57E60"/>
    <w:rsid w:val="14177722"/>
    <w:rsid w:val="141875D7"/>
    <w:rsid w:val="1432236C"/>
    <w:rsid w:val="1433156A"/>
    <w:rsid w:val="14396509"/>
    <w:rsid w:val="145165D6"/>
    <w:rsid w:val="1479615F"/>
    <w:rsid w:val="147B7B69"/>
    <w:rsid w:val="1497183D"/>
    <w:rsid w:val="14A11D30"/>
    <w:rsid w:val="14DD2C3C"/>
    <w:rsid w:val="14E70B80"/>
    <w:rsid w:val="150B7648"/>
    <w:rsid w:val="15104CC0"/>
    <w:rsid w:val="152136A3"/>
    <w:rsid w:val="152A46DA"/>
    <w:rsid w:val="153418A1"/>
    <w:rsid w:val="154E5CA7"/>
    <w:rsid w:val="156A67BA"/>
    <w:rsid w:val="157E7751"/>
    <w:rsid w:val="157F1B9E"/>
    <w:rsid w:val="15811873"/>
    <w:rsid w:val="158A2B10"/>
    <w:rsid w:val="158D1DDD"/>
    <w:rsid w:val="16087E1D"/>
    <w:rsid w:val="161D1588"/>
    <w:rsid w:val="161F4B10"/>
    <w:rsid w:val="16360297"/>
    <w:rsid w:val="16367D03"/>
    <w:rsid w:val="163856DC"/>
    <w:rsid w:val="163A3652"/>
    <w:rsid w:val="164F59EE"/>
    <w:rsid w:val="16590287"/>
    <w:rsid w:val="16695DA1"/>
    <w:rsid w:val="167656B2"/>
    <w:rsid w:val="16AD289F"/>
    <w:rsid w:val="16CF6544"/>
    <w:rsid w:val="16D133FB"/>
    <w:rsid w:val="16E35746"/>
    <w:rsid w:val="16F64444"/>
    <w:rsid w:val="170D61F1"/>
    <w:rsid w:val="173D2303"/>
    <w:rsid w:val="174467A3"/>
    <w:rsid w:val="174F445F"/>
    <w:rsid w:val="175130B8"/>
    <w:rsid w:val="176778D6"/>
    <w:rsid w:val="17701D14"/>
    <w:rsid w:val="17735226"/>
    <w:rsid w:val="17803B7E"/>
    <w:rsid w:val="179A2E1A"/>
    <w:rsid w:val="17AC0398"/>
    <w:rsid w:val="17D630EF"/>
    <w:rsid w:val="17DB51C8"/>
    <w:rsid w:val="184D6303"/>
    <w:rsid w:val="18581A54"/>
    <w:rsid w:val="18723FD1"/>
    <w:rsid w:val="18880728"/>
    <w:rsid w:val="188872EE"/>
    <w:rsid w:val="188A76A2"/>
    <w:rsid w:val="18976454"/>
    <w:rsid w:val="189F624C"/>
    <w:rsid w:val="18A14399"/>
    <w:rsid w:val="18B95DC9"/>
    <w:rsid w:val="18FD35C2"/>
    <w:rsid w:val="18FE5929"/>
    <w:rsid w:val="19041AEF"/>
    <w:rsid w:val="1911006C"/>
    <w:rsid w:val="19165CCF"/>
    <w:rsid w:val="19272EAD"/>
    <w:rsid w:val="1930342A"/>
    <w:rsid w:val="19445D03"/>
    <w:rsid w:val="196D4DE5"/>
    <w:rsid w:val="19771C6A"/>
    <w:rsid w:val="19860D12"/>
    <w:rsid w:val="19950ACA"/>
    <w:rsid w:val="199D1710"/>
    <w:rsid w:val="19A85EC4"/>
    <w:rsid w:val="1A08423A"/>
    <w:rsid w:val="1A1C66C0"/>
    <w:rsid w:val="1A3C2BE3"/>
    <w:rsid w:val="1A42393B"/>
    <w:rsid w:val="1A4C4BE1"/>
    <w:rsid w:val="1A4D238D"/>
    <w:rsid w:val="1A70319B"/>
    <w:rsid w:val="1A940BE2"/>
    <w:rsid w:val="1A97780F"/>
    <w:rsid w:val="1A994719"/>
    <w:rsid w:val="1AAD45DE"/>
    <w:rsid w:val="1AC47598"/>
    <w:rsid w:val="1AD75285"/>
    <w:rsid w:val="1AF86D37"/>
    <w:rsid w:val="1B046F80"/>
    <w:rsid w:val="1B134B50"/>
    <w:rsid w:val="1B197347"/>
    <w:rsid w:val="1B3267B5"/>
    <w:rsid w:val="1B3E40B1"/>
    <w:rsid w:val="1B3E413D"/>
    <w:rsid w:val="1B40161D"/>
    <w:rsid w:val="1B441859"/>
    <w:rsid w:val="1B53611D"/>
    <w:rsid w:val="1B637214"/>
    <w:rsid w:val="1B6548BC"/>
    <w:rsid w:val="1B6606B1"/>
    <w:rsid w:val="1B6721AD"/>
    <w:rsid w:val="1B7B1401"/>
    <w:rsid w:val="1BA03E7B"/>
    <w:rsid w:val="1BA66D74"/>
    <w:rsid w:val="1BA85182"/>
    <w:rsid w:val="1C0B3DD7"/>
    <w:rsid w:val="1C2E11DC"/>
    <w:rsid w:val="1C3C3C6A"/>
    <w:rsid w:val="1C466A30"/>
    <w:rsid w:val="1C5E7925"/>
    <w:rsid w:val="1C69035C"/>
    <w:rsid w:val="1C793704"/>
    <w:rsid w:val="1C9271C9"/>
    <w:rsid w:val="1C963A5C"/>
    <w:rsid w:val="1C9B37AC"/>
    <w:rsid w:val="1C9D5F8D"/>
    <w:rsid w:val="1CA516FE"/>
    <w:rsid w:val="1CC85AB4"/>
    <w:rsid w:val="1CD42ADB"/>
    <w:rsid w:val="1CF33ECD"/>
    <w:rsid w:val="1CF77744"/>
    <w:rsid w:val="1CFA5C34"/>
    <w:rsid w:val="1CFD070F"/>
    <w:rsid w:val="1D0B33BA"/>
    <w:rsid w:val="1D1D78CB"/>
    <w:rsid w:val="1D327825"/>
    <w:rsid w:val="1D362134"/>
    <w:rsid w:val="1D3D039A"/>
    <w:rsid w:val="1D4B3AC6"/>
    <w:rsid w:val="1D5F6196"/>
    <w:rsid w:val="1D6132A5"/>
    <w:rsid w:val="1D7A5E36"/>
    <w:rsid w:val="1D7D3802"/>
    <w:rsid w:val="1D8E56D5"/>
    <w:rsid w:val="1D924645"/>
    <w:rsid w:val="1DBF3C15"/>
    <w:rsid w:val="1DC6551E"/>
    <w:rsid w:val="1DDE4786"/>
    <w:rsid w:val="1DF865B3"/>
    <w:rsid w:val="1E051FDB"/>
    <w:rsid w:val="1E19312A"/>
    <w:rsid w:val="1E195FF9"/>
    <w:rsid w:val="1E201172"/>
    <w:rsid w:val="1E33751E"/>
    <w:rsid w:val="1E396EF8"/>
    <w:rsid w:val="1E5E4010"/>
    <w:rsid w:val="1E60154C"/>
    <w:rsid w:val="1E663B9F"/>
    <w:rsid w:val="1E7A43DA"/>
    <w:rsid w:val="1E8C2E86"/>
    <w:rsid w:val="1EB1137C"/>
    <w:rsid w:val="1EDE01B5"/>
    <w:rsid w:val="1EE37C1A"/>
    <w:rsid w:val="1F082E46"/>
    <w:rsid w:val="1F184D40"/>
    <w:rsid w:val="1F1B6527"/>
    <w:rsid w:val="1F2B2E28"/>
    <w:rsid w:val="1F3401DB"/>
    <w:rsid w:val="1F3550C4"/>
    <w:rsid w:val="1F37616C"/>
    <w:rsid w:val="1F4D0E4A"/>
    <w:rsid w:val="1F4F074B"/>
    <w:rsid w:val="1F591D66"/>
    <w:rsid w:val="1F5C5ECE"/>
    <w:rsid w:val="1F6035D9"/>
    <w:rsid w:val="1F7C7749"/>
    <w:rsid w:val="1F8E067E"/>
    <w:rsid w:val="1FBD460E"/>
    <w:rsid w:val="1FE12046"/>
    <w:rsid w:val="1FE7539E"/>
    <w:rsid w:val="1FEA46E3"/>
    <w:rsid w:val="1FEF2742"/>
    <w:rsid w:val="1FF5637D"/>
    <w:rsid w:val="200B68DD"/>
    <w:rsid w:val="20232202"/>
    <w:rsid w:val="202F47C3"/>
    <w:rsid w:val="203E215C"/>
    <w:rsid w:val="20426AB0"/>
    <w:rsid w:val="204A497E"/>
    <w:rsid w:val="204A6FEF"/>
    <w:rsid w:val="204B0894"/>
    <w:rsid w:val="205D4627"/>
    <w:rsid w:val="20671BE0"/>
    <w:rsid w:val="20963CB8"/>
    <w:rsid w:val="20A81A1B"/>
    <w:rsid w:val="20B07FB6"/>
    <w:rsid w:val="20B646FB"/>
    <w:rsid w:val="20CD5246"/>
    <w:rsid w:val="20EA1B4B"/>
    <w:rsid w:val="20EA57D1"/>
    <w:rsid w:val="20EE2BEB"/>
    <w:rsid w:val="20F57EA9"/>
    <w:rsid w:val="21090C04"/>
    <w:rsid w:val="211175A2"/>
    <w:rsid w:val="2113415F"/>
    <w:rsid w:val="211C31B8"/>
    <w:rsid w:val="213174FB"/>
    <w:rsid w:val="213825F7"/>
    <w:rsid w:val="213B74B1"/>
    <w:rsid w:val="215A2310"/>
    <w:rsid w:val="21746458"/>
    <w:rsid w:val="217C655A"/>
    <w:rsid w:val="21837261"/>
    <w:rsid w:val="219F14A0"/>
    <w:rsid w:val="21A41C3A"/>
    <w:rsid w:val="21D877E1"/>
    <w:rsid w:val="21DE318A"/>
    <w:rsid w:val="21EF5B80"/>
    <w:rsid w:val="22054660"/>
    <w:rsid w:val="22073DE4"/>
    <w:rsid w:val="22237A6F"/>
    <w:rsid w:val="222A01F7"/>
    <w:rsid w:val="222C1C96"/>
    <w:rsid w:val="223C03EB"/>
    <w:rsid w:val="224968A3"/>
    <w:rsid w:val="22576990"/>
    <w:rsid w:val="22642B86"/>
    <w:rsid w:val="227350DB"/>
    <w:rsid w:val="2273776A"/>
    <w:rsid w:val="22A825E9"/>
    <w:rsid w:val="22B2311C"/>
    <w:rsid w:val="22B83C1B"/>
    <w:rsid w:val="22ED2D7A"/>
    <w:rsid w:val="22F47480"/>
    <w:rsid w:val="231A12E1"/>
    <w:rsid w:val="23333BC5"/>
    <w:rsid w:val="23337D00"/>
    <w:rsid w:val="233961DD"/>
    <w:rsid w:val="234C0152"/>
    <w:rsid w:val="235F135C"/>
    <w:rsid w:val="2360220E"/>
    <w:rsid w:val="237A499C"/>
    <w:rsid w:val="237B71D8"/>
    <w:rsid w:val="23815F95"/>
    <w:rsid w:val="23AF65D1"/>
    <w:rsid w:val="23B46592"/>
    <w:rsid w:val="23DE1C48"/>
    <w:rsid w:val="23DE7ACD"/>
    <w:rsid w:val="240210CD"/>
    <w:rsid w:val="24200E51"/>
    <w:rsid w:val="243B7FC5"/>
    <w:rsid w:val="244E6DB5"/>
    <w:rsid w:val="244F41C1"/>
    <w:rsid w:val="245B2060"/>
    <w:rsid w:val="246F6C78"/>
    <w:rsid w:val="24BF09F7"/>
    <w:rsid w:val="24EB3CB7"/>
    <w:rsid w:val="25055131"/>
    <w:rsid w:val="250F50C1"/>
    <w:rsid w:val="25134EEA"/>
    <w:rsid w:val="252B0BF8"/>
    <w:rsid w:val="252D53FE"/>
    <w:rsid w:val="253227F7"/>
    <w:rsid w:val="254A0970"/>
    <w:rsid w:val="2555642A"/>
    <w:rsid w:val="258C346A"/>
    <w:rsid w:val="25AB4018"/>
    <w:rsid w:val="25C12E3A"/>
    <w:rsid w:val="25E40429"/>
    <w:rsid w:val="25EC2D81"/>
    <w:rsid w:val="26123940"/>
    <w:rsid w:val="26337C50"/>
    <w:rsid w:val="26367888"/>
    <w:rsid w:val="263E4AA0"/>
    <w:rsid w:val="264B6107"/>
    <w:rsid w:val="26542DD5"/>
    <w:rsid w:val="267A5231"/>
    <w:rsid w:val="26806315"/>
    <w:rsid w:val="26824BAB"/>
    <w:rsid w:val="26AE34AB"/>
    <w:rsid w:val="26D25610"/>
    <w:rsid w:val="26DE0820"/>
    <w:rsid w:val="2701195D"/>
    <w:rsid w:val="270B3F27"/>
    <w:rsid w:val="270C4B7E"/>
    <w:rsid w:val="27202D18"/>
    <w:rsid w:val="272F7BD7"/>
    <w:rsid w:val="27331F66"/>
    <w:rsid w:val="277057A2"/>
    <w:rsid w:val="27933461"/>
    <w:rsid w:val="27956095"/>
    <w:rsid w:val="27C2623B"/>
    <w:rsid w:val="27E57CA3"/>
    <w:rsid w:val="27FC40A2"/>
    <w:rsid w:val="280F58EE"/>
    <w:rsid w:val="281C1C99"/>
    <w:rsid w:val="2843420C"/>
    <w:rsid w:val="28516802"/>
    <w:rsid w:val="285645F2"/>
    <w:rsid w:val="28653C79"/>
    <w:rsid w:val="287E08FD"/>
    <w:rsid w:val="288C597E"/>
    <w:rsid w:val="28C23BD6"/>
    <w:rsid w:val="28CB1EB8"/>
    <w:rsid w:val="28D0245A"/>
    <w:rsid w:val="28DA0C46"/>
    <w:rsid w:val="28DD5BAD"/>
    <w:rsid w:val="290B3C65"/>
    <w:rsid w:val="29133969"/>
    <w:rsid w:val="291617C8"/>
    <w:rsid w:val="29206EB8"/>
    <w:rsid w:val="2935098C"/>
    <w:rsid w:val="293E3CE9"/>
    <w:rsid w:val="294329AB"/>
    <w:rsid w:val="295341B4"/>
    <w:rsid w:val="29595666"/>
    <w:rsid w:val="296A4419"/>
    <w:rsid w:val="29864B7D"/>
    <w:rsid w:val="29874881"/>
    <w:rsid w:val="299D3AD7"/>
    <w:rsid w:val="29A160E1"/>
    <w:rsid w:val="29B011B7"/>
    <w:rsid w:val="29B55587"/>
    <w:rsid w:val="29DA5EED"/>
    <w:rsid w:val="29E325E0"/>
    <w:rsid w:val="2A010284"/>
    <w:rsid w:val="2A0773B6"/>
    <w:rsid w:val="2A080A57"/>
    <w:rsid w:val="2A452503"/>
    <w:rsid w:val="2A47207A"/>
    <w:rsid w:val="2A622CF6"/>
    <w:rsid w:val="2A767C36"/>
    <w:rsid w:val="2A8D4C59"/>
    <w:rsid w:val="2ABA36E1"/>
    <w:rsid w:val="2AFD7D00"/>
    <w:rsid w:val="2B0C668F"/>
    <w:rsid w:val="2B25198C"/>
    <w:rsid w:val="2B2C1C0A"/>
    <w:rsid w:val="2B5158C5"/>
    <w:rsid w:val="2B516A06"/>
    <w:rsid w:val="2B7B6D1D"/>
    <w:rsid w:val="2B7E66FE"/>
    <w:rsid w:val="2B8459D5"/>
    <w:rsid w:val="2B8A163A"/>
    <w:rsid w:val="2B8A6829"/>
    <w:rsid w:val="2BA936A8"/>
    <w:rsid w:val="2BC90CC6"/>
    <w:rsid w:val="2BCF38A7"/>
    <w:rsid w:val="2BD35D07"/>
    <w:rsid w:val="2BE96244"/>
    <w:rsid w:val="2BEA0C15"/>
    <w:rsid w:val="2BF45FF3"/>
    <w:rsid w:val="2BF766DF"/>
    <w:rsid w:val="2C0F3E4C"/>
    <w:rsid w:val="2C223BDB"/>
    <w:rsid w:val="2C230EAF"/>
    <w:rsid w:val="2C2A1100"/>
    <w:rsid w:val="2C315A5A"/>
    <w:rsid w:val="2C366A3D"/>
    <w:rsid w:val="2C3F6B0F"/>
    <w:rsid w:val="2C4B1C25"/>
    <w:rsid w:val="2C5170F9"/>
    <w:rsid w:val="2C657948"/>
    <w:rsid w:val="2C660097"/>
    <w:rsid w:val="2C7D7538"/>
    <w:rsid w:val="2CA57F7F"/>
    <w:rsid w:val="2CB53B71"/>
    <w:rsid w:val="2CB66529"/>
    <w:rsid w:val="2CC14EC1"/>
    <w:rsid w:val="2CE414EC"/>
    <w:rsid w:val="2CE46A7D"/>
    <w:rsid w:val="2CE94073"/>
    <w:rsid w:val="2D0E5BCD"/>
    <w:rsid w:val="2D3F2FC4"/>
    <w:rsid w:val="2D545F74"/>
    <w:rsid w:val="2D890349"/>
    <w:rsid w:val="2D8B76D0"/>
    <w:rsid w:val="2D8F1BD2"/>
    <w:rsid w:val="2D974F4D"/>
    <w:rsid w:val="2D9E56F5"/>
    <w:rsid w:val="2DA44C6F"/>
    <w:rsid w:val="2DB8105B"/>
    <w:rsid w:val="2DBF5698"/>
    <w:rsid w:val="2DD26510"/>
    <w:rsid w:val="2DE84A14"/>
    <w:rsid w:val="2DEE4F71"/>
    <w:rsid w:val="2DF10643"/>
    <w:rsid w:val="2E29473A"/>
    <w:rsid w:val="2E2F66AD"/>
    <w:rsid w:val="2E3A7E81"/>
    <w:rsid w:val="2E3D48F7"/>
    <w:rsid w:val="2E424B7D"/>
    <w:rsid w:val="2E4F5F23"/>
    <w:rsid w:val="2E5B3C49"/>
    <w:rsid w:val="2E667F96"/>
    <w:rsid w:val="2E8226AB"/>
    <w:rsid w:val="2E8B1B7A"/>
    <w:rsid w:val="2EB47488"/>
    <w:rsid w:val="2EDF4027"/>
    <w:rsid w:val="2EE47B65"/>
    <w:rsid w:val="2EEB62E4"/>
    <w:rsid w:val="2EF514A5"/>
    <w:rsid w:val="2F2C21C2"/>
    <w:rsid w:val="2F5B0DDB"/>
    <w:rsid w:val="2F911E0A"/>
    <w:rsid w:val="2F91491F"/>
    <w:rsid w:val="2FA6025D"/>
    <w:rsid w:val="2FAC0D49"/>
    <w:rsid w:val="2FCC3F8A"/>
    <w:rsid w:val="2FD065E6"/>
    <w:rsid w:val="2FD96870"/>
    <w:rsid w:val="2FEB1376"/>
    <w:rsid w:val="2FF55587"/>
    <w:rsid w:val="301B3087"/>
    <w:rsid w:val="302D65DD"/>
    <w:rsid w:val="303E2259"/>
    <w:rsid w:val="30580BC9"/>
    <w:rsid w:val="30684015"/>
    <w:rsid w:val="308C5BD7"/>
    <w:rsid w:val="309E485D"/>
    <w:rsid w:val="30AB41F9"/>
    <w:rsid w:val="30BC26C8"/>
    <w:rsid w:val="30BC35F1"/>
    <w:rsid w:val="30BC6A68"/>
    <w:rsid w:val="30C6527A"/>
    <w:rsid w:val="30DC0493"/>
    <w:rsid w:val="31045661"/>
    <w:rsid w:val="311E2ED7"/>
    <w:rsid w:val="31274ABD"/>
    <w:rsid w:val="31367AE4"/>
    <w:rsid w:val="314342B2"/>
    <w:rsid w:val="31511B67"/>
    <w:rsid w:val="315619EE"/>
    <w:rsid w:val="315C449C"/>
    <w:rsid w:val="315F5BE3"/>
    <w:rsid w:val="316B53B0"/>
    <w:rsid w:val="31B82709"/>
    <w:rsid w:val="31C64194"/>
    <w:rsid w:val="31D05482"/>
    <w:rsid w:val="31D76DA2"/>
    <w:rsid w:val="31D81211"/>
    <w:rsid w:val="31E5120A"/>
    <w:rsid w:val="31E835B7"/>
    <w:rsid w:val="31F92598"/>
    <w:rsid w:val="3204096B"/>
    <w:rsid w:val="32064116"/>
    <w:rsid w:val="321428F7"/>
    <w:rsid w:val="323D7D04"/>
    <w:rsid w:val="32400B34"/>
    <w:rsid w:val="3249243E"/>
    <w:rsid w:val="326837B7"/>
    <w:rsid w:val="326A2A9E"/>
    <w:rsid w:val="327C4DBB"/>
    <w:rsid w:val="329E6876"/>
    <w:rsid w:val="32D31D26"/>
    <w:rsid w:val="333015F2"/>
    <w:rsid w:val="33351DED"/>
    <w:rsid w:val="334B6320"/>
    <w:rsid w:val="334F6067"/>
    <w:rsid w:val="33586073"/>
    <w:rsid w:val="338449AA"/>
    <w:rsid w:val="338759D7"/>
    <w:rsid w:val="338A489C"/>
    <w:rsid w:val="338E17D9"/>
    <w:rsid w:val="338F57ED"/>
    <w:rsid w:val="339F572F"/>
    <w:rsid w:val="33B07A1E"/>
    <w:rsid w:val="33CF56B2"/>
    <w:rsid w:val="33D6457A"/>
    <w:rsid w:val="33D86DC9"/>
    <w:rsid w:val="33D934D4"/>
    <w:rsid w:val="33F82136"/>
    <w:rsid w:val="33F82E2D"/>
    <w:rsid w:val="33FE2F6A"/>
    <w:rsid w:val="340E07E5"/>
    <w:rsid w:val="341E46D1"/>
    <w:rsid w:val="34235BF7"/>
    <w:rsid w:val="34321F1F"/>
    <w:rsid w:val="344145CA"/>
    <w:rsid w:val="344A2BB2"/>
    <w:rsid w:val="345F5267"/>
    <w:rsid w:val="346272BC"/>
    <w:rsid w:val="347F1049"/>
    <w:rsid w:val="34827E77"/>
    <w:rsid w:val="34895D1C"/>
    <w:rsid w:val="349902EA"/>
    <w:rsid w:val="34AE45B9"/>
    <w:rsid w:val="34C778E1"/>
    <w:rsid w:val="34D2738A"/>
    <w:rsid w:val="34E7747F"/>
    <w:rsid w:val="34EB3923"/>
    <w:rsid w:val="3501409F"/>
    <w:rsid w:val="35144858"/>
    <w:rsid w:val="35203133"/>
    <w:rsid w:val="352734B2"/>
    <w:rsid w:val="352A43E0"/>
    <w:rsid w:val="356C7FF3"/>
    <w:rsid w:val="356D2994"/>
    <w:rsid w:val="35781CEC"/>
    <w:rsid w:val="35840A6D"/>
    <w:rsid w:val="358C5FA8"/>
    <w:rsid w:val="358E62D4"/>
    <w:rsid w:val="35966263"/>
    <w:rsid w:val="35AA3EE4"/>
    <w:rsid w:val="35AF341E"/>
    <w:rsid w:val="35C15DF1"/>
    <w:rsid w:val="35FE7001"/>
    <w:rsid w:val="36066113"/>
    <w:rsid w:val="36074A7F"/>
    <w:rsid w:val="36633089"/>
    <w:rsid w:val="3683073A"/>
    <w:rsid w:val="3690311F"/>
    <w:rsid w:val="36923549"/>
    <w:rsid w:val="36B75FBF"/>
    <w:rsid w:val="36B773EB"/>
    <w:rsid w:val="36BD0C45"/>
    <w:rsid w:val="36DB1513"/>
    <w:rsid w:val="36F03922"/>
    <w:rsid w:val="36F44572"/>
    <w:rsid w:val="37273189"/>
    <w:rsid w:val="373C3CC8"/>
    <w:rsid w:val="37636BED"/>
    <w:rsid w:val="37712928"/>
    <w:rsid w:val="377501EC"/>
    <w:rsid w:val="377D0735"/>
    <w:rsid w:val="37962665"/>
    <w:rsid w:val="37A03D40"/>
    <w:rsid w:val="37B83D3E"/>
    <w:rsid w:val="37B87D95"/>
    <w:rsid w:val="37C74FE2"/>
    <w:rsid w:val="37E00298"/>
    <w:rsid w:val="38004451"/>
    <w:rsid w:val="38390943"/>
    <w:rsid w:val="3855247B"/>
    <w:rsid w:val="3880142B"/>
    <w:rsid w:val="389E0219"/>
    <w:rsid w:val="38B302F9"/>
    <w:rsid w:val="38B50919"/>
    <w:rsid w:val="38BE59FD"/>
    <w:rsid w:val="38CE0959"/>
    <w:rsid w:val="38F12CD3"/>
    <w:rsid w:val="38F4557B"/>
    <w:rsid w:val="38F94775"/>
    <w:rsid w:val="391B6812"/>
    <w:rsid w:val="39221574"/>
    <w:rsid w:val="3929719C"/>
    <w:rsid w:val="392971ED"/>
    <w:rsid w:val="392B517F"/>
    <w:rsid w:val="39325651"/>
    <w:rsid w:val="39743B14"/>
    <w:rsid w:val="397771B7"/>
    <w:rsid w:val="397F464A"/>
    <w:rsid w:val="398829A7"/>
    <w:rsid w:val="39942A07"/>
    <w:rsid w:val="39967232"/>
    <w:rsid w:val="39A61A30"/>
    <w:rsid w:val="39B9431E"/>
    <w:rsid w:val="39DE2D6A"/>
    <w:rsid w:val="39E048AE"/>
    <w:rsid w:val="39F4024F"/>
    <w:rsid w:val="3A0D58D9"/>
    <w:rsid w:val="3A451C1C"/>
    <w:rsid w:val="3A4974CE"/>
    <w:rsid w:val="3A5737E3"/>
    <w:rsid w:val="3A595CA7"/>
    <w:rsid w:val="3A5C3560"/>
    <w:rsid w:val="3A607507"/>
    <w:rsid w:val="3A741B50"/>
    <w:rsid w:val="3A783033"/>
    <w:rsid w:val="3A872856"/>
    <w:rsid w:val="3AAB081F"/>
    <w:rsid w:val="3AB72586"/>
    <w:rsid w:val="3ABD617A"/>
    <w:rsid w:val="3AC13B50"/>
    <w:rsid w:val="3AC14D35"/>
    <w:rsid w:val="3AD67BD7"/>
    <w:rsid w:val="3AF37ADC"/>
    <w:rsid w:val="3B060EA0"/>
    <w:rsid w:val="3B163D91"/>
    <w:rsid w:val="3B30709B"/>
    <w:rsid w:val="3B337D4D"/>
    <w:rsid w:val="3B3763D1"/>
    <w:rsid w:val="3B472418"/>
    <w:rsid w:val="3B5C3AE8"/>
    <w:rsid w:val="3B8558E3"/>
    <w:rsid w:val="3B9C1848"/>
    <w:rsid w:val="3BD12408"/>
    <w:rsid w:val="3BED403E"/>
    <w:rsid w:val="3BEE1C16"/>
    <w:rsid w:val="3BFC43A9"/>
    <w:rsid w:val="3C212E1E"/>
    <w:rsid w:val="3C27779A"/>
    <w:rsid w:val="3C2F6E1E"/>
    <w:rsid w:val="3C340332"/>
    <w:rsid w:val="3C4F64BA"/>
    <w:rsid w:val="3C576518"/>
    <w:rsid w:val="3C5B167F"/>
    <w:rsid w:val="3C747D2B"/>
    <w:rsid w:val="3C79131D"/>
    <w:rsid w:val="3C8B40AE"/>
    <w:rsid w:val="3C925EA9"/>
    <w:rsid w:val="3C9B5F09"/>
    <w:rsid w:val="3CC454A2"/>
    <w:rsid w:val="3CD71B76"/>
    <w:rsid w:val="3CDA245A"/>
    <w:rsid w:val="3D0B10DC"/>
    <w:rsid w:val="3D112A0C"/>
    <w:rsid w:val="3D1E06B7"/>
    <w:rsid w:val="3D4A5342"/>
    <w:rsid w:val="3D584FB2"/>
    <w:rsid w:val="3D6664FF"/>
    <w:rsid w:val="3D9940BE"/>
    <w:rsid w:val="3DAC7B11"/>
    <w:rsid w:val="3DB60CDD"/>
    <w:rsid w:val="3DCB31B3"/>
    <w:rsid w:val="3E0F2CBC"/>
    <w:rsid w:val="3E141E9B"/>
    <w:rsid w:val="3E2010E3"/>
    <w:rsid w:val="3E2013CC"/>
    <w:rsid w:val="3E253F2A"/>
    <w:rsid w:val="3E3F7006"/>
    <w:rsid w:val="3E5A474E"/>
    <w:rsid w:val="3E5E7F6C"/>
    <w:rsid w:val="3E683690"/>
    <w:rsid w:val="3E7D5E43"/>
    <w:rsid w:val="3E847988"/>
    <w:rsid w:val="3EA2198F"/>
    <w:rsid w:val="3EAF32E5"/>
    <w:rsid w:val="3EC0083E"/>
    <w:rsid w:val="3ED43891"/>
    <w:rsid w:val="3EDA0523"/>
    <w:rsid w:val="3EE736EA"/>
    <w:rsid w:val="3EEC376F"/>
    <w:rsid w:val="3EFB640A"/>
    <w:rsid w:val="3F4D32E1"/>
    <w:rsid w:val="3F4F2517"/>
    <w:rsid w:val="3F7E5049"/>
    <w:rsid w:val="3FA813A9"/>
    <w:rsid w:val="3FA8610A"/>
    <w:rsid w:val="3FD227B0"/>
    <w:rsid w:val="3FD3254E"/>
    <w:rsid w:val="3FEF31EE"/>
    <w:rsid w:val="40110892"/>
    <w:rsid w:val="40130228"/>
    <w:rsid w:val="40367466"/>
    <w:rsid w:val="40604BC0"/>
    <w:rsid w:val="406769C1"/>
    <w:rsid w:val="406B20D4"/>
    <w:rsid w:val="406C159E"/>
    <w:rsid w:val="407829F9"/>
    <w:rsid w:val="407A6407"/>
    <w:rsid w:val="407C3378"/>
    <w:rsid w:val="408B3582"/>
    <w:rsid w:val="40A271FB"/>
    <w:rsid w:val="40AC697A"/>
    <w:rsid w:val="40B35822"/>
    <w:rsid w:val="40BD4986"/>
    <w:rsid w:val="40D62B1B"/>
    <w:rsid w:val="40E918E0"/>
    <w:rsid w:val="40EB4EF3"/>
    <w:rsid w:val="40F9573D"/>
    <w:rsid w:val="40FB7CD9"/>
    <w:rsid w:val="41295904"/>
    <w:rsid w:val="41334BFE"/>
    <w:rsid w:val="41741F64"/>
    <w:rsid w:val="41990819"/>
    <w:rsid w:val="41A8707B"/>
    <w:rsid w:val="41AB64A6"/>
    <w:rsid w:val="41FB2617"/>
    <w:rsid w:val="4200449D"/>
    <w:rsid w:val="42103E6B"/>
    <w:rsid w:val="42310A37"/>
    <w:rsid w:val="423A3BCC"/>
    <w:rsid w:val="424C5524"/>
    <w:rsid w:val="424E57D2"/>
    <w:rsid w:val="426777DD"/>
    <w:rsid w:val="427B7ACD"/>
    <w:rsid w:val="4280612D"/>
    <w:rsid w:val="428A1134"/>
    <w:rsid w:val="429C1DBC"/>
    <w:rsid w:val="42B26C49"/>
    <w:rsid w:val="433A6FE6"/>
    <w:rsid w:val="433C6DF6"/>
    <w:rsid w:val="43480868"/>
    <w:rsid w:val="434D4673"/>
    <w:rsid w:val="4350713C"/>
    <w:rsid w:val="436653E0"/>
    <w:rsid w:val="438B38FF"/>
    <w:rsid w:val="43913CF7"/>
    <w:rsid w:val="43A5322D"/>
    <w:rsid w:val="43A70D9D"/>
    <w:rsid w:val="43AE07EE"/>
    <w:rsid w:val="43C4431A"/>
    <w:rsid w:val="43C61C03"/>
    <w:rsid w:val="43D24DF3"/>
    <w:rsid w:val="43DF7102"/>
    <w:rsid w:val="43E066EE"/>
    <w:rsid w:val="43E611E6"/>
    <w:rsid w:val="43FD274D"/>
    <w:rsid w:val="440A2A40"/>
    <w:rsid w:val="441546E3"/>
    <w:rsid w:val="441819E6"/>
    <w:rsid w:val="44406A3F"/>
    <w:rsid w:val="44647E45"/>
    <w:rsid w:val="446C33EF"/>
    <w:rsid w:val="4476083D"/>
    <w:rsid w:val="448D2BE6"/>
    <w:rsid w:val="449C60CF"/>
    <w:rsid w:val="44A55B45"/>
    <w:rsid w:val="44B951CC"/>
    <w:rsid w:val="44CD14E0"/>
    <w:rsid w:val="44F20B0B"/>
    <w:rsid w:val="44FB147F"/>
    <w:rsid w:val="44FB3C9F"/>
    <w:rsid w:val="44FD2839"/>
    <w:rsid w:val="451B0DF5"/>
    <w:rsid w:val="451C7DF8"/>
    <w:rsid w:val="45287029"/>
    <w:rsid w:val="452A2F41"/>
    <w:rsid w:val="452E5F4C"/>
    <w:rsid w:val="45333FF8"/>
    <w:rsid w:val="45437E5B"/>
    <w:rsid w:val="455A1347"/>
    <w:rsid w:val="45612018"/>
    <w:rsid w:val="458946E9"/>
    <w:rsid w:val="45953B49"/>
    <w:rsid w:val="459E6A4B"/>
    <w:rsid w:val="459F5A05"/>
    <w:rsid w:val="45A47C0E"/>
    <w:rsid w:val="45A72544"/>
    <w:rsid w:val="45C0434F"/>
    <w:rsid w:val="45CB5757"/>
    <w:rsid w:val="460E0E0B"/>
    <w:rsid w:val="4617371D"/>
    <w:rsid w:val="462828DB"/>
    <w:rsid w:val="463363C2"/>
    <w:rsid w:val="464A073F"/>
    <w:rsid w:val="46577FD6"/>
    <w:rsid w:val="46681B61"/>
    <w:rsid w:val="468D7573"/>
    <w:rsid w:val="46C35A5B"/>
    <w:rsid w:val="46D955A7"/>
    <w:rsid w:val="46E11A8A"/>
    <w:rsid w:val="46EB305D"/>
    <w:rsid w:val="46FE356C"/>
    <w:rsid w:val="4704029D"/>
    <w:rsid w:val="47133957"/>
    <w:rsid w:val="47411D82"/>
    <w:rsid w:val="474A3F44"/>
    <w:rsid w:val="47616341"/>
    <w:rsid w:val="478B2331"/>
    <w:rsid w:val="47A07E0C"/>
    <w:rsid w:val="47AA0118"/>
    <w:rsid w:val="47B46C88"/>
    <w:rsid w:val="47FA01A5"/>
    <w:rsid w:val="48437DB7"/>
    <w:rsid w:val="485E654E"/>
    <w:rsid w:val="486D7478"/>
    <w:rsid w:val="4870272E"/>
    <w:rsid w:val="488629E6"/>
    <w:rsid w:val="48AA133A"/>
    <w:rsid w:val="48AE0333"/>
    <w:rsid w:val="48B93BB8"/>
    <w:rsid w:val="48BE4C38"/>
    <w:rsid w:val="48C62896"/>
    <w:rsid w:val="49066031"/>
    <w:rsid w:val="490B16EF"/>
    <w:rsid w:val="491E4590"/>
    <w:rsid w:val="492232C4"/>
    <w:rsid w:val="492B24E1"/>
    <w:rsid w:val="493207E9"/>
    <w:rsid w:val="493875F6"/>
    <w:rsid w:val="49920598"/>
    <w:rsid w:val="49AD477B"/>
    <w:rsid w:val="49C47B7A"/>
    <w:rsid w:val="49D80DF3"/>
    <w:rsid w:val="49DC7715"/>
    <w:rsid w:val="49E513F6"/>
    <w:rsid w:val="49E56C13"/>
    <w:rsid w:val="49E95FEB"/>
    <w:rsid w:val="49F5767B"/>
    <w:rsid w:val="4A023139"/>
    <w:rsid w:val="4A270C2E"/>
    <w:rsid w:val="4A2E4979"/>
    <w:rsid w:val="4A415C1A"/>
    <w:rsid w:val="4A491927"/>
    <w:rsid w:val="4A7B576F"/>
    <w:rsid w:val="4A873B27"/>
    <w:rsid w:val="4A8D4D4C"/>
    <w:rsid w:val="4AB26A15"/>
    <w:rsid w:val="4AB80843"/>
    <w:rsid w:val="4ADC59A0"/>
    <w:rsid w:val="4AE04498"/>
    <w:rsid w:val="4AF561A9"/>
    <w:rsid w:val="4B0778FC"/>
    <w:rsid w:val="4B1121C7"/>
    <w:rsid w:val="4B4C3208"/>
    <w:rsid w:val="4B546ED7"/>
    <w:rsid w:val="4B7F0D40"/>
    <w:rsid w:val="4B935B8E"/>
    <w:rsid w:val="4BA342DC"/>
    <w:rsid w:val="4BB420F4"/>
    <w:rsid w:val="4BD2003F"/>
    <w:rsid w:val="4BF234DB"/>
    <w:rsid w:val="4C0348E9"/>
    <w:rsid w:val="4C4A0649"/>
    <w:rsid w:val="4C602DD6"/>
    <w:rsid w:val="4C631BBD"/>
    <w:rsid w:val="4C7739C5"/>
    <w:rsid w:val="4C7E5ECA"/>
    <w:rsid w:val="4C876AA5"/>
    <w:rsid w:val="4C891E0E"/>
    <w:rsid w:val="4CA50D68"/>
    <w:rsid w:val="4CA52124"/>
    <w:rsid w:val="4CB156F0"/>
    <w:rsid w:val="4CD32DE0"/>
    <w:rsid w:val="4D0E00FB"/>
    <w:rsid w:val="4D176606"/>
    <w:rsid w:val="4D203FF9"/>
    <w:rsid w:val="4D265BFE"/>
    <w:rsid w:val="4D31757A"/>
    <w:rsid w:val="4D3C7E85"/>
    <w:rsid w:val="4D412ED7"/>
    <w:rsid w:val="4D50068C"/>
    <w:rsid w:val="4D516145"/>
    <w:rsid w:val="4D5B18CC"/>
    <w:rsid w:val="4D605845"/>
    <w:rsid w:val="4D6F5324"/>
    <w:rsid w:val="4DE743A5"/>
    <w:rsid w:val="4DEC4FB0"/>
    <w:rsid w:val="4DFA5860"/>
    <w:rsid w:val="4E075D8A"/>
    <w:rsid w:val="4E134BEC"/>
    <w:rsid w:val="4E273FDF"/>
    <w:rsid w:val="4E411D57"/>
    <w:rsid w:val="4E52048A"/>
    <w:rsid w:val="4E682AE6"/>
    <w:rsid w:val="4E682E63"/>
    <w:rsid w:val="4E972F9A"/>
    <w:rsid w:val="4EA42BDC"/>
    <w:rsid w:val="4EC00FAD"/>
    <w:rsid w:val="4EC1352F"/>
    <w:rsid w:val="4ECD7268"/>
    <w:rsid w:val="4EF31354"/>
    <w:rsid w:val="4EF40AD5"/>
    <w:rsid w:val="4F08012A"/>
    <w:rsid w:val="4F2D31D4"/>
    <w:rsid w:val="4F561F19"/>
    <w:rsid w:val="4F7C5708"/>
    <w:rsid w:val="4F7D1C4E"/>
    <w:rsid w:val="4F8A23DA"/>
    <w:rsid w:val="4F966A3C"/>
    <w:rsid w:val="4F9843DC"/>
    <w:rsid w:val="4FAA15A0"/>
    <w:rsid w:val="4FC46CD2"/>
    <w:rsid w:val="4FC62A8C"/>
    <w:rsid w:val="4FC74F1E"/>
    <w:rsid w:val="4FD21B51"/>
    <w:rsid w:val="4FD5097E"/>
    <w:rsid w:val="4FE20F0D"/>
    <w:rsid w:val="4FE51552"/>
    <w:rsid w:val="50023A2D"/>
    <w:rsid w:val="500A2E3F"/>
    <w:rsid w:val="501C4D90"/>
    <w:rsid w:val="504F0C6A"/>
    <w:rsid w:val="50504C4B"/>
    <w:rsid w:val="507E354A"/>
    <w:rsid w:val="509C6E7C"/>
    <w:rsid w:val="50A01E1C"/>
    <w:rsid w:val="50A63920"/>
    <w:rsid w:val="50BC3435"/>
    <w:rsid w:val="50C93B1B"/>
    <w:rsid w:val="50CD622C"/>
    <w:rsid w:val="50CF4173"/>
    <w:rsid w:val="50D752DD"/>
    <w:rsid w:val="50DA20BD"/>
    <w:rsid w:val="50E11196"/>
    <w:rsid w:val="50F57FAD"/>
    <w:rsid w:val="5104333C"/>
    <w:rsid w:val="510B6548"/>
    <w:rsid w:val="510E040A"/>
    <w:rsid w:val="51234A00"/>
    <w:rsid w:val="514376F4"/>
    <w:rsid w:val="515D13EB"/>
    <w:rsid w:val="5162104E"/>
    <w:rsid w:val="516E5D2A"/>
    <w:rsid w:val="51822F98"/>
    <w:rsid w:val="51A529E3"/>
    <w:rsid w:val="51C215F6"/>
    <w:rsid w:val="51F650A2"/>
    <w:rsid w:val="51F97A1B"/>
    <w:rsid w:val="521258AE"/>
    <w:rsid w:val="52163E41"/>
    <w:rsid w:val="52192EC5"/>
    <w:rsid w:val="5220350C"/>
    <w:rsid w:val="523169D9"/>
    <w:rsid w:val="52437432"/>
    <w:rsid w:val="5254564A"/>
    <w:rsid w:val="526D048D"/>
    <w:rsid w:val="527236A8"/>
    <w:rsid w:val="52801EB1"/>
    <w:rsid w:val="52A53B73"/>
    <w:rsid w:val="52A97F2F"/>
    <w:rsid w:val="52C91997"/>
    <w:rsid w:val="52EA1E11"/>
    <w:rsid w:val="5326057B"/>
    <w:rsid w:val="53475756"/>
    <w:rsid w:val="534A3F94"/>
    <w:rsid w:val="537D5377"/>
    <w:rsid w:val="53A039CC"/>
    <w:rsid w:val="53A1505A"/>
    <w:rsid w:val="53C03498"/>
    <w:rsid w:val="53EB65BC"/>
    <w:rsid w:val="54022298"/>
    <w:rsid w:val="54063E08"/>
    <w:rsid w:val="54075CAA"/>
    <w:rsid w:val="542E2D6E"/>
    <w:rsid w:val="54342872"/>
    <w:rsid w:val="543437E8"/>
    <w:rsid w:val="543E71BF"/>
    <w:rsid w:val="544447C3"/>
    <w:rsid w:val="546B3BE0"/>
    <w:rsid w:val="546B4A77"/>
    <w:rsid w:val="546B75FF"/>
    <w:rsid w:val="547C49A6"/>
    <w:rsid w:val="54906232"/>
    <w:rsid w:val="54AC6852"/>
    <w:rsid w:val="54E154CE"/>
    <w:rsid w:val="54E365E1"/>
    <w:rsid w:val="54E917F0"/>
    <w:rsid w:val="54F73313"/>
    <w:rsid w:val="54F80955"/>
    <w:rsid w:val="55377E10"/>
    <w:rsid w:val="555170A7"/>
    <w:rsid w:val="556768C8"/>
    <w:rsid w:val="55765900"/>
    <w:rsid w:val="5587536D"/>
    <w:rsid w:val="559B174B"/>
    <w:rsid w:val="55A61EB4"/>
    <w:rsid w:val="55CE0CF4"/>
    <w:rsid w:val="55D81628"/>
    <w:rsid w:val="55E64320"/>
    <w:rsid w:val="55EC00EF"/>
    <w:rsid w:val="56047E4A"/>
    <w:rsid w:val="56063CD3"/>
    <w:rsid w:val="561A3846"/>
    <w:rsid w:val="5674220D"/>
    <w:rsid w:val="56A24475"/>
    <w:rsid w:val="56B22A9C"/>
    <w:rsid w:val="56BA022C"/>
    <w:rsid w:val="56BF2C00"/>
    <w:rsid w:val="56F22BBF"/>
    <w:rsid w:val="56FE0142"/>
    <w:rsid w:val="57040CDA"/>
    <w:rsid w:val="571F2D2A"/>
    <w:rsid w:val="572A2BAF"/>
    <w:rsid w:val="5755170C"/>
    <w:rsid w:val="576844A4"/>
    <w:rsid w:val="57763762"/>
    <w:rsid w:val="578774D7"/>
    <w:rsid w:val="578B0C0A"/>
    <w:rsid w:val="57A127D1"/>
    <w:rsid w:val="57AB3006"/>
    <w:rsid w:val="57B72A76"/>
    <w:rsid w:val="57C3426C"/>
    <w:rsid w:val="57CA16F3"/>
    <w:rsid w:val="57CE1F93"/>
    <w:rsid w:val="57D80CD6"/>
    <w:rsid w:val="581C4820"/>
    <w:rsid w:val="5830254B"/>
    <w:rsid w:val="58624E13"/>
    <w:rsid w:val="58676F42"/>
    <w:rsid w:val="588743D1"/>
    <w:rsid w:val="5887701A"/>
    <w:rsid w:val="589170F3"/>
    <w:rsid w:val="58B87AE9"/>
    <w:rsid w:val="58C571D3"/>
    <w:rsid w:val="58E80104"/>
    <w:rsid w:val="58E975E2"/>
    <w:rsid w:val="590309D6"/>
    <w:rsid w:val="5909593A"/>
    <w:rsid w:val="592229DF"/>
    <w:rsid w:val="59BB4CBE"/>
    <w:rsid w:val="59BF574F"/>
    <w:rsid w:val="59C0439F"/>
    <w:rsid w:val="59CA4B5C"/>
    <w:rsid w:val="59FD1F59"/>
    <w:rsid w:val="59FE62C7"/>
    <w:rsid w:val="5A077B9C"/>
    <w:rsid w:val="5A0B33B3"/>
    <w:rsid w:val="5A134304"/>
    <w:rsid w:val="5A1D2A8B"/>
    <w:rsid w:val="5A340C4D"/>
    <w:rsid w:val="5A3F1082"/>
    <w:rsid w:val="5A4846DD"/>
    <w:rsid w:val="5A7F75C3"/>
    <w:rsid w:val="5ABE2233"/>
    <w:rsid w:val="5AC1120B"/>
    <w:rsid w:val="5AC9099E"/>
    <w:rsid w:val="5AD07E9C"/>
    <w:rsid w:val="5AE43DF4"/>
    <w:rsid w:val="5B1E0299"/>
    <w:rsid w:val="5B274958"/>
    <w:rsid w:val="5B700624"/>
    <w:rsid w:val="5B766EC3"/>
    <w:rsid w:val="5BD704D2"/>
    <w:rsid w:val="5BD738B3"/>
    <w:rsid w:val="5BDB25DA"/>
    <w:rsid w:val="5BDF5D95"/>
    <w:rsid w:val="5BEB5E4E"/>
    <w:rsid w:val="5BEF6590"/>
    <w:rsid w:val="5BF22B76"/>
    <w:rsid w:val="5BFE7528"/>
    <w:rsid w:val="5C0C6271"/>
    <w:rsid w:val="5C182C5C"/>
    <w:rsid w:val="5C1C3F05"/>
    <w:rsid w:val="5C231AE6"/>
    <w:rsid w:val="5C271D8A"/>
    <w:rsid w:val="5C35459F"/>
    <w:rsid w:val="5C435D2C"/>
    <w:rsid w:val="5C535D6C"/>
    <w:rsid w:val="5C696396"/>
    <w:rsid w:val="5C785B0E"/>
    <w:rsid w:val="5C922EE4"/>
    <w:rsid w:val="5CA61402"/>
    <w:rsid w:val="5CB37530"/>
    <w:rsid w:val="5CB77A6F"/>
    <w:rsid w:val="5CBE778D"/>
    <w:rsid w:val="5CC0255D"/>
    <w:rsid w:val="5CF472F2"/>
    <w:rsid w:val="5D175908"/>
    <w:rsid w:val="5D235330"/>
    <w:rsid w:val="5D583775"/>
    <w:rsid w:val="5D5B467A"/>
    <w:rsid w:val="5D665593"/>
    <w:rsid w:val="5D7E1D51"/>
    <w:rsid w:val="5D8C01C0"/>
    <w:rsid w:val="5DB036DE"/>
    <w:rsid w:val="5DE45E8D"/>
    <w:rsid w:val="5DF03668"/>
    <w:rsid w:val="5E0B2D27"/>
    <w:rsid w:val="5E2467F1"/>
    <w:rsid w:val="5E347769"/>
    <w:rsid w:val="5E3D0EB5"/>
    <w:rsid w:val="5E4E2D4E"/>
    <w:rsid w:val="5E7C0F03"/>
    <w:rsid w:val="5E7C7D4A"/>
    <w:rsid w:val="5E7E7166"/>
    <w:rsid w:val="5EA174D9"/>
    <w:rsid w:val="5EA30760"/>
    <w:rsid w:val="5EB80BD1"/>
    <w:rsid w:val="5ED97B14"/>
    <w:rsid w:val="5F1A2434"/>
    <w:rsid w:val="5F1A2B43"/>
    <w:rsid w:val="5F1D1CEB"/>
    <w:rsid w:val="5F806387"/>
    <w:rsid w:val="5F8461E4"/>
    <w:rsid w:val="5FB837BB"/>
    <w:rsid w:val="5FCC2338"/>
    <w:rsid w:val="5FD016A0"/>
    <w:rsid w:val="5FD045AE"/>
    <w:rsid w:val="5FF47198"/>
    <w:rsid w:val="60005323"/>
    <w:rsid w:val="601020FE"/>
    <w:rsid w:val="60165F2C"/>
    <w:rsid w:val="604B7AA0"/>
    <w:rsid w:val="605C2251"/>
    <w:rsid w:val="609F1D18"/>
    <w:rsid w:val="60BA7C05"/>
    <w:rsid w:val="60C375E9"/>
    <w:rsid w:val="60C414BF"/>
    <w:rsid w:val="60C75060"/>
    <w:rsid w:val="60CC405A"/>
    <w:rsid w:val="60D04092"/>
    <w:rsid w:val="60D96A2E"/>
    <w:rsid w:val="60EA13E6"/>
    <w:rsid w:val="60F73598"/>
    <w:rsid w:val="610D792C"/>
    <w:rsid w:val="61164AFF"/>
    <w:rsid w:val="614C4218"/>
    <w:rsid w:val="616479B4"/>
    <w:rsid w:val="61750C5F"/>
    <w:rsid w:val="6184529B"/>
    <w:rsid w:val="6194389E"/>
    <w:rsid w:val="61AF6E4A"/>
    <w:rsid w:val="61C32B50"/>
    <w:rsid w:val="61C47F91"/>
    <w:rsid w:val="61D47FC4"/>
    <w:rsid w:val="61E215D8"/>
    <w:rsid w:val="61E77AB6"/>
    <w:rsid w:val="61EC506F"/>
    <w:rsid w:val="61F30055"/>
    <w:rsid w:val="61F608E8"/>
    <w:rsid w:val="621B3775"/>
    <w:rsid w:val="621F0495"/>
    <w:rsid w:val="62364782"/>
    <w:rsid w:val="623F493F"/>
    <w:rsid w:val="6244506A"/>
    <w:rsid w:val="626664E2"/>
    <w:rsid w:val="627B7835"/>
    <w:rsid w:val="627D4E05"/>
    <w:rsid w:val="62C37E78"/>
    <w:rsid w:val="62D23B02"/>
    <w:rsid w:val="62E367B6"/>
    <w:rsid w:val="62EC27C4"/>
    <w:rsid w:val="62FD57AF"/>
    <w:rsid w:val="630261E5"/>
    <w:rsid w:val="6311617B"/>
    <w:rsid w:val="6314166A"/>
    <w:rsid w:val="63271E74"/>
    <w:rsid w:val="637A3D7B"/>
    <w:rsid w:val="63915F16"/>
    <w:rsid w:val="6394356A"/>
    <w:rsid w:val="63944ECE"/>
    <w:rsid w:val="63AA14AC"/>
    <w:rsid w:val="63AC0F0D"/>
    <w:rsid w:val="63C61B2C"/>
    <w:rsid w:val="63CE41E0"/>
    <w:rsid w:val="63D40BE9"/>
    <w:rsid w:val="64102431"/>
    <w:rsid w:val="641115D2"/>
    <w:rsid w:val="64137ECF"/>
    <w:rsid w:val="64160118"/>
    <w:rsid w:val="64183C70"/>
    <w:rsid w:val="641D693A"/>
    <w:rsid w:val="64387E94"/>
    <w:rsid w:val="646526B5"/>
    <w:rsid w:val="64820F85"/>
    <w:rsid w:val="649B30F5"/>
    <w:rsid w:val="64A50571"/>
    <w:rsid w:val="64A5243A"/>
    <w:rsid w:val="64AE103A"/>
    <w:rsid w:val="64BF0A4A"/>
    <w:rsid w:val="64CC4A93"/>
    <w:rsid w:val="64CC6BBE"/>
    <w:rsid w:val="64D45F20"/>
    <w:rsid w:val="64F531DE"/>
    <w:rsid w:val="65017942"/>
    <w:rsid w:val="65077544"/>
    <w:rsid w:val="65084A3A"/>
    <w:rsid w:val="6510207E"/>
    <w:rsid w:val="651B3CB9"/>
    <w:rsid w:val="653037CB"/>
    <w:rsid w:val="653414F7"/>
    <w:rsid w:val="65373578"/>
    <w:rsid w:val="655535DC"/>
    <w:rsid w:val="65CC1A82"/>
    <w:rsid w:val="65E21C9B"/>
    <w:rsid w:val="65E228B5"/>
    <w:rsid w:val="65F61DCF"/>
    <w:rsid w:val="661F3B4D"/>
    <w:rsid w:val="663D7220"/>
    <w:rsid w:val="6646105B"/>
    <w:rsid w:val="666E22E9"/>
    <w:rsid w:val="669C1D0C"/>
    <w:rsid w:val="669D7CF1"/>
    <w:rsid w:val="66A300E0"/>
    <w:rsid w:val="66BA3637"/>
    <w:rsid w:val="66BF28ED"/>
    <w:rsid w:val="66DB678E"/>
    <w:rsid w:val="66DD507D"/>
    <w:rsid w:val="671F124A"/>
    <w:rsid w:val="67263D46"/>
    <w:rsid w:val="672E4B87"/>
    <w:rsid w:val="673D3C8F"/>
    <w:rsid w:val="674477D8"/>
    <w:rsid w:val="674503AD"/>
    <w:rsid w:val="67570301"/>
    <w:rsid w:val="675E530B"/>
    <w:rsid w:val="675F0720"/>
    <w:rsid w:val="677A33C6"/>
    <w:rsid w:val="67B33C5A"/>
    <w:rsid w:val="67CF76C6"/>
    <w:rsid w:val="67DF752F"/>
    <w:rsid w:val="67E07DF3"/>
    <w:rsid w:val="67E843A2"/>
    <w:rsid w:val="68082859"/>
    <w:rsid w:val="681B393D"/>
    <w:rsid w:val="681F6961"/>
    <w:rsid w:val="684E557E"/>
    <w:rsid w:val="68545BE1"/>
    <w:rsid w:val="685D2A3F"/>
    <w:rsid w:val="68610A2F"/>
    <w:rsid w:val="68707B5D"/>
    <w:rsid w:val="68760147"/>
    <w:rsid w:val="68805514"/>
    <w:rsid w:val="688409B7"/>
    <w:rsid w:val="688A33AF"/>
    <w:rsid w:val="688D6903"/>
    <w:rsid w:val="68A04A87"/>
    <w:rsid w:val="68BF0152"/>
    <w:rsid w:val="68D96581"/>
    <w:rsid w:val="68F268B8"/>
    <w:rsid w:val="68F54613"/>
    <w:rsid w:val="68F93060"/>
    <w:rsid w:val="6930523C"/>
    <w:rsid w:val="69316E2F"/>
    <w:rsid w:val="694E2071"/>
    <w:rsid w:val="695003CF"/>
    <w:rsid w:val="69566AC3"/>
    <w:rsid w:val="69766163"/>
    <w:rsid w:val="697A3B33"/>
    <w:rsid w:val="69C02A46"/>
    <w:rsid w:val="69C6209F"/>
    <w:rsid w:val="69D44760"/>
    <w:rsid w:val="69D5401F"/>
    <w:rsid w:val="69E733D1"/>
    <w:rsid w:val="69F75909"/>
    <w:rsid w:val="69F774BD"/>
    <w:rsid w:val="6A250D67"/>
    <w:rsid w:val="6A3D1D23"/>
    <w:rsid w:val="6A520EC7"/>
    <w:rsid w:val="6A93722C"/>
    <w:rsid w:val="6AA27CC9"/>
    <w:rsid w:val="6AF87E20"/>
    <w:rsid w:val="6B036728"/>
    <w:rsid w:val="6B322639"/>
    <w:rsid w:val="6B3B5A2D"/>
    <w:rsid w:val="6B4721C8"/>
    <w:rsid w:val="6B4A040A"/>
    <w:rsid w:val="6B5E3B9A"/>
    <w:rsid w:val="6B645E24"/>
    <w:rsid w:val="6B662967"/>
    <w:rsid w:val="6BAF1412"/>
    <w:rsid w:val="6BC02CF2"/>
    <w:rsid w:val="6BC725F5"/>
    <w:rsid w:val="6BCD7B03"/>
    <w:rsid w:val="6BDC530E"/>
    <w:rsid w:val="6BE44C0B"/>
    <w:rsid w:val="6C010A55"/>
    <w:rsid w:val="6C1A27BF"/>
    <w:rsid w:val="6C230E50"/>
    <w:rsid w:val="6C4A4726"/>
    <w:rsid w:val="6C5048A0"/>
    <w:rsid w:val="6C636C38"/>
    <w:rsid w:val="6C6B4B27"/>
    <w:rsid w:val="6CDB4B7E"/>
    <w:rsid w:val="6CFE1046"/>
    <w:rsid w:val="6D067F35"/>
    <w:rsid w:val="6D1B785B"/>
    <w:rsid w:val="6D1C1530"/>
    <w:rsid w:val="6D491921"/>
    <w:rsid w:val="6D681543"/>
    <w:rsid w:val="6D6B1AE6"/>
    <w:rsid w:val="6DA81246"/>
    <w:rsid w:val="6DB34098"/>
    <w:rsid w:val="6DB545B6"/>
    <w:rsid w:val="6DB60B4E"/>
    <w:rsid w:val="6DB71F99"/>
    <w:rsid w:val="6DB86CD3"/>
    <w:rsid w:val="6DE02FB4"/>
    <w:rsid w:val="6DE20EA9"/>
    <w:rsid w:val="6DE77562"/>
    <w:rsid w:val="6DEF3FC3"/>
    <w:rsid w:val="6E067D19"/>
    <w:rsid w:val="6E350EB4"/>
    <w:rsid w:val="6E360F77"/>
    <w:rsid w:val="6E390D09"/>
    <w:rsid w:val="6E4B3AC0"/>
    <w:rsid w:val="6E4F5130"/>
    <w:rsid w:val="6E514CED"/>
    <w:rsid w:val="6E562892"/>
    <w:rsid w:val="6E7C3D2A"/>
    <w:rsid w:val="6E7E13CF"/>
    <w:rsid w:val="6E810732"/>
    <w:rsid w:val="6EB06506"/>
    <w:rsid w:val="6EB563D5"/>
    <w:rsid w:val="6EB937B7"/>
    <w:rsid w:val="6EBD0DE2"/>
    <w:rsid w:val="6EBD71BF"/>
    <w:rsid w:val="6ED1618A"/>
    <w:rsid w:val="6ED92677"/>
    <w:rsid w:val="6EE12C44"/>
    <w:rsid w:val="6EE21AD7"/>
    <w:rsid w:val="6EE75C9E"/>
    <w:rsid w:val="6EEE5E59"/>
    <w:rsid w:val="6EFA30FB"/>
    <w:rsid w:val="6F1F4A0C"/>
    <w:rsid w:val="6F225983"/>
    <w:rsid w:val="6F237D4D"/>
    <w:rsid w:val="6F423A84"/>
    <w:rsid w:val="6F543CA1"/>
    <w:rsid w:val="6F67547C"/>
    <w:rsid w:val="6F78796B"/>
    <w:rsid w:val="6F7A4F50"/>
    <w:rsid w:val="6F7D5F07"/>
    <w:rsid w:val="6F933A4C"/>
    <w:rsid w:val="6FAD7047"/>
    <w:rsid w:val="6FD26F48"/>
    <w:rsid w:val="6FE424EF"/>
    <w:rsid w:val="6FF7373A"/>
    <w:rsid w:val="6FFC5590"/>
    <w:rsid w:val="700141BF"/>
    <w:rsid w:val="70104815"/>
    <w:rsid w:val="703347BF"/>
    <w:rsid w:val="703815DF"/>
    <w:rsid w:val="703F45D4"/>
    <w:rsid w:val="704268B3"/>
    <w:rsid w:val="7048710D"/>
    <w:rsid w:val="704944F5"/>
    <w:rsid w:val="706D1DD0"/>
    <w:rsid w:val="70856B87"/>
    <w:rsid w:val="70B26BE8"/>
    <w:rsid w:val="70B546A0"/>
    <w:rsid w:val="70D527EE"/>
    <w:rsid w:val="70ED724E"/>
    <w:rsid w:val="71045DFC"/>
    <w:rsid w:val="71061A09"/>
    <w:rsid w:val="713E690E"/>
    <w:rsid w:val="714374B3"/>
    <w:rsid w:val="715B5300"/>
    <w:rsid w:val="7162248E"/>
    <w:rsid w:val="71A334D5"/>
    <w:rsid w:val="71A835F5"/>
    <w:rsid w:val="71B80653"/>
    <w:rsid w:val="71BF6D88"/>
    <w:rsid w:val="71C37A31"/>
    <w:rsid w:val="71D27F8A"/>
    <w:rsid w:val="71E86B5F"/>
    <w:rsid w:val="71FF5E6F"/>
    <w:rsid w:val="720E6D46"/>
    <w:rsid w:val="720F1E71"/>
    <w:rsid w:val="723567A1"/>
    <w:rsid w:val="72553024"/>
    <w:rsid w:val="72761CF1"/>
    <w:rsid w:val="72897ACA"/>
    <w:rsid w:val="72986B80"/>
    <w:rsid w:val="729A2636"/>
    <w:rsid w:val="72B524BB"/>
    <w:rsid w:val="72B86759"/>
    <w:rsid w:val="72E3378D"/>
    <w:rsid w:val="7307342C"/>
    <w:rsid w:val="73122968"/>
    <w:rsid w:val="731B4286"/>
    <w:rsid w:val="731B586D"/>
    <w:rsid w:val="731F5D5E"/>
    <w:rsid w:val="73256ADA"/>
    <w:rsid w:val="732B3BA9"/>
    <w:rsid w:val="73502FE9"/>
    <w:rsid w:val="7354381C"/>
    <w:rsid w:val="735B0B79"/>
    <w:rsid w:val="73920D38"/>
    <w:rsid w:val="73947BDA"/>
    <w:rsid w:val="73C51AD5"/>
    <w:rsid w:val="74063C6C"/>
    <w:rsid w:val="741C45D2"/>
    <w:rsid w:val="741E793C"/>
    <w:rsid w:val="7424697E"/>
    <w:rsid w:val="745E3944"/>
    <w:rsid w:val="74AA65F2"/>
    <w:rsid w:val="74AF3257"/>
    <w:rsid w:val="74BC7DEC"/>
    <w:rsid w:val="74D16C43"/>
    <w:rsid w:val="74D821E2"/>
    <w:rsid w:val="74F12A95"/>
    <w:rsid w:val="74FC4E0C"/>
    <w:rsid w:val="74FE1CFE"/>
    <w:rsid w:val="753429D5"/>
    <w:rsid w:val="754615F5"/>
    <w:rsid w:val="754B2BBC"/>
    <w:rsid w:val="757050AF"/>
    <w:rsid w:val="757B442E"/>
    <w:rsid w:val="759978E8"/>
    <w:rsid w:val="75AE3870"/>
    <w:rsid w:val="75EC12F6"/>
    <w:rsid w:val="75F47937"/>
    <w:rsid w:val="75FC66D4"/>
    <w:rsid w:val="760F615C"/>
    <w:rsid w:val="762A2654"/>
    <w:rsid w:val="763408CA"/>
    <w:rsid w:val="7635099D"/>
    <w:rsid w:val="764042CC"/>
    <w:rsid w:val="765A4F8A"/>
    <w:rsid w:val="76777677"/>
    <w:rsid w:val="767801A3"/>
    <w:rsid w:val="76800D1D"/>
    <w:rsid w:val="768459E5"/>
    <w:rsid w:val="76CE03C7"/>
    <w:rsid w:val="76CF566C"/>
    <w:rsid w:val="76D10584"/>
    <w:rsid w:val="76E51329"/>
    <w:rsid w:val="76FB2A8B"/>
    <w:rsid w:val="77104A38"/>
    <w:rsid w:val="77156DE6"/>
    <w:rsid w:val="773559B8"/>
    <w:rsid w:val="774079DD"/>
    <w:rsid w:val="7745580C"/>
    <w:rsid w:val="774A35B1"/>
    <w:rsid w:val="775270B4"/>
    <w:rsid w:val="77762421"/>
    <w:rsid w:val="77876864"/>
    <w:rsid w:val="77903885"/>
    <w:rsid w:val="7794758B"/>
    <w:rsid w:val="77AA58C1"/>
    <w:rsid w:val="77B56B1F"/>
    <w:rsid w:val="77BA00B1"/>
    <w:rsid w:val="77C325A6"/>
    <w:rsid w:val="77CD621A"/>
    <w:rsid w:val="77D4045E"/>
    <w:rsid w:val="77FE3AD0"/>
    <w:rsid w:val="780F09F4"/>
    <w:rsid w:val="781018EC"/>
    <w:rsid w:val="781E4D03"/>
    <w:rsid w:val="782928C6"/>
    <w:rsid w:val="783D02F8"/>
    <w:rsid w:val="7855661D"/>
    <w:rsid w:val="78683FD9"/>
    <w:rsid w:val="786E008E"/>
    <w:rsid w:val="78862FFC"/>
    <w:rsid w:val="78A4626E"/>
    <w:rsid w:val="78A90480"/>
    <w:rsid w:val="78B666FB"/>
    <w:rsid w:val="78BE7947"/>
    <w:rsid w:val="790056CF"/>
    <w:rsid w:val="79225DE5"/>
    <w:rsid w:val="79264056"/>
    <w:rsid w:val="7938330E"/>
    <w:rsid w:val="79423371"/>
    <w:rsid w:val="795D45AB"/>
    <w:rsid w:val="79725837"/>
    <w:rsid w:val="79744928"/>
    <w:rsid w:val="79995CCD"/>
    <w:rsid w:val="79A54924"/>
    <w:rsid w:val="79EB25EB"/>
    <w:rsid w:val="79EB59D2"/>
    <w:rsid w:val="79F4463C"/>
    <w:rsid w:val="7A181E4A"/>
    <w:rsid w:val="7A2659D2"/>
    <w:rsid w:val="7A273E92"/>
    <w:rsid w:val="7A364017"/>
    <w:rsid w:val="7A8265E1"/>
    <w:rsid w:val="7A8A246D"/>
    <w:rsid w:val="7A9D70D9"/>
    <w:rsid w:val="7AA47696"/>
    <w:rsid w:val="7AF66E44"/>
    <w:rsid w:val="7B022ED8"/>
    <w:rsid w:val="7B1B6DEC"/>
    <w:rsid w:val="7B1C6070"/>
    <w:rsid w:val="7B251C27"/>
    <w:rsid w:val="7B3616E5"/>
    <w:rsid w:val="7B5E6CA2"/>
    <w:rsid w:val="7B686D42"/>
    <w:rsid w:val="7B841746"/>
    <w:rsid w:val="7B903CFF"/>
    <w:rsid w:val="7BAA7488"/>
    <w:rsid w:val="7BC604BA"/>
    <w:rsid w:val="7BDF2398"/>
    <w:rsid w:val="7BE04F99"/>
    <w:rsid w:val="7BEB3A1D"/>
    <w:rsid w:val="7C2613BB"/>
    <w:rsid w:val="7C2979EE"/>
    <w:rsid w:val="7C503225"/>
    <w:rsid w:val="7C6C5AC7"/>
    <w:rsid w:val="7C7509C7"/>
    <w:rsid w:val="7C9D798B"/>
    <w:rsid w:val="7CC11937"/>
    <w:rsid w:val="7CC6544B"/>
    <w:rsid w:val="7CC83DAB"/>
    <w:rsid w:val="7CED6271"/>
    <w:rsid w:val="7D0239FF"/>
    <w:rsid w:val="7D040868"/>
    <w:rsid w:val="7D133DA4"/>
    <w:rsid w:val="7D1B4E40"/>
    <w:rsid w:val="7D3D1B09"/>
    <w:rsid w:val="7D3F753A"/>
    <w:rsid w:val="7D441B25"/>
    <w:rsid w:val="7D4D71BB"/>
    <w:rsid w:val="7D5E40CD"/>
    <w:rsid w:val="7D741B5A"/>
    <w:rsid w:val="7D827880"/>
    <w:rsid w:val="7DA75233"/>
    <w:rsid w:val="7DB06971"/>
    <w:rsid w:val="7DB8376D"/>
    <w:rsid w:val="7DCD56F2"/>
    <w:rsid w:val="7DCD7915"/>
    <w:rsid w:val="7DD54C82"/>
    <w:rsid w:val="7DE95185"/>
    <w:rsid w:val="7DF337A3"/>
    <w:rsid w:val="7E1235A0"/>
    <w:rsid w:val="7E2115AE"/>
    <w:rsid w:val="7E294DD3"/>
    <w:rsid w:val="7E2B512B"/>
    <w:rsid w:val="7E3C5FDA"/>
    <w:rsid w:val="7E5459AA"/>
    <w:rsid w:val="7E861F03"/>
    <w:rsid w:val="7EB366C3"/>
    <w:rsid w:val="7EBA345E"/>
    <w:rsid w:val="7ECA4E5F"/>
    <w:rsid w:val="7ED41D69"/>
    <w:rsid w:val="7EF0121B"/>
    <w:rsid w:val="7EF2736E"/>
    <w:rsid w:val="7EF40145"/>
    <w:rsid w:val="7F001CE7"/>
    <w:rsid w:val="7F1B68FC"/>
    <w:rsid w:val="7F3316DF"/>
    <w:rsid w:val="7F333B44"/>
    <w:rsid w:val="7F3722AD"/>
    <w:rsid w:val="7F464FDA"/>
    <w:rsid w:val="7F5D7A2A"/>
    <w:rsid w:val="7F735389"/>
    <w:rsid w:val="7FE37A7E"/>
    <w:rsid w:val="7FE47E50"/>
    <w:rsid w:val="7FFD265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unhideWhenUsed="0" w:uiPriority="0" w:semiHidden="0" w:name="toc 2" w:locked="1"/>
    <w:lsdException w:qFormat="1" w:unhideWhenUsed="0" w:uiPriority="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qFormat="1"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99"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locked/>
    <w:uiPriority w:val="0"/>
    <w:pPr>
      <w:keepNext/>
      <w:keepLines/>
      <w:spacing w:before="120" w:after="120" w:line="480" w:lineRule="exact"/>
      <w:ind w:firstLine="0" w:firstLineChars="0"/>
      <w:outlineLvl w:val="1"/>
    </w:pPr>
    <w:rPr>
      <w:rFonts w:ascii="Times New Roman" w:hAnsi="Times New Roman" w:cs="Times New Roman"/>
      <w:b/>
      <w:bCs/>
      <w:sz w:val="28"/>
      <w:szCs w:val="32"/>
    </w:rPr>
  </w:style>
  <w:style w:type="paragraph" w:styleId="7">
    <w:name w:val="heading 3"/>
    <w:basedOn w:val="1"/>
    <w:next w:val="1"/>
    <w:qFormat/>
    <w:locked/>
    <w:uiPriority w:val="0"/>
    <w:pPr>
      <w:keepLines/>
      <w:numPr>
        <w:ilvl w:val="2"/>
        <w:numId w:val="1"/>
      </w:numPr>
      <w:tabs>
        <w:tab w:val="left" w:pos="851"/>
      </w:tabs>
      <w:adjustRightInd w:val="0"/>
      <w:spacing w:line="360" w:lineRule="auto"/>
      <w:textAlignment w:val="bottom"/>
      <w:outlineLvl w:val="2"/>
    </w:pPr>
    <w:rPr>
      <w:kern w:val="0"/>
      <w:sz w:val="28"/>
      <w:szCs w:val="20"/>
    </w:rPr>
  </w:style>
  <w:style w:type="paragraph" w:styleId="8">
    <w:name w:val="heading 4"/>
    <w:basedOn w:val="1"/>
    <w:next w:val="1"/>
    <w:qFormat/>
    <w:locked/>
    <w:uiPriority w:val="1"/>
    <w:pPr>
      <w:ind w:left="2236" w:hanging="776"/>
      <w:outlineLvl w:val="3"/>
    </w:pPr>
    <w:rPr>
      <w:rFonts w:ascii="宋体" w:hAnsi="宋体" w:eastAsia="宋体" w:cs="宋体"/>
      <w:b/>
      <w:bCs/>
      <w:sz w:val="28"/>
      <w:szCs w:val="28"/>
      <w:lang w:val="zh-CN" w:eastAsia="zh-CN" w:bidi="zh-CN"/>
    </w:rPr>
  </w:style>
  <w:style w:type="character" w:default="1" w:styleId="33">
    <w:name w:val="Default Paragraph Font"/>
    <w:semiHidden/>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locked/>
    <w:uiPriority w:val="0"/>
    <w:pPr>
      <w:ind w:firstLine="420" w:firstLineChars="200"/>
    </w:pPr>
  </w:style>
  <w:style w:type="paragraph" w:styleId="3">
    <w:name w:val="Body Text Indent"/>
    <w:basedOn w:val="1"/>
    <w:next w:val="4"/>
    <w:link w:val="43"/>
    <w:qFormat/>
    <w:uiPriority w:val="0"/>
    <w:pPr>
      <w:spacing w:after="120"/>
      <w:ind w:left="420" w:leftChars="200"/>
    </w:pPr>
    <w:rPr>
      <w:kern w:val="0"/>
      <w:sz w:val="24"/>
      <w:szCs w:val="20"/>
    </w:rPr>
  </w:style>
  <w:style w:type="paragraph" w:styleId="4">
    <w:name w:val="caption"/>
    <w:basedOn w:val="1"/>
    <w:next w:val="1"/>
    <w:qFormat/>
    <w:locked/>
    <w:uiPriority w:val="0"/>
    <w:pPr>
      <w:adjustRightInd w:val="0"/>
      <w:snapToGrid w:val="0"/>
      <w:spacing w:line="520" w:lineRule="exact"/>
      <w:jc w:val="center"/>
    </w:pPr>
    <w:rPr>
      <w:rFonts w:ascii="Arial" w:hAnsi="Arial" w:eastAsia="黑体"/>
      <w:sz w:val="24"/>
    </w:rPr>
  </w:style>
  <w:style w:type="paragraph" w:styleId="9">
    <w:name w:val="Normal Indent"/>
    <w:basedOn w:val="1"/>
    <w:next w:val="1"/>
    <w:qFormat/>
    <w:locked/>
    <w:uiPriority w:val="0"/>
    <w:pPr>
      <w:spacing w:line="360" w:lineRule="auto"/>
      <w:ind w:firstLine="420" w:firstLineChars="200"/>
    </w:pPr>
    <w:rPr>
      <w:sz w:val="24"/>
      <w:szCs w:val="24"/>
    </w:rPr>
  </w:style>
  <w:style w:type="paragraph" w:styleId="10">
    <w:name w:val="annotation text"/>
    <w:basedOn w:val="1"/>
    <w:link w:val="41"/>
    <w:semiHidden/>
    <w:qFormat/>
    <w:uiPriority w:val="0"/>
    <w:pPr>
      <w:jc w:val="left"/>
    </w:pPr>
    <w:rPr>
      <w:kern w:val="0"/>
      <w:sz w:val="24"/>
      <w:szCs w:val="20"/>
    </w:rPr>
  </w:style>
  <w:style w:type="paragraph" w:styleId="11">
    <w:name w:val="Body Text"/>
    <w:basedOn w:val="1"/>
    <w:next w:val="12"/>
    <w:link w:val="42"/>
    <w:qFormat/>
    <w:uiPriority w:val="0"/>
    <w:pPr>
      <w:widowControl/>
      <w:snapToGrid w:val="0"/>
      <w:spacing w:before="60" w:after="160" w:line="259" w:lineRule="auto"/>
      <w:ind w:right="113"/>
    </w:pPr>
    <w:rPr>
      <w:kern w:val="0"/>
      <w:sz w:val="18"/>
      <w:szCs w:val="20"/>
    </w:rPr>
  </w:style>
  <w:style w:type="paragraph" w:styleId="12">
    <w:name w:val="Body Text 2"/>
    <w:basedOn w:val="1"/>
    <w:qFormat/>
    <w:locked/>
    <w:uiPriority w:val="99"/>
    <w:pPr>
      <w:spacing w:after="120" w:line="480" w:lineRule="auto"/>
    </w:pPr>
    <w:rPr>
      <w:szCs w:val="24"/>
    </w:rPr>
  </w:style>
  <w:style w:type="paragraph" w:styleId="13">
    <w:name w:val="Block Text"/>
    <w:basedOn w:val="1"/>
    <w:qFormat/>
    <w:locked/>
    <w:uiPriority w:val="0"/>
    <w:pPr>
      <w:spacing w:before="120"/>
      <w:ind w:left="113" w:right="113" w:firstLine="555"/>
    </w:pPr>
    <w:rPr>
      <w:kern w:val="24"/>
      <w:sz w:val="28"/>
      <w:szCs w:val="28"/>
    </w:rPr>
  </w:style>
  <w:style w:type="paragraph" w:styleId="14">
    <w:name w:val="toc 3"/>
    <w:basedOn w:val="1"/>
    <w:next w:val="1"/>
    <w:semiHidden/>
    <w:qFormat/>
    <w:locked/>
    <w:uiPriority w:val="0"/>
    <w:pPr>
      <w:ind w:left="420"/>
      <w:jc w:val="left"/>
    </w:pPr>
    <w:rPr>
      <w:sz w:val="20"/>
    </w:rPr>
  </w:style>
  <w:style w:type="paragraph" w:styleId="15">
    <w:name w:val="Plain Text"/>
    <w:basedOn w:val="1"/>
    <w:next w:val="16"/>
    <w:qFormat/>
    <w:locked/>
    <w:uiPriority w:val="0"/>
    <w:pPr>
      <w:ind w:firstLine="560" w:firstLineChars="200"/>
    </w:pPr>
    <w:rPr>
      <w:rFonts w:ascii="宋体" w:hAnsi="Courier New"/>
      <w:bCs/>
      <w:color w:val="000000"/>
      <w:sz w:val="28"/>
      <w:szCs w:val="28"/>
    </w:rPr>
  </w:style>
  <w:style w:type="paragraph" w:styleId="16">
    <w:name w:val="List Number 5"/>
    <w:basedOn w:val="1"/>
    <w:qFormat/>
    <w:locked/>
    <w:uiPriority w:val="0"/>
    <w:pPr>
      <w:numPr>
        <w:ilvl w:val="0"/>
        <w:numId w:val="2"/>
      </w:numPr>
    </w:pPr>
  </w:style>
  <w:style w:type="paragraph" w:styleId="17">
    <w:name w:val="List Bullet 5"/>
    <w:basedOn w:val="1"/>
    <w:qFormat/>
    <w:locked/>
    <w:uiPriority w:val="0"/>
    <w:pPr>
      <w:numPr>
        <w:ilvl w:val="0"/>
        <w:numId w:val="3"/>
      </w:numPr>
    </w:pPr>
  </w:style>
  <w:style w:type="paragraph" w:styleId="18">
    <w:name w:val="Date"/>
    <w:basedOn w:val="1"/>
    <w:next w:val="1"/>
    <w:link w:val="50"/>
    <w:qFormat/>
    <w:uiPriority w:val="0"/>
    <w:pPr>
      <w:ind w:left="100" w:leftChars="2500"/>
    </w:pPr>
    <w:rPr>
      <w:kern w:val="0"/>
      <w:sz w:val="24"/>
      <w:szCs w:val="20"/>
    </w:rPr>
  </w:style>
  <w:style w:type="paragraph" w:styleId="19">
    <w:name w:val="Balloon Text"/>
    <w:basedOn w:val="1"/>
    <w:link w:val="51"/>
    <w:semiHidden/>
    <w:qFormat/>
    <w:uiPriority w:val="0"/>
    <w:rPr>
      <w:kern w:val="0"/>
      <w:sz w:val="18"/>
      <w:szCs w:val="20"/>
    </w:rPr>
  </w:style>
  <w:style w:type="paragraph" w:styleId="20">
    <w:name w:val="footer"/>
    <w:basedOn w:val="1"/>
    <w:link w:val="52"/>
    <w:qFormat/>
    <w:uiPriority w:val="99"/>
    <w:pPr>
      <w:tabs>
        <w:tab w:val="center" w:pos="4153"/>
        <w:tab w:val="right" w:pos="8306"/>
      </w:tabs>
      <w:snapToGrid w:val="0"/>
      <w:jc w:val="left"/>
    </w:pPr>
    <w:rPr>
      <w:kern w:val="0"/>
      <w:sz w:val="18"/>
      <w:szCs w:val="20"/>
    </w:rPr>
  </w:style>
  <w:style w:type="paragraph" w:styleId="21">
    <w:name w:val="header"/>
    <w:basedOn w:val="1"/>
    <w:next w:val="1"/>
    <w:link w:val="53"/>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oc 1"/>
    <w:basedOn w:val="1"/>
    <w:next w:val="1"/>
    <w:unhideWhenUsed/>
    <w:qFormat/>
    <w:locked/>
    <w:uiPriority w:val="39"/>
  </w:style>
  <w:style w:type="paragraph" w:styleId="23">
    <w:name w:val="Subtitle"/>
    <w:basedOn w:val="1"/>
    <w:next w:val="1"/>
    <w:qFormat/>
    <w:locked/>
    <w:uiPriority w:val="0"/>
    <w:pPr>
      <w:spacing w:line="480" w:lineRule="exact"/>
      <w:ind w:firstLine="200" w:firstLineChars="200"/>
      <w:outlineLvl w:val="1"/>
    </w:pPr>
    <w:rPr>
      <w:rFonts w:ascii="宋体" w:hAnsi="宋体" w:eastAsia="宋体"/>
      <w:bCs/>
      <w:kern w:val="28"/>
      <w:sz w:val="24"/>
      <w:szCs w:val="32"/>
    </w:rPr>
  </w:style>
  <w:style w:type="paragraph" w:styleId="24">
    <w:name w:val="List"/>
    <w:basedOn w:val="1"/>
    <w:qFormat/>
    <w:locked/>
    <w:uiPriority w:val="99"/>
    <w:pPr>
      <w:ind w:left="200" w:hanging="200" w:hangingChars="200"/>
    </w:pPr>
    <w:rPr>
      <w:szCs w:val="24"/>
    </w:rPr>
  </w:style>
  <w:style w:type="paragraph" w:styleId="25">
    <w:name w:val="table of figures"/>
    <w:basedOn w:val="1"/>
    <w:next w:val="1"/>
    <w:qFormat/>
    <w:locked/>
    <w:uiPriority w:val="0"/>
    <w:pPr>
      <w:ind w:left="200" w:leftChars="200" w:hanging="200" w:hangingChars="200"/>
    </w:pPr>
    <w:rPr>
      <w:rFonts w:eastAsia="仿宋_GB2312"/>
      <w:sz w:val="28"/>
      <w:szCs w:val="24"/>
    </w:rPr>
  </w:style>
  <w:style w:type="paragraph" w:styleId="26">
    <w:name w:val="Normal (Web)"/>
    <w:basedOn w:val="1"/>
    <w:link w:val="54"/>
    <w:qFormat/>
    <w:uiPriority w:val="0"/>
    <w:pPr>
      <w:widowControl/>
      <w:spacing w:before="100" w:beforeAutospacing="1" w:after="100" w:afterAutospacing="1"/>
      <w:jc w:val="left"/>
    </w:pPr>
    <w:rPr>
      <w:rFonts w:ascii="宋体" w:hAnsi="宋体"/>
      <w:kern w:val="0"/>
      <w:sz w:val="24"/>
      <w:szCs w:val="20"/>
    </w:rPr>
  </w:style>
  <w:style w:type="paragraph" w:styleId="27">
    <w:name w:val="index 1"/>
    <w:basedOn w:val="1"/>
    <w:next w:val="1"/>
    <w:qFormat/>
    <w:locked/>
    <w:uiPriority w:val="0"/>
    <w:pPr>
      <w:spacing w:line="300" w:lineRule="exact"/>
    </w:pPr>
    <w:rPr>
      <w:rFonts w:ascii="宋体" w:hAnsi="宋体"/>
      <w:spacing w:val="10"/>
      <w:szCs w:val="24"/>
    </w:rPr>
  </w:style>
  <w:style w:type="paragraph" w:styleId="28">
    <w:name w:val="Title"/>
    <w:basedOn w:val="1"/>
    <w:next w:val="1"/>
    <w:qFormat/>
    <w:locked/>
    <w:uiPriority w:val="0"/>
    <w:pPr>
      <w:spacing w:before="120" w:after="120"/>
      <w:jc w:val="left"/>
      <w:outlineLvl w:val="0"/>
    </w:pPr>
    <w:rPr>
      <w:rFonts w:ascii="Cambria" w:hAnsi="Cambria"/>
      <w:b/>
      <w:bCs/>
      <w:kern w:val="0"/>
      <w:sz w:val="32"/>
      <w:szCs w:val="32"/>
    </w:rPr>
  </w:style>
  <w:style w:type="paragraph" w:styleId="29">
    <w:name w:val="annotation subject"/>
    <w:basedOn w:val="10"/>
    <w:next w:val="10"/>
    <w:link w:val="55"/>
    <w:semiHidden/>
    <w:qFormat/>
    <w:uiPriority w:val="0"/>
    <w:rPr>
      <w:b/>
      <w:sz w:val="24"/>
      <w:szCs w:val="20"/>
    </w:rPr>
  </w:style>
  <w:style w:type="paragraph" w:styleId="30">
    <w:name w:val="Body Text First Indent"/>
    <w:basedOn w:val="11"/>
    <w:next w:val="1"/>
    <w:qFormat/>
    <w:locked/>
    <w:uiPriority w:val="0"/>
    <w:pPr>
      <w:spacing w:after="120"/>
      <w:ind w:firstLine="420" w:firstLineChars="100"/>
    </w:pPr>
    <w:rPr>
      <w:rFonts w:eastAsia="宋体"/>
      <w:sz w:val="21"/>
    </w:rPr>
  </w:style>
  <w:style w:type="table" w:styleId="32">
    <w:name w:val="Table Grid"/>
    <w:basedOn w:val="3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locked/>
    <w:uiPriority w:val="0"/>
    <w:rPr>
      <w:b/>
    </w:rPr>
  </w:style>
  <w:style w:type="character" w:styleId="35">
    <w:name w:val="page number"/>
    <w:basedOn w:val="33"/>
    <w:qFormat/>
    <w:locked/>
    <w:uiPriority w:val="0"/>
  </w:style>
  <w:style w:type="character" w:styleId="36">
    <w:name w:val="Hyperlink"/>
    <w:basedOn w:val="33"/>
    <w:qFormat/>
    <w:locked/>
    <w:uiPriority w:val="0"/>
    <w:rPr>
      <w:color w:val="0000FF"/>
      <w:u w:val="single"/>
    </w:rPr>
  </w:style>
  <w:style w:type="character" w:styleId="37">
    <w:name w:val="annotation reference"/>
    <w:semiHidden/>
    <w:qFormat/>
    <w:uiPriority w:val="0"/>
    <w:rPr>
      <w:sz w:val="21"/>
    </w:rPr>
  </w:style>
  <w:style w:type="paragraph" w:customStyle="1" w:styleId="38">
    <w:name w:val="样式 首行缩进:  2 字符1"/>
    <w:autoRedefine/>
    <w:qFormat/>
    <w:uiPriority w:val="0"/>
    <w:pPr>
      <w:adjustRightInd w:val="0"/>
      <w:snapToGrid w:val="0"/>
      <w:spacing w:line="360" w:lineRule="auto"/>
      <w:ind w:firstLine="480" w:firstLineChars="200"/>
    </w:pPr>
    <w:rPr>
      <w:rFonts w:ascii="Times New Roman" w:hAnsi="Times New Roman" w:eastAsia="Times New Roman" w:cs="宋体"/>
      <w:sz w:val="24"/>
      <w:lang w:val="en-US" w:eastAsia="zh-CN" w:bidi="ar-SA"/>
    </w:rPr>
  </w:style>
  <w:style w:type="paragraph" w:customStyle="1" w:styleId="39">
    <w:name w:val="样式 正文文本缩进 + 行距: 1.5 倍行距"/>
    <w:basedOn w:val="3"/>
    <w:qFormat/>
    <w:uiPriority w:val="0"/>
    <w:pPr>
      <w:spacing w:line="360" w:lineRule="auto"/>
      <w:ind w:left="90" w:leftChars="32" w:firstLine="560"/>
    </w:pPr>
    <w:rPr>
      <w:rFonts w:cs="宋体"/>
      <w:szCs w:val="20"/>
    </w:rPr>
  </w:style>
  <w:style w:type="paragraph" w:customStyle="1" w:styleId="40">
    <w:name w:val="0"/>
    <w:basedOn w:val="1"/>
    <w:qFormat/>
    <w:uiPriority w:val="0"/>
    <w:pPr>
      <w:widowControl/>
      <w:snapToGrid w:val="0"/>
    </w:pPr>
    <w:rPr>
      <w:kern w:val="0"/>
      <w:szCs w:val="21"/>
    </w:rPr>
  </w:style>
  <w:style w:type="character" w:customStyle="1" w:styleId="41">
    <w:name w:val="批注文字 Char"/>
    <w:link w:val="10"/>
    <w:qFormat/>
    <w:locked/>
    <w:uiPriority w:val="0"/>
    <w:rPr>
      <w:rFonts w:ascii="Times New Roman" w:hAnsi="Times New Roman" w:eastAsia="宋体"/>
      <w:sz w:val="24"/>
    </w:rPr>
  </w:style>
  <w:style w:type="character" w:customStyle="1" w:styleId="42">
    <w:name w:val="正文文本 Char"/>
    <w:link w:val="11"/>
    <w:qFormat/>
    <w:locked/>
    <w:uiPriority w:val="0"/>
    <w:rPr>
      <w:sz w:val="18"/>
    </w:rPr>
  </w:style>
  <w:style w:type="character" w:customStyle="1" w:styleId="43">
    <w:name w:val="正文文本缩进 Char"/>
    <w:link w:val="3"/>
    <w:semiHidden/>
    <w:qFormat/>
    <w:locked/>
    <w:uiPriority w:val="0"/>
    <w:rPr>
      <w:rFonts w:ascii="Times New Roman" w:hAnsi="Times New Roman" w:eastAsia="宋体"/>
      <w:sz w:val="24"/>
    </w:rPr>
  </w:style>
  <w:style w:type="paragraph" w:customStyle="1" w:styleId="44">
    <w:name w:val="正文1"/>
    <w:basedOn w:val="1"/>
    <w:next w:val="45"/>
    <w:qFormat/>
    <w:uiPriority w:val="0"/>
    <w:pPr>
      <w:snapToGrid w:val="0"/>
      <w:spacing w:before="60" w:beforeLines="0" w:after="60" w:afterLines="0" w:line="500" w:lineRule="exact"/>
      <w:ind w:firstLine="480" w:firstLineChars="200"/>
    </w:pPr>
    <w:rPr>
      <w:rFonts w:ascii="Times New Roman"/>
      <w:sz w:val="24"/>
      <w:szCs w:val="20"/>
    </w:rPr>
  </w:style>
  <w:style w:type="paragraph" w:customStyle="1" w:styleId="45">
    <w:name w:val="..正文"/>
    <w:next w:val="46"/>
    <w:qFormat/>
    <w:uiPriority w:val="0"/>
    <w:pPr>
      <w:spacing w:line="520" w:lineRule="exact"/>
      <w:ind w:firstLine="200" w:firstLineChars="200"/>
      <w:jc w:val="both"/>
    </w:pPr>
    <w:rPr>
      <w:rFonts w:ascii="Times New Roman" w:hAnsi="Times New Roman" w:eastAsia="宋体" w:cs="Times New Roman"/>
      <w:kern w:val="2"/>
      <w:sz w:val="24"/>
      <w:szCs w:val="25"/>
      <w:lang w:val="en-US" w:eastAsia="zh-CN" w:bidi="ar-SA"/>
    </w:rPr>
  </w:style>
  <w:style w:type="paragraph" w:customStyle="1" w:styleId="46">
    <w:name w:val="表格居中"/>
    <w:next w:val="47"/>
    <w:qFormat/>
    <w:uiPriority w:val="0"/>
    <w:pPr>
      <w:spacing w:line="440" w:lineRule="exact"/>
      <w:jc w:val="center"/>
    </w:pPr>
    <w:rPr>
      <w:rFonts w:ascii="Calibri" w:hAnsi="Calibri" w:eastAsia="宋体" w:cs="Times New Roman"/>
      <w:sz w:val="24"/>
      <w:szCs w:val="24"/>
      <w:lang w:val="en-US" w:eastAsia="zh-CN" w:bidi="ar-SA"/>
    </w:rPr>
  </w:style>
  <w:style w:type="paragraph" w:customStyle="1" w:styleId="47">
    <w:name w:val="正文小四"/>
    <w:next w:val="48"/>
    <w:qFormat/>
    <w:uiPriority w:val="0"/>
    <w:pPr>
      <w:spacing w:line="360" w:lineRule="auto"/>
      <w:ind w:firstLine="200" w:firstLineChars="200"/>
    </w:pPr>
    <w:rPr>
      <w:rFonts w:ascii="Calibri" w:hAnsi="Calibri" w:eastAsia="宋体" w:cs="Times New Roman"/>
      <w:kern w:val="2"/>
      <w:sz w:val="24"/>
      <w:szCs w:val="24"/>
      <w:lang w:val="en-US" w:eastAsia="zh-CN" w:bidi="ar-SA"/>
    </w:rPr>
  </w:style>
  <w:style w:type="paragraph" w:customStyle="1" w:styleId="48">
    <w:name w:val="reader-word-layer reader-word-s3-21"/>
    <w:basedOn w:val="1"/>
    <w:next w:val="49"/>
    <w:qFormat/>
    <w:uiPriority w:val="0"/>
    <w:pPr>
      <w:widowControl/>
      <w:spacing w:before="100" w:beforeLines="0" w:beforeAutospacing="1" w:after="100" w:afterLines="0" w:afterAutospacing="1"/>
      <w:jc w:val="left"/>
    </w:pPr>
    <w:rPr>
      <w:rFonts w:hAnsi="宋体" w:cs="宋体"/>
      <w:kern w:val="0"/>
      <w:sz w:val="24"/>
      <w:szCs w:val="24"/>
    </w:rPr>
  </w:style>
  <w:style w:type="paragraph" w:customStyle="1" w:styleId="49">
    <w:name w:val="正文首缩"/>
    <w:basedOn w:val="1"/>
    <w:next w:val="18"/>
    <w:qFormat/>
    <w:uiPriority w:val="0"/>
    <w:pPr>
      <w:ind w:firstLine="539"/>
    </w:pPr>
    <w:rPr>
      <w:sz w:val="28"/>
    </w:rPr>
  </w:style>
  <w:style w:type="character" w:customStyle="1" w:styleId="50">
    <w:name w:val="日期 Char"/>
    <w:link w:val="18"/>
    <w:qFormat/>
    <w:locked/>
    <w:uiPriority w:val="0"/>
    <w:rPr>
      <w:rFonts w:ascii="Times New Roman" w:hAnsi="Times New Roman" w:eastAsia="宋体"/>
      <w:sz w:val="24"/>
    </w:rPr>
  </w:style>
  <w:style w:type="character" w:customStyle="1" w:styleId="51">
    <w:name w:val="批注框文本 Char"/>
    <w:link w:val="19"/>
    <w:semiHidden/>
    <w:qFormat/>
    <w:locked/>
    <w:uiPriority w:val="0"/>
    <w:rPr>
      <w:rFonts w:ascii="Times New Roman" w:hAnsi="Times New Roman" w:eastAsia="宋体"/>
      <w:sz w:val="18"/>
    </w:rPr>
  </w:style>
  <w:style w:type="character" w:customStyle="1" w:styleId="52">
    <w:name w:val="页脚 Char"/>
    <w:link w:val="20"/>
    <w:qFormat/>
    <w:locked/>
    <w:uiPriority w:val="99"/>
    <w:rPr>
      <w:sz w:val="18"/>
    </w:rPr>
  </w:style>
  <w:style w:type="character" w:customStyle="1" w:styleId="53">
    <w:name w:val="页眉 Char"/>
    <w:link w:val="21"/>
    <w:qFormat/>
    <w:locked/>
    <w:uiPriority w:val="0"/>
    <w:rPr>
      <w:sz w:val="18"/>
    </w:rPr>
  </w:style>
  <w:style w:type="character" w:customStyle="1" w:styleId="54">
    <w:name w:val="普通(网站) Char"/>
    <w:link w:val="26"/>
    <w:qFormat/>
    <w:locked/>
    <w:uiPriority w:val="0"/>
    <w:rPr>
      <w:rFonts w:ascii="宋体" w:hAnsi="宋体" w:eastAsia="宋体"/>
      <w:sz w:val="24"/>
    </w:rPr>
  </w:style>
  <w:style w:type="character" w:customStyle="1" w:styleId="55">
    <w:name w:val="批注主题 Char"/>
    <w:link w:val="29"/>
    <w:semiHidden/>
    <w:qFormat/>
    <w:locked/>
    <w:uiPriority w:val="0"/>
    <w:rPr>
      <w:rFonts w:ascii="Times New Roman" w:hAnsi="Times New Roman" w:eastAsia="宋体"/>
      <w:b/>
      <w:kern w:val="2"/>
      <w:sz w:val="24"/>
    </w:rPr>
  </w:style>
  <w:style w:type="paragraph" w:customStyle="1" w:styleId="56">
    <w:name w:val="Default"/>
    <w:basedOn w:val="57"/>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57">
    <w:name w:val="纯文本1"/>
    <w:basedOn w:val="1"/>
    <w:qFormat/>
    <w:uiPriority w:val="0"/>
    <w:pPr>
      <w:adjustRightInd w:val="0"/>
      <w:textAlignment w:val="baseline"/>
    </w:pPr>
    <w:rPr>
      <w:rFonts w:ascii="宋体" w:hAnsi="Courier New"/>
      <w:szCs w:val="20"/>
    </w:rPr>
  </w:style>
  <w:style w:type="character" w:customStyle="1" w:styleId="58">
    <w:name w:val="页脚 字符"/>
    <w:basedOn w:val="33"/>
    <w:qFormat/>
    <w:uiPriority w:val="99"/>
  </w:style>
  <w:style w:type="character" w:customStyle="1" w:styleId="59">
    <w:name w:val="正文文本 字符1"/>
    <w:semiHidden/>
    <w:qFormat/>
    <w:uiPriority w:val="0"/>
    <w:rPr>
      <w:rFonts w:ascii="Times New Roman" w:hAnsi="Times New Roman" w:eastAsia="宋体"/>
      <w:sz w:val="24"/>
    </w:rPr>
  </w:style>
  <w:style w:type="character" w:customStyle="1" w:styleId="60">
    <w:name w:val="批注文字 字符1"/>
    <w:semiHidden/>
    <w:qFormat/>
    <w:uiPriority w:val="0"/>
    <w:rPr>
      <w:rFonts w:ascii="Times New Roman" w:hAnsi="Times New Roman" w:eastAsia="宋体"/>
      <w:sz w:val="24"/>
    </w:rPr>
  </w:style>
  <w:style w:type="character" w:customStyle="1" w:styleId="61">
    <w:name w:val="表格 Char"/>
    <w:link w:val="62"/>
    <w:qFormat/>
    <w:locked/>
    <w:uiPriority w:val="0"/>
    <w:rPr>
      <w:rFonts w:ascii="宋体"/>
      <w:sz w:val="21"/>
    </w:rPr>
  </w:style>
  <w:style w:type="paragraph" w:customStyle="1" w:styleId="62">
    <w:name w:val="表格"/>
    <w:basedOn w:val="1"/>
    <w:next w:val="1"/>
    <w:link w:val="61"/>
    <w:qFormat/>
    <w:uiPriority w:val="0"/>
    <w:pPr>
      <w:adjustRightInd w:val="0"/>
      <w:snapToGrid w:val="0"/>
      <w:spacing w:beforeLines="10" w:afterLines="10" w:line="259" w:lineRule="auto"/>
      <w:jc w:val="center"/>
    </w:pPr>
    <w:rPr>
      <w:rFonts w:ascii="宋体"/>
      <w:kern w:val="0"/>
      <w:szCs w:val="20"/>
    </w:rPr>
  </w:style>
  <w:style w:type="character" w:customStyle="1" w:styleId="63">
    <w:name w:val="日期 字符"/>
    <w:semiHidden/>
    <w:qFormat/>
    <w:uiPriority w:val="0"/>
    <w:rPr>
      <w:rFonts w:ascii="Times New Roman" w:hAnsi="Times New Roman" w:eastAsia="宋体"/>
      <w:sz w:val="24"/>
    </w:rPr>
  </w:style>
  <w:style w:type="paragraph" w:customStyle="1" w:styleId="6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65">
    <w:name w:val="List Paragraph"/>
    <w:basedOn w:val="1"/>
    <w:qFormat/>
    <w:uiPriority w:val="1"/>
    <w:pPr>
      <w:spacing w:before="1"/>
      <w:ind w:left="213" w:hanging="602"/>
    </w:pPr>
    <w:rPr>
      <w:rFonts w:ascii="宋体" w:hAnsi="宋体" w:eastAsia="宋体" w:cs="宋体"/>
      <w:lang w:val="zh-CN" w:eastAsia="zh-CN" w:bidi="zh-CN"/>
    </w:rPr>
  </w:style>
  <w:style w:type="paragraph" w:customStyle="1" w:styleId="66">
    <w:name w:val="填表4小中单倍行距"/>
    <w:basedOn w:val="1"/>
    <w:qFormat/>
    <w:uiPriority w:val="0"/>
    <w:pPr>
      <w:widowControl/>
      <w:snapToGrid w:val="0"/>
      <w:spacing w:line="360" w:lineRule="auto"/>
      <w:ind w:firstLine="200" w:firstLineChars="200"/>
      <w:jc w:val="center"/>
    </w:pPr>
    <w:rPr>
      <w:rFonts w:ascii="宋体"/>
      <w:sz w:val="24"/>
      <w:szCs w:val="20"/>
    </w:rPr>
  </w:style>
  <w:style w:type="paragraph" w:customStyle="1" w:styleId="67">
    <w:name w:val="1正文"/>
    <w:basedOn w:val="1"/>
    <w:qFormat/>
    <w:uiPriority w:val="0"/>
    <w:pPr>
      <w:widowControl/>
      <w:spacing w:line="360" w:lineRule="auto"/>
      <w:ind w:firstLine="200" w:firstLineChars="200"/>
    </w:pPr>
    <w:rPr>
      <w:kern w:val="0"/>
      <w:sz w:val="24"/>
      <w:szCs w:val="20"/>
      <w:lang w:val="en-GB"/>
    </w:rPr>
  </w:style>
  <w:style w:type="paragraph" w:customStyle="1" w:styleId="68">
    <w:name w:val="表格内"/>
    <w:basedOn w:val="1"/>
    <w:qFormat/>
    <w:uiPriority w:val="0"/>
    <w:pPr>
      <w:widowControl/>
      <w:adjustRightInd w:val="0"/>
      <w:snapToGrid w:val="0"/>
      <w:spacing w:after="200" w:line="360" w:lineRule="exact"/>
      <w:jc w:val="center"/>
    </w:pPr>
    <w:rPr>
      <w:rFonts w:eastAsia="微软雅黑"/>
      <w:snapToGrid w:val="0"/>
      <w:kern w:val="0"/>
      <w:sz w:val="22"/>
      <w:szCs w:val="21"/>
    </w:rPr>
  </w:style>
  <w:style w:type="paragraph" w:customStyle="1" w:styleId="69">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0">
    <w:name w:val="无间隔"/>
    <w:qFormat/>
    <w:uiPriority w:val="0"/>
    <w:pPr>
      <w:widowControl w:val="0"/>
      <w:jc w:val="center"/>
    </w:pPr>
    <w:rPr>
      <w:rFonts w:ascii="Times New Roman" w:hAnsi="Times New Roman" w:eastAsia="Times New Roman" w:cs="Times New Roman"/>
      <w:kern w:val="2"/>
      <w:sz w:val="21"/>
      <w:szCs w:val="22"/>
      <w:lang w:val="en-US" w:eastAsia="zh-CN" w:bidi="ar-SA"/>
    </w:rPr>
  </w:style>
  <w:style w:type="paragraph" w:customStyle="1" w:styleId="7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2">
    <w:name w:val="表格题目新"/>
    <w:basedOn w:val="1"/>
    <w:qFormat/>
    <w:uiPriority w:val="0"/>
    <w:pPr>
      <w:autoSpaceDE w:val="0"/>
      <w:autoSpaceDN w:val="0"/>
      <w:spacing w:before="50" w:beforeLines="50" w:line="312" w:lineRule="auto"/>
      <w:ind w:firstLine="200"/>
      <w:jc w:val="center"/>
    </w:pPr>
    <w:rPr>
      <w:rFonts w:eastAsia="黑体" w:cs="宋体"/>
      <w:sz w:val="21"/>
    </w:rPr>
  </w:style>
  <w:style w:type="paragraph" w:customStyle="1" w:styleId="73">
    <w:name w:val="Table Paragraph"/>
    <w:basedOn w:val="1"/>
    <w:qFormat/>
    <w:uiPriority w:val="1"/>
    <w:rPr>
      <w:rFonts w:ascii="宋体" w:hAnsi="宋体" w:eastAsia="宋体" w:cs="宋体"/>
      <w:lang w:val="zh-CN" w:eastAsia="zh-CN" w:bidi="zh-CN"/>
    </w:rPr>
  </w:style>
  <w:style w:type="paragraph" w:customStyle="1" w:styleId="74">
    <w:name w:val="样式4"/>
    <w:basedOn w:val="1"/>
    <w:qFormat/>
    <w:uiPriority w:val="0"/>
    <w:pPr>
      <w:tabs>
        <w:tab w:val="left" w:pos="9128"/>
      </w:tabs>
      <w:adjustRightInd w:val="0"/>
      <w:snapToGrid w:val="0"/>
      <w:spacing w:line="500" w:lineRule="exact"/>
      <w:jc w:val="center"/>
    </w:pPr>
  </w:style>
  <w:style w:type="paragraph" w:customStyle="1" w:styleId="75">
    <w:name w:val="农贸市场正文"/>
    <w:basedOn w:val="76"/>
    <w:qFormat/>
    <w:uiPriority w:val="0"/>
    <w:pPr>
      <w:spacing w:before="0" w:beforeLines="0" w:after="0" w:afterLines="0"/>
      <w:ind w:firstLine="200" w:firstLineChars="200"/>
      <w:outlineLvl w:val="9"/>
    </w:pPr>
    <w:rPr>
      <w:b w:val="0"/>
      <w:snapToGrid w:val="0"/>
      <w:color w:val="000000"/>
      <w:kern w:val="0"/>
      <w:sz w:val="24"/>
    </w:rPr>
  </w:style>
  <w:style w:type="paragraph" w:customStyle="1" w:styleId="76">
    <w:name w:val="农贸市场一级标题"/>
    <w:basedOn w:val="1"/>
    <w:qFormat/>
    <w:uiPriority w:val="0"/>
    <w:pPr>
      <w:spacing w:before="360" w:beforeLines="150" w:after="360" w:afterLines="150" w:line="360" w:lineRule="auto"/>
      <w:jc w:val="left"/>
      <w:outlineLvl w:val="0"/>
    </w:pPr>
    <w:rPr>
      <w:b/>
      <w:sz w:val="32"/>
      <w:szCs w:val="24"/>
    </w:rPr>
  </w:style>
  <w:style w:type="paragraph" w:customStyle="1" w:styleId="77">
    <w:name w:val="表格新"/>
    <w:basedOn w:val="1"/>
    <w:qFormat/>
    <w:uiPriority w:val="0"/>
    <w:pPr>
      <w:spacing w:line="240" w:lineRule="auto"/>
      <w:ind w:firstLine="0" w:firstLineChars="0"/>
      <w:jc w:val="center"/>
    </w:pPr>
    <w:rPr>
      <w:bCs/>
      <w:sz w:val="21"/>
      <w:szCs w:val="21"/>
    </w:rPr>
  </w:style>
  <w:style w:type="paragraph" w:customStyle="1" w:styleId="78">
    <w:name w:val="1"/>
    <w:basedOn w:val="1"/>
    <w:qFormat/>
    <w:uiPriority w:val="0"/>
    <w:pPr>
      <w:spacing w:line="480" w:lineRule="exact"/>
      <w:ind w:firstLine="200" w:firstLineChars="200"/>
    </w:pPr>
    <w:rPr>
      <w:sz w:val="24"/>
      <w:szCs w:val="24"/>
    </w:rPr>
  </w:style>
  <w:style w:type="paragraph" w:customStyle="1" w:styleId="79">
    <w:name w:val="2标题"/>
    <w:basedOn w:val="1"/>
    <w:qFormat/>
    <w:uiPriority w:val="0"/>
    <w:rPr>
      <w:rFonts w:hAnsi="宋体"/>
      <w:b/>
      <w:color w:val="000000"/>
      <w:sz w:val="28"/>
      <w:lang w:val="zh-CN" w:eastAsia="zh-CN"/>
    </w:rPr>
  </w:style>
  <w:style w:type="paragraph" w:customStyle="1" w:styleId="80">
    <w:name w:val="3标题"/>
    <w:basedOn w:val="1"/>
    <w:qFormat/>
    <w:uiPriority w:val="0"/>
    <w:pPr>
      <w:kinsoku w:val="0"/>
      <w:overflowPunct w:val="0"/>
      <w:autoSpaceDE w:val="0"/>
      <w:autoSpaceDN w:val="0"/>
    </w:pPr>
    <w:rPr>
      <w:rFonts w:hAnsi="宋体"/>
      <w:b/>
      <w:lang w:val="zh-CN" w:eastAsia="zh-CN"/>
    </w:rPr>
  </w:style>
  <w:style w:type="paragraph" w:customStyle="1" w:styleId="81">
    <w:name w:val="正文123"/>
    <w:basedOn w:val="1"/>
    <w:qFormat/>
    <w:uiPriority w:val="0"/>
    <w:rPr>
      <w:color w:val="000000"/>
      <w:lang w:val="zh-CN" w:eastAsia="zh-CN"/>
    </w:rPr>
  </w:style>
  <w:style w:type="character" w:customStyle="1" w:styleId="82">
    <w:name w:val="font51"/>
    <w:basedOn w:val="33"/>
    <w:qFormat/>
    <w:uiPriority w:val="0"/>
    <w:rPr>
      <w:rFonts w:hint="default" w:ascii="Times New Roman" w:hAnsi="Times New Roman" w:cs="Times New Roman"/>
      <w:color w:val="000000"/>
      <w:sz w:val="22"/>
      <w:szCs w:val="22"/>
      <w:u w:val="none"/>
    </w:rPr>
  </w:style>
  <w:style w:type="character" w:customStyle="1" w:styleId="83">
    <w:name w:val="font71"/>
    <w:basedOn w:val="33"/>
    <w:qFormat/>
    <w:uiPriority w:val="0"/>
    <w:rPr>
      <w:rFonts w:hint="default" w:ascii="Times New Roman" w:hAnsi="Times New Roman" w:cs="Times New Roman"/>
      <w:color w:val="000000"/>
      <w:sz w:val="22"/>
      <w:szCs w:val="22"/>
      <w:u w:val="none"/>
      <w:vertAlign w:val="superscript"/>
    </w:rPr>
  </w:style>
  <w:style w:type="paragraph" w:customStyle="1" w:styleId="84">
    <w:name w:val="标题三！！！！！！！"/>
    <w:basedOn w:val="7"/>
    <w:qFormat/>
    <w:uiPriority w:val="0"/>
    <w:pPr>
      <w:keepNext w:val="0"/>
      <w:keepLines w:val="0"/>
      <w:tabs>
        <w:tab w:val="clear" w:pos="851"/>
      </w:tabs>
      <w:spacing w:before="0" w:after="0" w:line="500" w:lineRule="exact"/>
    </w:pPr>
    <w:rPr>
      <w:rFonts w:ascii="楷体_GB2312" w:hAnsi="楷体_GB2312" w:eastAsia="楷体_GB2312" w:cs="楷体_GB2312"/>
      <w:sz w:val="28"/>
      <w:szCs w:val="28"/>
    </w:rPr>
  </w:style>
  <w:style w:type="paragraph" w:customStyle="1" w:styleId="85">
    <w:name w:val="正文 楷体"/>
    <w:basedOn w:val="1"/>
    <w:qFormat/>
    <w:uiPriority w:val="0"/>
    <w:pPr>
      <w:widowControl w:val="0"/>
      <w:spacing w:line="500" w:lineRule="exact"/>
      <w:ind w:firstLine="200" w:firstLineChars="200"/>
      <w:jc w:val="both"/>
    </w:pPr>
    <w:rPr>
      <w:rFonts w:ascii="楷体_GB2312" w:hAnsi="楷体_GB2312" w:eastAsia="楷体_GB2312" w:cs="Times New Roman"/>
    </w:rPr>
  </w:style>
  <w:style w:type="paragraph" w:customStyle="1" w:styleId="86">
    <w:name w:val="正文-ls"/>
    <w:basedOn w:val="1"/>
    <w:qFormat/>
    <w:uiPriority w:val="0"/>
    <w:pPr>
      <w:spacing w:line="360" w:lineRule="auto"/>
      <w:ind w:firstLine="200" w:firstLineChars="200"/>
    </w:pPr>
    <w:rPr>
      <w:rFonts w:ascii="Times New Roman" w:cs="Times New Roman"/>
      <w:kern w:val="2"/>
      <w:szCs w:val="20"/>
    </w:rPr>
  </w:style>
  <w:style w:type="paragraph" w:customStyle="1" w:styleId="87">
    <w:name w:val="样式 首行缩进:  0.85 厘米"/>
    <w:basedOn w:val="1"/>
    <w:qFormat/>
    <w:uiPriority w:val="0"/>
    <w:pPr>
      <w:spacing w:line="500" w:lineRule="exact"/>
      <w:ind w:firstLine="200" w:firstLineChars="200"/>
    </w:pPr>
    <w:rPr>
      <w:rFonts w:ascii="楷体_GB2312" w:hAnsi="楷体_GB2312" w:eastAsia="楷体_GB2312" w:cs="Times New Roman"/>
      <w:kern w:val="2"/>
    </w:rPr>
  </w:style>
  <w:style w:type="paragraph" w:customStyle="1" w:styleId="88">
    <w:name w:val="样式 (西文) 楷体_GB2312 首行缩进:  0.85 厘米1"/>
    <w:basedOn w:val="1"/>
    <w:qFormat/>
    <w:uiPriority w:val="0"/>
    <w:pPr>
      <w:spacing w:line="500" w:lineRule="exact"/>
      <w:ind w:firstLine="200" w:firstLineChars="200"/>
    </w:pPr>
    <w:rPr>
      <w:rFonts w:ascii="楷体_GB2312" w:hAnsi="楷体_GB2312" w:eastAsia="楷体_GB2312" w:cs="楷体_GB2312"/>
      <w:sz w:val="24"/>
      <w:szCs w:val="24"/>
    </w:rPr>
  </w:style>
  <w:style w:type="paragraph" w:customStyle="1" w:styleId="89">
    <w:name w:val="表头！！！！！！！！！！"/>
    <w:basedOn w:val="9"/>
    <w:qFormat/>
    <w:uiPriority w:val="0"/>
    <w:pPr>
      <w:widowControl w:val="0"/>
      <w:numPr>
        <w:ilvl w:val="0"/>
        <w:numId w:val="0"/>
      </w:numPr>
      <w:autoSpaceDE w:val="0"/>
      <w:autoSpaceDN w:val="0"/>
      <w:adjustRightInd w:val="0"/>
      <w:spacing w:after="0" w:line="500" w:lineRule="exact"/>
      <w:jc w:val="center"/>
      <w:textAlignment w:val="baseline"/>
    </w:pPr>
    <w:rPr>
      <w:rFonts w:ascii="楷体_GB2312" w:eastAsia="楷体_GB2312"/>
      <w:b/>
      <w:snapToGrid w:val="0"/>
      <w:sz w:val="24"/>
      <w:szCs w:val="24"/>
      <w:lang w:bidi="ar-SA"/>
    </w:rPr>
  </w:style>
  <w:style w:type="paragraph" w:customStyle="1" w:styleId="90">
    <w:name w:val="Other|1"/>
    <w:basedOn w:val="1"/>
    <w:qFormat/>
    <w:uiPriority w:val="0"/>
    <w:pPr>
      <w:widowControl w:val="0"/>
      <w:shd w:val="clear" w:color="auto" w:fill="auto"/>
      <w:jc w:val="center"/>
    </w:pPr>
    <w:rPr>
      <w:sz w:val="20"/>
      <w:szCs w:val="20"/>
      <w:u w:val="none"/>
      <w:shd w:val="clear" w:color="auto" w:fill="auto"/>
    </w:rPr>
  </w:style>
  <w:style w:type="paragraph" w:customStyle="1" w:styleId="91">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92">
    <w:name w:val="正文新"/>
    <w:basedOn w:val="1"/>
    <w:qFormat/>
    <w:uiPriority w:val="0"/>
    <w:pPr>
      <w:spacing w:line="460" w:lineRule="exact"/>
      <w:ind w:firstLine="480" w:firstLineChars="200"/>
    </w:pPr>
    <w:rPr>
      <w:sz w:val="24"/>
    </w:rPr>
  </w:style>
  <w:style w:type="character" w:customStyle="1" w:styleId="93">
    <w:name w:val="textbig1"/>
    <w:qFormat/>
    <w:uiPriority w:val="0"/>
    <w:rPr>
      <w:rFonts w:ascii="宋体" w:hAnsi="宋体" w:cs="宋体"/>
      <w:sz w:val="18"/>
      <w:szCs w:val="18"/>
    </w:rPr>
  </w:style>
  <w:style w:type="paragraph" w:customStyle="1" w:styleId="94">
    <w:name w:val="表头标题格式"/>
    <w:basedOn w:val="1"/>
    <w:qFormat/>
    <w:uiPriority w:val="0"/>
    <w:pPr>
      <w:widowControl/>
      <w:tabs>
        <w:tab w:val="left" w:pos="360"/>
        <w:tab w:val="left" w:pos="1620"/>
      </w:tabs>
      <w:spacing w:line="360" w:lineRule="auto"/>
      <w:jc w:val="center"/>
    </w:pPr>
    <w:rPr>
      <w:rFonts w:ascii="黑体" w:hAnsi="宋体" w:eastAsia="黑体"/>
      <w:b/>
      <w:bCs/>
      <w:spacing w:val="0"/>
      <w:kern w:val="0"/>
      <w:sz w:val="24"/>
      <w:szCs w:val="20"/>
    </w:rPr>
  </w:style>
  <w:style w:type="character" w:customStyle="1" w:styleId="95">
    <w:name w:val="样式 四号"/>
    <w:qFormat/>
    <w:uiPriority w:val="0"/>
    <w:rPr>
      <w:sz w:val="28"/>
    </w:rPr>
  </w:style>
  <w:style w:type="paragraph" w:customStyle="1" w:styleId="96">
    <w:name w:val="样式 表、图名 + Times New Roman1"/>
    <w:basedOn w:val="97"/>
    <w:qFormat/>
    <w:uiPriority w:val="0"/>
    <w:pPr>
      <w:snapToGrid/>
      <w:spacing w:before="31" w:beforeLines="10" w:after="31" w:afterLines="10" w:line="360" w:lineRule="auto"/>
      <w:ind w:firstLine="200" w:firstLineChars="200"/>
      <w:jc w:val="left"/>
    </w:pPr>
    <w:rPr>
      <w:rFonts w:cs="宋体"/>
      <w:color w:val="000000"/>
    </w:rPr>
  </w:style>
  <w:style w:type="paragraph" w:customStyle="1" w:styleId="97">
    <w:name w:val="表、图名"/>
    <w:basedOn w:val="1"/>
    <w:qFormat/>
    <w:uiPriority w:val="0"/>
    <w:pPr>
      <w:adjustRightInd w:val="0"/>
      <w:snapToGrid w:val="0"/>
      <w:jc w:val="center"/>
    </w:pPr>
    <w:rPr>
      <w:rFonts w:ascii="黑体" w:hAnsi="宋体" w:eastAsia="黑体"/>
      <w:kern w:val="2"/>
      <w:szCs w:val="24"/>
      <w:lang w:eastAsia="zh-CN"/>
    </w:rPr>
  </w:style>
  <w:style w:type="paragraph" w:customStyle="1" w:styleId="98">
    <w:name w:val="000000"/>
    <w:basedOn w:val="67"/>
    <w:autoRedefine/>
    <w:qFormat/>
    <w:uiPriority w:val="0"/>
    <w:pPr>
      <w:spacing w:line="240" w:lineRule="auto"/>
      <w:ind w:firstLine="0" w:firstLineChars="0"/>
      <w:jc w:val="center"/>
    </w:pPr>
    <w:rPr>
      <w:rFonts w:ascii="Times New Roman" w:hAnsi="Times New Roman"/>
      <w:b/>
      <w:sz w:val="21"/>
    </w:rPr>
  </w:style>
  <w:style w:type="paragraph" w:customStyle="1" w:styleId="99">
    <w:name w:val="无间隔表格内"/>
    <w:basedOn w:val="100"/>
    <w:autoRedefine/>
    <w:qFormat/>
    <w:uiPriority w:val="0"/>
    <w:rPr>
      <w:b w:val="0"/>
    </w:rPr>
  </w:style>
  <w:style w:type="paragraph" w:customStyle="1" w:styleId="100">
    <w:name w:val="表   头"/>
    <w:basedOn w:val="1"/>
    <w:autoRedefine/>
    <w:qFormat/>
    <w:uiPriority w:val="0"/>
    <w:pPr>
      <w:snapToGrid w:val="0"/>
      <w:jc w:val="center"/>
    </w:pPr>
    <w:rPr>
      <w:b/>
    </w:rPr>
  </w:style>
  <w:style w:type="paragraph" w:customStyle="1" w:styleId="101">
    <w:name w:val="我"/>
    <w:basedOn w:val="1"/>
    <w:qFormat/>
    <w:uiPriority w:val="0"/>
    <w:pPr>
      <w:spacing w:line="360" w:lineRule="auto"/>
      <w:ind w:firstLine="640" w:firstLineChars="200"/>
    </w:pPr>
    <w:rPr>
      <w:kern w:val="0"/>
      <w:sz w:val="24"/>
      <w:szCs w:val="20"/>
    </w:rPr>
  </w:style>
  <w:style w:type="paragraph" w:customStyle="1" w:styleId="102">
    <w:name w:val="！正文"/>
    <w:basedOn w:val="1"/>
    <w:qFormat/>
    <w:uiPriority w:val="0"/>
    <w:pPr>
      <w:adjustRightInd/>
      <w:snapToGrid/>
      <w:spacing w:line="360" w:lineRule="auto"/>
      <w:ind w:firstLine="480" w:firstLineChars="200"/>
    </w:pPr>
    <w:rPr>
      <w:rFonts w:ascii="Times New Roman" w:eastAsia="宋体"/>
      <w:sz w:val="24"/>
      <w:szCs w:val="20"/>
    </w:rPr>
  </w:style>
  <w:style w:type="table" w:customStyle="1" w:styleId="103">
    <w:name w:val="Table Normal"/>
    <w:semiHidden/>
    <w:unhideWhenUsed/>
    <w:qFormat/>
    <w:uiPriority w:val="0"/>
    <w:tblPr>
      <w:tblCellMar>
        <w:top w:w="0" w:type="dxa"/>
        <w:left w:w="0" w:type="dxa"/>
        <w:bottom w:w="0" w:type="dxa"/>
        <w:right w:w="0" w:type="dxa"/>
      </w:tblCellMar>
    </w:tblPr>
  </w:style>
  <w:style w:type="paragraph" w:customStyle="1" w:styleId="104">
    <w:name w:val="Table Text"/>
    <w:basedOn w:val="1"/>
    <w:semiHidden/>
    <w:qFormat/>
    <w:uiPriority w:val="0"/>
    <w:rPr>
      <w:rFonts w:ascii="宋体" w:hAnsi="宋体" w:eastAsia="宋体" w:cs="宋体"/>
      <w:sz w:val="30"/>
      <w:szCs w:val="30"/>
      <w:lang w:val="en-US" w:eastAsia="en-US" w:bidi="ar-SA"/>
    </w:rPr>
  </w:style>
  <w:style w:type="paragraph" w:customStyle="1" w:styleId="105">
    <w:name w:val="表格1"/>
    <w:basedOn w:val="1"/>
    <w:qFormat/>
    <w:uiPriority w:val="0"/>
    <w:pPr>
      <w:adjustRightInd w:val="0"/>
      <w:snapToGrid w:val="0"/>
      <w:jc w:val="center"/>
    </w:pPr>
    <w:rPr>
      <w:rFonts w:ascii="Times New Roman" w:hAnsi="Times New Roman" w:eastAsia="方正仿宋_GBK"/>
      <w:color w:val="000000"/>
      <w:kern w:val="0"/>
      <w:szCs w:val="24"/>
    </w:rPr>
  </w:style>
  <w:style w:type="paragraph" w:customStyle="1" w:styleId="106">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wmf"/><Relationship Id="rId21" Type="http://schemas.openxmlformats.org/officeDocument/2006/relationships/oleObject" Target="embeddings/oleObject4.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png"/><Relationship Id="rId15" Type="http://schemas.openxmlformats.org/officeDocument/2006/relationships/image" Target="media/image7.wmf"/><Relationship Id="rId14" Type="http://schemas.openxmlformats.org/officeDocument/2006/relationships/oleObject" Target="embeddings/oleObject1.bin"/><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64</Pages>
  <Words>150</Words>
  <Characters>177</Characters>
  <Lines>13</Lines>
  <Paragraphs>3</Paragraphs>
  <TotalTime>11</TotalTime>
  <ScaleCrop>false</ScaleCrop>
  <LinksUpToDate>false</LinksUpToDate>
  <CharactersWithSpaces>236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犭凵巛</cp:lastModifiedBy>
  <cp:lastPrinted>2020-12-29T02:43:00Z</cp:lastPrinted>
  <dcterms:modified xsi:type="dcterms:W3CDTF">2024-12-05T11:57:28Z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4524D7B70917494187FE5179F0C7B0E8_13</vt:lpwstr>
  </property>
</Properties>
</file>